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0E14" w14:textId="662042FC" w:rsidR="00382E2B" w:rsidRPr="00382E2B" w:rsidRDefault="00382E2B" w:rsidP="00382E2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bookmarkStart w:id="0" w:name="_Hlk98691303"/>
      <w:r w:rsidRPr="00382E2B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EB6D99">
        <w:rPr>
          <w:rFonts w:ascii="Book Antiqua" w:hAnsi="Book Antiqua"/>
          <w:b/>
          <w:bCs/>
          <w:color w:val="FF0000"/>
          <w:sz w:val="19"/>
          <w:szCs w:val="19"/>
        </w:rPr>
        <w:t>25/07</w:t>
      </w:r>
      <w:r w:rsidR="003C21D6">
        <w:rPr>
          <w:rFonts w:ascii="Book Antiqua" w:hAnsi="Book Antiqua"/>
          <w:b/>
          <w:bCs/>
          <w:color w:val="FF0000"/>
          <w:sz w:val="19"/>
          <w:szCs w:val="19"/>
        </w:rPr>
        <w:t>/2025</w:t>
      </w:r>
      <w:r w:rsidRPr="00382E2B">
        <w:rPr>
          <w:rFonts w:ascii="Book Antiqua" w:hAnsi="Book Antiqua"/>
          <w:b/>
          <w:bCs/>
          <w:color w:val="FF0000"/>
          <w:sz w:val="19"/>
          <w:szCs w:val="19"/>
        </w:rPr>
        <w:t>: questões de concurso</w:t>
      </w:r>
      <w:r w:rsidR="00EB6D99">
        <w:rPr>
          <w:rFonts w:ascii="Book Antiqua" w:hAnsi="Book Antiqua"/>
          <w:b/>
          <w:bCs/>
          <w:color w:val="FF0000"/>
          <w:sz w:val="19"/>
          <w:szCs w:val="19"/>
        </w:rPr>
        <w:t xml:space="preserve">; </w:t>
      </w:r>
      <w:r w:rsidR="00EB6D99" w:rsidRPr="00EB6D99">
        <w:rPr>
          <w:rFonts w:ascii="Book Antiqua" w:hAnsi="Book Antiqua"/>
          <w:b/>
          <w:bCs/>
          <w:color w:val="FF0000"/>
          <w:sz w:val="19"/>
          <w:szCs w:val="19"/>
        </w:rPr>
        <w:t>Resolução n. 625, de 6.6.2025</w:t>
      </w:r>
      <w:r w:rsidRPr="00382E2B">
        <w:rPr>
          <w:rFonts w:ascii="Book Antiqua" w:hAnsi="Book Antiqua"/>
          <w:b/>
          <w:bCs/>
          <w:color w:val="FF0000"/>
          <w:sz w:val="19"/>
          <w:szCs w:val="19"/>
        </w:rPr>
        <w:t>)</w:t>
      </w:r>
    </w:p>
    <w:bookmarkEnd w:id="0"/>
    <w:p w14:paraId="14CDAC10" w14:textId="71AA202B" w:rsidR="004E3031" w:rsidRPr="00382E2B" w:rsidRDefault="00382E2B" w:rsidP="00382E2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382E2B">
        <w:rPr>
          <w:rFonts w:ascii="Book Antiqua" w:hAnsi="Book Antiqua"/>
          <w:b/>
          <w:bCs/>
          <w:sz w:val="19"/>
          <w:szCs w:val="19"/>
        </w:rPr>
        <w:t>Resolução Nº 270 de 11/12/2018</w:t>
      </w:r>
    </w:p>
    <w:p w14:paraId="2CD8796E" w14:textId="0699F5BD" w:rsidR="00382E2B" w:rsidRPr="00382E2B" w:rsidRDefault="00382E2B" w:rsidP="00382E2B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Dispõe sobre o uso do nome social pelas pessoas trans, travestis e transexuais usuárias dos serviços judiciários, membros, servidores, estagiários e trabalhadores terceirizados dos tribunais brasileiros.</w:t>
      </w:r>
    </w:p>
    <w:p w14:paraId="58851F55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O PRESIDENTE DO CONSELHO NACIONAL DE JUSTIÇA, no uso de suas atribuições legais e regimentais,</w:t>
      </w:r>
    </w:p>
    <w:p w14:paraId="141C4ED5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CONSIDERANDO a importância do princípio da eficiência para a Administração Pública, art. 37 da Constituição Federal;</w:t>
      </w:r>
    </w:p>
    <w:p w14:paraId="6484E9C7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CONSIDERANDO a dignidade humana, fundamento da República Federativa previsto no art. 1º, III, da Constituição Federal;</w:t>
      </w:r>
    </w:p>
    <w:p w14:paraId="4A33585C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CONSIDERANDO o art. 3º da Constituição Federal que determina ser objetivo fundamental da República Federativa do Brasil constituir uma sociedade livre, justa e solidária, além da promoção do bem de todos, sem preconceitos de origem, raça, sexo, cor, idade e quaisquer outras formas de discriminação;</w:t>
      </w:r>
    </w:p>
    <w:p w14:paraId="62E1F780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CONSIDERANDO a necessidade de se dar a máxima efetividade aos direitos fundamentais;</w:t>
      </w:r>
    </w:p>
    <w:p w14:paraId="46B5D15E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CONSIDERANDO a necessidade de se dar tratamento isonômico aos usuários dos serviços judiciários, membros, servidores, terceirizados e estagiários no âmbito dos órgãos do Poder Judiciário;</w:t>
      </w:r>
    </w:p>
    <w:p w14:paraId="608F6873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CONSIDERANDO a publicação do Decreto nº 8.727, de 28 de abril de 2016, da Presidência da República, que dispõe sobre o uso do nome social e o reconhecimento da identidade de gênero de pessoas travestis e transexuais no âmbito da administração pública federal direta, autárquica e fundacional;</w:t>
      </w:r>
    </w:p>
    <w:p w14:paraId="00180D38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CONSIDERANDO os Princípios de Yogyakarta, de novembro de 2006, que dispõem sobre a aplicação da legislação internacional de Direitos Humanos em relação à orientação sexual e identidade de gênero;</w:t>
      </w:r>
    </w:p>
    <w:p w14:paraId="649E5AD1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CONSIDERANDO que o Estado deve assegurar o pleno respeito às pessoas, independentemente da identidade de gênero, respeitando a igualdade, a liberdade e a autonomia individual, que deve constituir a base do Estado Democrático de Direitos e nortear a realização de políticas públicas destinadas à promoção da cidadania e respeito às diferenças humanas, incluídas as diferenças sexuais;</w:t>
      </w:r>
    </w:p>
    <w:p w14:paraId="7172D287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 xml:space="preserve">CONSIDERANDO a deliberação do Plenário do CNJ no Procedimento de Ato Normativo nº 0002026-39.2016.2.00.0000, na 40ª Sessão Virtual, realizada entre 22 e 30 de novembro de 2018; </w:t>
      </w:r>
    </w:p>
    <w:p w14:paraId="2DD4794F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 xml:space="preserve">RESOLVE: </w:t>
      </w:r>
    </w:p>
    <w:p w14:paraId="4B0A4A77" w14:textId="1ABAB690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B6D99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EB6D99">
        <w:rPr>
          <w:rFonts w:ascii="Book Antiqua" w:hAnsi="Book Antiqua"/>
          <w:b/>
          <w:bCs/>
          <w:sz w:val="19"/>
          <w:szCs w:val="19"/>
        </w:rPr>
        <w:t xml:space="preserve"> Fica assegurada a possibilidade de uso do nome social às pessoas trans, travestis e transexuais usuárias dos serviços judiciários, aos magistrados, aos estagiários, aos servidores e aos trabalhadores terceirizados do Poder Judiciário, em seus registros funcionais, sistemas e documentos, na forma disciplinada por esta Resolução</w:t>
      </w:r>
      <w:r w:rsidRPr="00382E2B">
        <w:rPr>
          <w:rFonts w:ascii="Book Antiqua" w:hAnsi="Book Antiqua"/>
          <w:sz w:val="19"/>
          <w:szCs w:val="19"/>
        </w:rPr>
        <w:t>.</w:t>
      </w:r>
      <w:r w:rsidR="00EB6D99">
        <w:rPr>
          <w:rFonts w:ascii="Book Antiqua" w:hAnsi="Book Antiqua"/>
          <w:sz w:val="19"/>
          <w:szCs w:val="19"/>
        </w:rPr>
        <w:t xml:space="preserve"> </w:t>
      </w:r>
      <w:r w:rsidR="00EB6D9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(TRT/Unificado-2023)</w:t>
      </w:r>
    </w:p>
    <w:p w14:paraId="3DE225D5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Parágrafo único. Entende-se por nome social aquele adotado pela pessoa, por meio do qual se identifica e é reconhecida na sociedade, e por ela declarado.</w:t>
      </w:r>
    </w:p>
    <w:p w14:paraId="43CAB2CC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382E2B">
        <w:rPr>
          <w:rFonts w:ascii="Book Antiqua" w:hAnsi="Book Antiqua"/>
          <w:sz w:val="19"/>
          <w:szCs w:val="19"/>
        </w:rPr>
        <w:t xml:space="preserve"> Os sistemas de processos eletrônicos deverão conter campo especificamente destinado ao registro do nome social desde o cadastramento inicial ou a qualquer tempo, quando requerido.</w:t>
      </w:r>
    </w:p>
    <w:p w14:paraId="16D97A70" w14:textId="391888D3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lastRenderedPageBreak/>
        <w:t>§ 1º O nome social do usuário deve aparecer na tela do sistema de informática em espaço que possibilite a sua imediata identificação, devendo ter destaque em relação ao respectivo nome constante do registro civil</w:t>
      </w:r>
      <w:r>
        <w:rPr>
          <w:rFonts w:ascii="Book Antiqua" w:hAnsi="Book Antiqua"/>
          <w:sz w:val="19"/>
          <w:szCs w:val="19"/>
        </w:rPr>
        <w:t>.</w:t>
      </w:r>
    </w:p>
    <w:p w14:paraId="5DC7131D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§ 2º Nos casos de menores de dezoito anos não emancipados, o nome social deve ser requerido pelos pais ou responsáveis legais.</w:t>
      </w:r>
    </w:p>
    <w:p w14:paraId="4857244D" w14:textId="2F825294" w:rsidR="00382E2B" w:rsidRPr="00EB6D99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EB6D99">
        <w:rPr>
          <w:rFonts w:ascii="Book Antiqua" w:hAnsi="Book Antiqua"/>
          <w:b/>
          <w:bCs/>
          <w:sz w:val="19"/>
          <w:szCs w:val="19"/>
          <w:highlight w:val="magenta"/>
        </w:rPr>
        <w:t>§ 3º</w:t>
      </w:r>
      <w:r w:rsidRPr="00EB6D99">
        <w:rPr>
          <w:rFonts w:ascii="Book Antiqua" w:hAnsi="Book Antiqua"/>
          <w:b/>
          <w:bCs/>
          <w:sz w:val="19"/>
          <w:szCs w:val="19"/>
        </w:rPr>
        <w:t xml:space="preserve"> As testemunhas e quaisquer outras pessoas que não forem parte do processo poderão requerer que sejam tratadas pelo nome social, nos termos do art. 1º desta Resolução.</w:t>
      </w:r>
      <w:r w:rsidR="00EB6D99" w:rsidRPr="00EB6D99">
        <w:rPr>
          <w:rFonts w:ascii="Book Antiqua" w:hAnsi="Book Antiqua"/>
          <w:b/>
          <w:bCs/>
          <w:sz w:val="19"/>
          <w:szCs w:val="19"/>
        </w:rPr>
        <w:t xml:space="preserve"> </w:t>
      </w:r>
      <w:r w:rsidR="00EB6D99" w:rsidRPr="00EB6D9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(TRT/Unificado-2023)</w:t>
      </w:r>
    </w:p>
    <w:p w14:paraId="1003F4E0" w14:textId="2016C2BC" w:rsidR="00382E2B" w:rsidRPr="00EB6D99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  <w:u w:val="single"/>
        </w:rPr>
      </w:pPr>
      <w:r w:rsidRPr="00382E2B">
        <w:rPr>
          <w:rFonts w:ascii="Book Antiqua" w:hAnsi="Book Antiqua"/>
          <w:b/>
          <w:bCs/>
          <w:sz w:val="19"/>
          <w:szCs w:val="19"/>
          <w:highlight w:val="magenta"/>
        </w:rPr>
        <w:t>§ 4º</w:t>
      </w:r>
      <w:r w:rsidRPr="00382E2B">
        <w:rPr>
          <w:rFonts w:ascii="Book Antiqua" w:hAnsi="Book Antiqua"/>
          <w:sz w:val="19"/>
          <w:szCs w:val="19"/>
        </w:rPr>
        <w:t xml:space="preserve"> </w:t>
      </w:r>
      <w:r w:rsidRPr="00382E2B">
        <w:rPr>
          <w:rFonts w:ascii="Book Antiqua" w:hAnsi="Book Antiqua"/>
          <w:b/>
          <w:bCs/>
          <w:sz w:val="19"/>
          <w:szCs w:val="19"/>
        </w:rPr>
        <w:t>Os agentes públicos deverão respeitar a identidade de gênero e tratar a pessoa pelo prenome indicado nas audiências, nos pregões e nos demais atos processuais, devendo, ainda, constar nos atos escritos</w:t>
      </w:r>
      <w:r w:rsidRPr="003C21D6">
        <w:rPr>
          <w:rFonts w:ascii="Book Antiqua" w:hAnsi="Book Antiqua"/>
          <w:sz w:val="18"/>
          <w:szCs w:val="18"/>
        </w:rPr>
        <w:t xml:space="preserve">. </w:t>
      </w:r>
      <w:r w:rsidRPr="003C21D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(DPEBA-2021)</w:t>
      </w:r>
      <w:r w:rsidR="00EB6D9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B6D9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(TRT/Unificado-2023)</w:t>
      </w:r>
    </w:p>
    <w:p w14:paraId="647237EF" w14:textId="06F399E9" w:rsid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B6D99">
        <w:rPr>
          <w:rFonts w:ascii="Book Antiqua" w:hAnsi="Book Antiqua"/>
          <w:b/>
          <w:bCs/>
          <w:sz w:val="19"/>
          <w:szCs w:val="19"/>
          <w:highlight w:val="magenta"/>
        </w:rPr>
        <w:t>§ 5º</w:t>
      </w:r>
      <w:r w:rsidRPr="00EB6D99">
        <w:rPr>
          <w:rFonts w:ascii="Book Antiqua" w:hAnsi="Book Antiqua"/>
          <w:b/>
          <w:bCs/>
          <w:sz w:val="19"/>
          <w:szCs w:val="19"/>
        </w:rPr>
        <w:t xml:space="preserve"> Em caso de divergência entre o nome social e o nome constante do registro civil, o prenome escolhido deve ser utilizado para os atos que ensejarão a emissão de documentos externos, acompanhado do prenome constante do registro civil, devendo haver a inscrição “registrado(a) civilmente como”, para identificar a relação entre prenome escolhido e prenome civil</w:t>
      </w:r>
      <w:r w:rsidRPr="00382E2B">
        <w:rPr>
          <w:rFonts w:ascii="Book Antiqua" w:hAnsi="Book Antiqua"/>
          <w:sz w:val="19"/>
          <w:szCs w:val="19"/>
        </w:rPr>
        <w:t>.</w:t>
      </w:r>
      <w:r w:rsidR="00EB6D99">
        <w:rPr>
          <w:rFonts w:ascii="Book Antiqua" w:hAnsi="Book Antiqua"/>
          <w:sz w:val="19"/>
          <w:szCs w:val="19"/>
        </w:rPr>
        <w:t xml:space="preserve"> </w:t>
      </w:r>
      <w:r w:rsidR="00EB6D9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(TRT/Unificado-2023)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B6D99" w14:paraId="718991FE" w14:textId="77777777" w:rsidTr="00EB6D99">
        <w:tc>
          <w:tcPr>
            <w:tcW w:w="8494" w:type="dxa"/>
            <w:shd w:val="clear" w:color="auto" w:fill="CCFFFF"/>
          </w:tcPr>
          <w:p w14:paraId="0437F39D" w14:textId="2F56D86D" w:rsidR="00EB6D99" w:rsidRPr="00EB6D99" w:rsidRDefault="00EB6D99" w:rsidP="00EB6D99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EB6D99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TRT/Unificado-2023-FGV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B6D99">
              <w:rPr>
                <w:rFonts w:ascii="Book Antiqua" w:hAnsi="Book Antiqua"/>
                <w:sz w:val="19"/>
                <w:szCs w:val="19"/>
              </w:rPr>
              <w:t>O documento Princípios de Yogyakarta, que trata da aplicação de normas de direitos humanos a questões de orientação sexual e identidade de gênero, preconiza que: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EB6D99">
              <w:rPr>
                <w:rFonts w:ascii="Book Antiqua" w:hAnsi="Book Antiqua"/>
                <w:i/>
                <w:iCs/>
                <w:sz w:val="19"/>
                <w:szCs w:val="19"/>
              </w:rPr>
              <w:t xml:space="preserve">"1. Todos os seres humanos nascem livres e iguais em dignidade e direitos, </w:t>
            </w:r>
            <w:proofErr w:type="gramStart"/>
            <w:r w:rsidRPr="00EB6D99">
              <w:rPr>
                <w:rFonts w:ascii="Book Antiqua" w:hAnsi="Book Antiqua"/>
                <w:i/>
                <w:iCs/>
                <w:sz w:val="19"/>
                <w:szCs w:val="19"/>
              </w:rPr>
              <w:t>Os</w:t>
            </w:r>
            <w:proofErr w:type="gramEnd"/>
            <w:r w:rsidRPr="00EB6D99">
              <w:rPr>
                <w:rFonts w:ascii="Book Antiqua" w:hAnsi="Book Antiqua"/>
                <w:i/>
                <w:iCs/>
                <w:sz w:val="19"/>
                <w:szCs w:val="19"/>
              </w:rPr>
              <w:t xml:space="preserve"> seres humanos de todas as orientações sexuais e identidades de gênero têm o direito de desfrutar plenamente de todos os direitos humanos"</w:t>
            </w:r>
            <w:r w:rsidRPr="00EB6D99">
              <w:rPr>
                <w:rFonts w:ascii="Book Antiqua" w:hAnsi="Book Antiqua"/>
                <w:sz w:val="19"/>
                <w:szCs w:val="19"/>
              </w:rPr>
              <w:t>. Considerando tal enunciado, é correto afirmar diante dos Princípios de Bangalore sobre conduta judicial:</w:t>
            </w:r>
            <w:r>
              <w:t xml:space="preserve"> </w:t>
            </w:r>
            <w:r w:rsidRPr="00EB6D99">
              <w:rPr>
                <w:rFonts w:ascii="Book Antiqua" w:hAnsi="Book Antiqua"/>
                <w:sz w:val="19"/>
                <w:szCs w:val="19"/>
              </w:rPr>
              <w:t>no caso de divergência entre o nome social e o nome constante do registro civil, o magistrado deve utilizar o nome social para se dirigir à parte ou testemunha durante a audiência, pois deve reconhecer e compreender a diversidade na sociedade</w:t>
            </w:r>
            <w:r>
              <w:rPr>
                <w:rFonts w:ascii="Book Antiqua" w:hAnsi="Book Antiqua"/>
                <w:sz w:val="19"/>
                <w:szCs w:val="19"/>
              </w:rPr>
              <w:t xml:space="preserve">.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1º,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c/c art. 2º, §§3º e 5º, Res. 270/18.</w:t>
            </w:r>
          </w:p>
        </w:tc>
      </w:tr>
    </w:tbl>
    <w:p w14:paraId="08EFB007" w14:textId="7DF77C66" w:rsidR="00EB6D99" w:rsidRPr="00EB6D99" w:rsidRDefault="00EB6D99" w:rsidP="00EB6D9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B6D99">
        <w:rPr>
          <w:rFonts w:ascii="Book Antiqua" w:hAnsi="Book Antiqua"/>
          <w:sz w:val="19"/>
          <w:szCs w:val="19"/>
        </w:rPr>
        <w:t>Art. 3º Será utilizado, em processos judiciais em trâmite nos órgãos judiciários, o nome social em primeira posição, seguido da menção do nome registral precedido de “registrado(a) civilmente como”. (redação dada pela Resolução n. 625, de 6.6.2025)</w:t>
      </w:r>
    </w:p>
    <w:p w14:paraId="440951D7" w14:textId="77777777" w:rsidR="00EB6D99" w:rsidRPr="00EB6D99" w:rsidRDefault="00EB6D99" w:rsidP="00EB6D9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B6D99">
        <w:rPr>
          <w:rFonts w:ascii="Book Antiqua" w:hAnsi="Book Antiqua"/>
          <w:sz w:val="19"/>
          <w:szCs w:val="19"/>
        </w:rPr>
        <w:t>§ 1º Será utilizado, em processos administrativos em trâmite nos órgãos judiciários, o nome social em primeira posição, sendo o nome civil de registro visualizado apenas para fins administrativos internos, quando estritamente necessário ao atendimento do interesse público ou à salvaguarda de direitos de terceiros. (redação dada pela Resolução n. 625, de 6.6.2025)</w:t>
      </w:r>
    </w:p>
    <w:p w14:paraId="46E454C8" w14:textId="66285C1A" w:rsidR="00EB6D99" w:rsidRPr="00382E2B" w:rsidRDefault="00EB6D99" w:rsidP="00EB6D99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B6D99">
        <w:rPr>
          <w:rFonts w:ascii="Book Antiqua" w:hAnsi="Book Antiqua"/>
          <w:sz w:val="19"/>
          <w:szCs w:val="19"/>
        </w:rPr>
        <w:t>§ 2º Nas comunicações dirigidas a órgãos externos, não havendo espaço específico para registro de nome social, poderá ser utilizado o nome registral desde que se verifique que o uso do nome social poderá acarretar prejuízo à obtenção do direito pretendido pelo assistido. (redação dada pela Resolução n. 625, de 6.6.2025)</w:t>
      </w:r>
    </w:p>
    <w:p w14:paraId="10E633AA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Art. 4º A solicitação de uso do nome social por magistrado, servidor, estagiário ou terceirizado poderá ser requerida por escrito no momento da posse, ou a qualquer tempo, à Secretaria de Gestão de Pessoas ou ao responsável pelos recursos humanos da respectiva unidade de lotação.</w:t>
      </w:r>
    </w:p>
    <w:p w14:paraId="6AB354B0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Art. 5º Sem prejuízo de outras circunstâncias em que se constatar necessário, o nome social será utilizado nas seguintes ocorrências:</w:t>
      </w:r>
    </w:p>
    <w:p w14:paraId="251E3108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382E2B">
        <w:rPr>
          <w:rFonts w:ascii="Book Antiqua" w:hAnsi="Book Antiqua"/>
          <w:sz w:val="19"/>
          <w:szCs w:val="19"/>
        </w:rPr>
        <w:t>comunicações</w:t>
      </w:r>
      <w:proofErr w:type="gramEnd"/>
      <w:r w:rsidRPr="00382E2B">
        <w:rPr>
          <w:rFonts w:ascii="Book Antiqua" w:hAnsi="Book Antiqua"/>
          <w:sz w:val="19"/>
          <w:szCs w:val="19"/>
        </w:rPr>
        <w:t xml:space="preserve"> internas de uso social;</w:t>
      </w:r>
    </w:p>
    <w:p w14:paraId="01B6D408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382E2B">
        <w:rPr>
          <w:rFonts w:ascii="Book Antiqua" w:hAnsi="Book Antiqua"/>
          <w:sz w:val="19"/>
          <w:szCs w:val="19"/>
        </w:rPr>
        <w:t>cadastro</w:t>
      </w:r>
      <w:proofErr w:type="gramEnd"/>
      <w:r w:rsidRPr="00382E2B">
        <w:rPr>
          <w:rFonts w:ascii="Book Antiqua" w:hAnsi="Book Antiqua"/>
          <w:sz w:val="19"/>
          <w:szCs w:val="19"/>
        </w:rPr>
        <w:t xml:space="preserve"> de dados, prontuários, informações de uso social e endereço de correio eletrônico;</w:t>
      </w:r>
    </w:p>
    <w:p w14:paraId="7C00DE6E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III – identificação funcional de uso interno;</w:t>
      </w:r>
    </w:p>
    <w:p w14:paraId="789D0D60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382E2B">
        <w:rPr>
          <w:rFonts w:ascii="Book Antiqua" w:hAnsi="Book Antiqua"/>
          <w:sz w:val="19"/>
          <w:szCs w:val="19"/>
        </w:rPr>
        <w:t>listas</w:t>
      </w:r>
      <w:proofErr w:type="gramEnd"/>
      <w:r w:rsidRPr="00382E2B">
        <w:rPr>
          <w:rFonts w:ascii="Book Antiqua" w:hAnsi="Book Antiqua"/>
          <w:sz w:val="19"/>
          <w:szCs w:val="19"/>
        </w:rPr>
        <w:t xml:space="preserve"> de números de telefones e ramais; e</w:t>
      </w:r>
    </w:p>
    <w:p w14:paraId="5F4F098F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 xml:space="preserve">V– </w:t>
      </w:r>
      <w:proofErr w:type="gramStart"/>
      <w:r w:rsidRPr="00382E2B">
        <w:rPr>
          <w:rFonts w:ascii="Book Antiqua" w:hAnsi="Book Antiqua"/>
          <w:sz w:val="19"/>
          <w:szCs w:val="19"/>
        </w:rPr>
        <w:t>nome</w:t>
      </w:r>
      <w:proofErr w:type="gramEnd"/>
      <w:r w:rsidRPr="00382E2B">
        <w:rPr>
          <w:rFonts w:ascii="Book Antiqua" w:hAnsi="Book Antiqua"/>
          <w:sz w:val="19"/>
          <w:szCs w:val="19"/>
        </w:rPr>
        <w:t xml:space="preserve"> de usuário em sistemas de informática.</w:t>
      </w:r>
    </w:p>
    <w:p w14:paraId="739C8A63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lastRenderedPageBreak/>
        <w:t xml:space="preserve">Parágrafo único. É garantido, no caso do inciso III, bem como nos demais instrumentos internos de identificação, o uso exclusivo do nome social, mantendo registro administrativo que faça a vinculação entre o nome social e a identificação civil. </w:t>
      </w:r>
    </w:p>
    <w:p w14:paraId="628DA913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Art. 6º Os setores administrativos responsáveis promoverão a divulgação da presente Resolução e expedirão orientações e esclarecimentos sobre a questão de identidade de gênero.</w:t>
      </w:r>
    </w:p>
    <w:p w14:paraId="557AE0D6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Art. 7º As Escolas Nacionais da Magistratura (ENFAM e ENAMAT) e o CEAJUD, em cooperação com as escolas judiciais, promoverão a formação continuada de magistrados, servidores, terceirizados e estagiários sobre a temática de identidade de gênero para a devida aplicação de presente Resolução.</w:t>
      </w:r>
    </w:p>
    <w:p w14:paraId="1C584BF9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Art. 8º As denúncias referentes a não utilização do nome social deverão ser encaminhadas às respectivas Corregedorias dos Tribunais, estabelecendo um prazo de noventa dias para verificação e inclusão do nome social em todos os documentos descritos no art. 5º e em outros específicos de cada Tribunal, bem como aos sistemas de informação e congêneres.</w:t>
      </w:r>
    </w:p>
    <w:p w14:paraId="50964471" w14:textId="77777777" w:rsidR="00382E2B" w:rsidRPr="00382E2B" w:rsidRDefault="00382E2B" w:rsidP="00382E2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Art. 9º Esta Resolução entra em vigor na data de sua publicação, fixando-se prazo de noventa dias, para adequação dos documentos e sistemas de informática pelos tribunais.</w:t>
      </w:r>
    </w:p>
    <w:p w14:paraId="343F0FC0" w14:textId="77777777" w:rsidR="00382E2B" w:rsidRPr="00382E2B" w:rsidRDefault="00382E2B" w:rsidP="00382E2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5B74F693" w14:textId="724C094C" w:rsidR="00382E2B" w:rsidRPr="00382E2B" w:rsidRDefault="00382E2B" w:rsidP="00382E2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82E2B">
        <w:rPr>
          <w:rFonts w:ascii="Book Antiqua" w:hAnsi="Book Antiqua"/>
          <w:sz w:val="19"/>
          <w:szCs w:val="19"/>
        </w:rPr>
        <w:t>Ministro DIAS TOFFOLI</w:t>
      </w:r>
    </w:p>
    <w:sectPr w:rsidR="00382E2B" w:rsidRPr="00382E2B" w:rsidSect="00EB6D99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31"/>
    <w:rsid w:val="00382E2B"/>
    <w:rsid w:val="003C21D6"/>
    <w:rsid w:val="004E3031"/>
    <w:rsid w:val="00697B57"/>
    <w:rsid w:val="00710604"/>
    <w:rsid w:val="009368AA"/>
    <w:rsid w:val="00EB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3BF1"/>
  <w15:chartTrackingRefBased/>
  <w15:docId w15:val="{88FD720B-8A69-4B18-BE82-6BC8EF55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B6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1225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4</cp:revision>
  <dcterms:created xsi:type="dcterms:W3CDTF">2022-03-20T20:51:00Z</dcterms:created>
  <dcterms:modified xsi:type="dcterms:W3CDTF">2025-07-25T16:02:00Z</dcterms:modified>
</cp:coreProperties>
</file>