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8A62" w14:textId="3D2EAE01" w:rsidR="00D24E94" w:rsidRPr="00D24E94" w:rsidRDefault="00D24E94" w:rsidP="00D24E94">
      <w:pPr>
        <w:spacing w:before="100" w:beforeAutospacing="1" w:after="100" w:afterAutospacing="1" w:line="240" w:lineRule="auto"/>
        <w:jc w:val="center"/>
        <w:rPr>
          <w:rFonts w:ascii="Book Antiqua" w:hAnsi="Book Antiqua"/>
          <w:b/>
          <w:bCs/>
          <w:color w:val="FF0000"/>
          <w:sz w:val="19"/>
          <w:szCs w:val="19"/>
        </w:rPr>
      </w:pPr>
      <w:r w:rsidRPr="00D24E94">
        <w:rPr>
          <w:rFonts w:ascii="Book Antiqua" w:hAnsi="Book Antiqua"/>
          <w:b/>
          <w:bCs/>
          <w:color w:val="FF0000"/>
          <w:sz w:val="19"/>
          <w:szCs w:val="19"/>
        </w:rPr>
        <w:t>(Atualização em 11/03/2025: questões de concurso)</w:t>
      </w:r>
    </w:p>
    <w:p w14:paraId="4F2EDAED" w14:textId="7B40C265" w:rsidR="00BB7FE6" w:rsidRPr="00D24E94" w:rsidRDefault="00D24E94" w:rsidP="00D24E94">
      <w:pPr>
        <w:spacing w:before="100" w:beforeAutospacing="1" w:after="100" w:afterAutospacing="1" w:line="240" w:lineRule="auto"/>
        <w:jc w:val="center"/>
        <w:rPr>
          <w:rFonts w:ascii="Book Antiqua" w:hAnsi="Book Antiqua"/>
          <w:b/>
          <w:bCs/>
          <w:sz w:val="19"/>
          <w:szCs w:val="19"/>
        </w:rPr>
      </w:pPr>
      <w:r w:rsidRPr="00D24E94">
        <w:rPr>
          <w:rFonts w:ascii="Book Antiqua" w:hAnsi="Book Antiqua"/>
          <w:b/>
          <w:bCs/>
          <w:sz w:val="19"/>
          <w:szCs w:val="19"/>
        </w:rPr>
        <w:t>Resolução Nº 345 de 09/10/2020</w:t>
      </w:r>
    </w:p>
    <w:p w14:paraId="0FC9AE7A" w14:textId="64AF81B1" w:rsidR="00D24E94" w:rsidRPr="00D24E94" w:rsidRDefault="00D24E94" w:rsidP="00D24E94">
      <w:pPr>
        <w:spacing w:before="100" w:beforeAutospacing="1" w:after="100" w:afterAutospacing="1" w:line="240" w:lineRule="auto"/>
        <w:ind w:left="2835"/>
        <w:jc w:val="both"/>
        <w:rPr>
          <w:rFonts w:ascii="Book Antiqua" w:hAnsi="Book Antiqua"/>
          <w:sz w:val="19"/>
          <w:szCs w:val="19"/>
        </w:rPr>
      </w:pPr>
      <w:r w:rsidRPr="00D24E94">
        <w:rPr>
          <w:rFonts w:ascii="Book Antiqua" w:hAnsi="Book Antiqua"/>
          <w:sz w:val="19"/>
          <w:szCs w:val="19"/>
        </w:rPr>
        <w:t>Dispõe sobre o “Juízo 100% Digital” e dá outras providências.</w:t>
      </w:r>
    </w:p>
    <w:p w14:paraId="193A9723" w14:textId="77777777" w:rsidR="00D24E94" w:rsidRPr="00D24E94" w:rsidRDefault="00D24E94" w:rsidP="00D24E94">
      <w:pPr>
        <w:spacing w:before="100" w:beforeAutospacing="1" w:after="100" w:afterAutospacing="1" w:line="240" w:lineRule="auto"/>
        <w:ind w:firstLine="567"/>
        <w:jc w:val="both"/>
        <w:rPr>
          <w:rFonts w:ascii="Book Antiqua" w:hAnsi="Book Antiqua"/>
          <w:sz w:val="19"/>
          <w:szCs w:val="19"/>
        </w:rPr>
      </w:pPr>
      <w:r w:rsidRPr="00D24E94">
        <w:rPr>
          <w:rFonts w:ascii="Book Antiqua" w:hAnsi="Book Antiqua"/>
          <w:sz w:val="19"/>
          <w:szCs w:val="19"/>
        </w:rPr>
        <w:t>O PRESIDENTE DO CONSELHO NACIONAL DE JUSTIÇA, no uso de suas atribuições legais e regimentais,</w:t>
      </w:r>
    </w:p>
    <w:p w14:paraId="53D58469" w14:textId="77777777" w:rsidR="00D24E94" w:rsidRPr="00D24E94" w:rsidRDefault="00D24E94" w:rsidP="00D24E94">
      <w:pPr>
        <w:spacing w:before="100" w:beforeAutospacing="1" w:after="100" w:afterAutospacing="1" w:line="240" w:lineRule="auto"/>
        <w:ind w:firstLine="567"/>
        <w:jc w:val="both"/>
        <w:rPr>
          <w:rFonts w:ascii="Book Antiqua" w:hAnsi="Book Antiqua"/>
          <w:sz w:val="19"/>
          <w:szCs w:val="19"/>
        </w:rPr>
      </w:pPr>
      <w:r w:rsidRPr="00D24E94">
        <w:rPr>
          <w:rFonts w:ascii="Book Antiqua" w:hAnsi="Book Antiqua"/>
          <w:sz w:val="19"/>
          <w:szCs w:val="19"/>
        </w:rPr>
        <w:t>CONSIDERANDO que cabe ao Poder Judiciário implementar mecanismos que concretizem o princípio constitucional de amplo acesso à Justiça (art. 5º, XXXV, da Constituição Federal);</w:t>
      </w:r>
    </w:p>
    <w:p w14:paraId="2740B263" w14:textId="77777777" w:rsidR="00D24E94" w:rsidRPr="00D24E94" w:rsidRDefault="00D24E94" w:rsidP="00D24E94">
      <w:pPr>
        <w:spacing w:before="100" w:beforeAutospacing="1" w:after="100" w:afterAutospacing="1" w:line="240" w:lineRule="auto"/>
        <w:ind w:firstLine="567"/>
        <w:jc w:val="both"/>
        <w:rPr>
          <w:rFonts w:ascii="Book Antiqua" w:hAnsi="Book Antiqua"/>
          <w:sz w:val="19"/>
          <w:szCs w:val="19"/>
        </w:rPr>
      </w:pPr>
      <w:r w:rsidRPr="00D24E94">
        <w:rPr>
          <w:rFonts w:ascii="Book Antiqua" w:hAnsi="Book Antiqua"/>
          <w:sz w:val="19"/>
          <w:szCs w:val="19"/>
        </w:rPr>
        <w:t>CONSIDERANDO as diretrizes da Lei nº 11.419/2006, que dispõe sobre a informatização do processo judicial e dá outras providências;</w:t>
      </w:r>
    </w:p>
    <w:p w14:paraId="72DA4BF9" w14:textId="77777777" w:rsidR="00D24E94" w:rsidRPr="00D24E94" w:rsidRDefault="00D24E94" w:rsidP="00D24E94">
      <w:pPr>
        <w:spacing w:before="100" w:beforeAutospacing="1" w:after="100" w:afterAutospacing="1" w:line="240" w:lineRule="auto"/>
        <w:ind w:firstLine="567"/>
        <w:jc w:val="both"/>
        <w:rPr>
          <w:rFonts w:ascii="Book Antiqua" w:hAnsi="Book Antiqua"/>
          <w:sz w:val="19"/>
          <w:szCs w:val="19"/>
        </w:rPr>
      </w:pPr>
      <w:r w:rsidRPr="00D24E94">
        <w:rPr>
          <w:rFonts w:ascii="Book Antiqua" w:hAnsi="Book Antiqua"/>
          <w:sz w:val="19"/>
          <w:szCs w:val="19"/>
        </w:rPr>
        <w:t>CONSIDERANDO que o art. 18 da Lei nº 11.419/2006 autoriza os órgãos do Poder Judiciário a regulamentarem a informatização do processo judicial;</w:t>
      </w:r>
    </w:p>
    <w:p w14:paraId="3C624290" w14:textId="77777777" w:rsidR="00D24E94" w:rsidRPr="00D24E94" w:rsidRDefault="00D24E94" w:rsidP="00D24E94">
      <w:pPr>
        <w:spacing w:before="100" w:beforeAutospacing="1" w:after="100" w:afterAutospacing="1" w:line="240" w:lineRule="auto"/>
        <w:ind w:firstLine="567"/>
        <w:jc w:val="both"/>
        <w:rPr>
          <w:rFonts w:ascii="Book Antiqua" w:hAnsi="Book Antiqua"/>
          <w:sz w:val="19"/>
          <w:szCs w:val="19"/>
        </w:rPr>
      </w:pPr>
      <w:r w:rsidRPr="00D24E94">
        <w:rPr>
          <w:rFonts w:ascii="Book Antiqua" w:hAnsi="Book Antiqua"/>
          <w:sz w:val="19"/>
          <w:szCs w:val="19"/>
        </w:rPr>
        <w:t>CONSIDERANDO que a tramitação de processos em meio eletrônico promove o aumento da celeridade e da eficiência da prestação jurisdicional;</w:t>
      </w:r>
    </w:p>
    <w:p w14:paraId="415BB949" w14:textId="77777777" w:rsidR="00D24E94" w:rsidRPr="00D24E94" w:rsidRDefault="00D24E94" w:rsidP="00D24E94">
      <w:pPr>
        <w:spacing w:before="100" w:beforeAutospacing="1" w:after="100" w:afterAutospacing="1" w:line="240" w:lineRule="auto"/>
        <w:ind w:firstLine="567"/>
        <w:jc w:val="both"/>
        <w:rPr>
          <w:rFonts w:ascii="Book Antiqua" w:hAnsi="Book Antiqua"/>
          <w:sz w:val="19"/>
          <w:szCs w:val="19"/>
        </w:rPr>
      </w:pPr>
      <w:r w:rsidRPr="00D24E94">
        <w:rPr>
          <w:rFonts w:ascii="Book Antiqua" w:hAnsi="Book Antiqua"/>
          <w:sz w:val="19"/>
          <w:szCs w:val="19"/>
        </w:rPr>
        <w:t>CONSIDERANDO a necessidade de racionalização da utilização de recursos orçamentários pelos órgãos do Poder Judiciário;</w:t>
      </w:r>
    </w:p>
    <w:p w14:paraId="08E72E86" w14:textId="77777777" w:rsidR="00D24E94" w:rsidRPr="00D24E94" w:rsidRDefault="00D24E94" w:rsidP="00D24E94">
      <w:pPr>
        <w:spacing w:before="100" w:beforeAutospacing="1" w:after="100" w:afterAutospacing="1" w:line="240" w:lineRule="auto"/>
        <w:ind w:firstLine="567"/>
        <w:jc w:val="both"/>
        <w:rPr>
          <w:rFonts w:ascii="Book Antiqua" w:hAnsi="Book Antiqua"/>
          <w:sz w:val="19"/>
          <w:szCs w:val="19"/>
        </w:rPr>
      </w:pPr>
      <w:r w:rsidRPr="00D24E94">
        <w:rPr>
          <w:rFonts w:ascii="Book Antiqua" w:hAnsi="Book Antiqua"/>
          <w:sz w:val="19"/>
          <w:szCs w:val="19"/>
        </w:rPr>
        <w:t>CONSIDERANDO que o Conselho Nacional de Justiça detém atribuição para regulamentar a prática de atos processuais por meio eletrônico, nos termos do art. 196 do Código de Processo Civil;</w:t>
      </w:r>
    </w:p>
    <w:p w14:paraId="4E082E84" w14:textId="77777777" w:rsidR="00D24E94" w:rsidRPr="00D24E94" w:rsidRDefault="00D24E94" w:rsidP="00D24E94">
      <w:pPr>
        <w:spacing w:before="100" w:beforeAutospacing="1" w:after="100" w:afterAutospacing="1" w:line="240" w:lineRule="auto"/>
        <w:ind w:firstLine="567"/>
        <w:jc w:val="both"/>
        <w:rPr>
          <w:rFonts w:ascii="Book Antiqua" w:hAnsi="Book Antiqua"/>
          <w:sz w:val="19"/>
          <w:szCs w:val="19"/>
        </w:rPr>
      </w:pPr>
      <w:r w:rsidRPr="00D24E94">
        <w:rPr>
          <w:rFonts w:ascii="Book Antiqua" w:hAnsi="Book Antiqua"/>
          <w:sz w:val="19"/>
          <w:szCs w:val="19"/>
        </w:rPr>
        <w:t>CONSIDERANDO as diretrizes contidas na Resolução CNJ nº 185/2013, que instituiu o Processo Judicial Eletrônico (</w:t>
      </w:r>
      <w:proofErr w:type="spellStart"/>
      <w:r w:rsidRPr="00D24E94">
        <w:rPr>
          <w:rFonts w:ascii="Book Antiqua" w:hAnsi="Book Antiqua"/>
          <w:sz w:val="19"/>
          <w:szCs w:val="19"/>
        </w:rPr>
        <w:t>PJe</w:t>
      </w:r>
      <w:proofErr w:type="spellEnd"/>
      <w:r w:rsidRPr="00D24E94">
        <w:rPr>
          <w:rFonts w:ascii="Book Antiqua" w:hAnsi="Book Antiqua"/>
          <w:sz w:val="19"/>
          <w:szCs w:val="19"/>
        </w:rPr>
        <w:t>) como sistema informatizado de processo judicial no Poder Judiciário;</w:t>
      </w:r>
    </w:p>
    <w:p w14:paraId="6F5C0C42" w14:textId="77777777" w:rsidR="00D24E94" w:rsidRPr="00D24E94" w:rsidRDefault="00D24E94" w:rsidP="00D24E94">
      <w:pPr>
        <w:spacing w:before="100" w:beforeAutospacing="1" w:after="100" w:afterAutospacing="1" w:line="240" w:lineRule="auto"/>
        <w:ind w:firstLine="567"/>
        <w:jc w:val="both"/>
        <w:rPr>
          <w:rFonts w:ascii="Book Antiqua" w:hAnsi="Book Antiqua"/>
          <w:sz w:val="19"/>
          <w:szCs w:val="19"/>
        </w:rPr>
      </w:pPr>
      <w:r w:rsidRPr="00D24E94">
        <w:rPr>
          <w:rFonts w:ascii="Book Antiqua" w:hAnsi="Book Antiqua"/>
          <w:sz w:val="19"/>
          <w:szCs w:val="19"/>
        </w:rPr>
        <w:t>CONSIDERANDO as atribuições do Conselho Nacional de Justiça, previstas no art. 103-B, § 4º, da Constituição Federal, especialmente no que concerne ao controle da atuação administrativa e financeira e à coordenação do planejamento estratégico do Poder Judiciário, inclusive na área de tecnologia da informação;</w:t>
      </w:r>
    </w:p>
    <w:p w14:paraId="2FBCFDB4" w14:textId="77777777" w:rsidR="00D24E94" w:rsidRPr="00D24E94" w:rsidRDefault="00D24E94" w:rsidP="00D24E94">
      <w:pPr>
        <w:spacing w:before="100" w:beforeAutospacing="1" w:after="100" w:afterAutospacing="1" w:line="240" w:lineRule="auto"/>
        <w:ind w:firstLine="567"/>
        <w:jc w:val="both"/>
        <w:rPr>
          <w:rFonts w:ascii="Book Antiqua" w:hAnsi="Book Antiqua"/>
          <w:sz w:val="19"/>
          <w:szCs w:val="19"/>
        </w:rPr>
      </w:pPr>
      <w:r w:rsidRPr="00D24E94">
        <w:rPr>
          <w:rFonts w:ascii="Book Antiqua" w:hAnsi="Book Antiqua"/>
          <w:sz w:val="19"/>
          <w:szCs w:val="19"/>
        </w:rPr>
        <w:t>CONSIDERANDO as mudanças introduzidas nas relações e nos processos de trabalho em virtude do fenômeno da transformação digital;</w:t>
      </w:r>
    </w:p>
    <w:p w14:paraId="225C4B09" w14:textId="77777777" w:rsidR="00D24E94" w:rsidRPr="00D24E94" w:rsidRDefault="00D24E94" w:rsidP="00D24E94">
      <w:pPr>
        <w:spacing w:before="100" w:beforeAutospacing="1" w:after="100" w:afterAutospacing="1" w:line="240" w:lineRule="auto"/>
        <w:ind w:firstLine="567"/>
        <w:jc w:val="both"/>
        <w:rPr>
          <w:rFonts w:ascii="Book Antiqua" w:hAnsi="Book Antiqua"/>
          <w:sz w:val="19"/>
          <w:szCs w:val="19"/>
        </w:rPr>
      </w:pPr>
      <w:r w:rsidRPr="00D24E94">
        <w:rPr>
          <w:rFonts w:ascii="Book Antiqua" w:hAnsi="Book Antiqua"/>
          <w:sz w:val="19"/>
          <w:szCs w:val="19"/>
        </w:rPr>
        <w:t>CONSIDERANDO a decisão plenária tomada no julgamento do Ato Normativo nº 0007913-62.2020.2.00.0000, na 319ª Sessão Ordinária, realizada em 6 de outubro de 2020;</w:t>
      </w:r>
    </w:p>
    <w:p w14:paraId="3BB4FAA6" w14:textId="77777777" w:rsidR="00D24E94" w:rsidRPr="00D24E94" w:rsidRDefault="00D24E94" w:rsidP="00D24E94">
      <w:pPr>
        <w:spacing w:before="100" w:beforeAutospacing="1" w:after="100" w:afterAutospacing="1" w:line="240" w:lineRule="auto"/>
        <w:ind w:firstLine="567"/>
        <w:jc w:val="both"/>
        <w:rPr>
          <w:rFonts w:ascii="Book Antiqua" w:hAnsi="Book Antiqua"/>
          <w:sz w:val="19"/>
          <w:szCs w:val="19"/>
        </w:rPr>
      </w:pPr>
      <w:r w:rsidRPr="00D24E94">
        <w:rPr>
          <w:rFonts w:ascii="Book Antiqua" w:hAnsi="Book Antiqua"/>
          <w:sz w:val="19"/>
          <w:szCs w:val="19"/>
        </w:rPr>
        <w:t>RESOLVE:</w:t>
      </w:r>
    </w:p>
    <w:p w14:paraId="326C7FF0" w14:textId="4FF750E5"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b/>
          <w:bCs/>
          <w:sz w:val="19"/>
          <w:szCs w:val="19"/>
          <w:highlight w:val="magenta"/>
        </w:rPr>
        <w:t>Art. 1º</w:t>
      </w:r>
      <w:r w:rsidRPr="00D24E94">
        <w:rPr>
          <w:rFonts w:ascii="Book Antiqua" w:hAnsi="Book Antiqua"/>
          <w:sz w:val="19"/>
          <w:szCs w:val="19"/>
        </w:rPr>
        <w:t xml:space="preserve"> Autorizar a adoção, pelos tribunais, das medidas necessárias à implementação do “Juízo 100% Digital” no Poder Judiciário.</w:t>
      </w:r>
    </w:p>
    <w:p w14:paraId="2EB11420" w14:textId="77777777"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sz w:val="19"/>
          <w:szCs w:val="19"/>
        </w:rPr>
        <w:t>§1º No âmbito do “Juízo 100% Digital”, todos os atos processuais serão exclusivamente praticados por meio eletrônico e remoto por intermédio da rede mundial de computadores. (redação dada pela Resolução n. 378, de 9.03.2021)</w:t>
      </w:r>
    </w:p>
    <w:p w14:paraId="604B0678" w14:textId="77777777"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sz w:val="19"/>
          <w:szCs w:val="19"/>
        </w:rPr>
        <w:t>§2º Inviabilizada a produção de meios de prova ou de outros atos processuais de forma virtual, a sua realização de modo presencial não impedirá a tramitação do processo no âmbito do “Juízo 100% Digital”. (redação dada pela Resolução n. 378, de 9.03.2021)</w:t>
      </w:r>
    </w:p>
    <w:p w14:paraId="0401EB72" w14:textId="2631872E"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b/>
          <w:bCs/>
          <w:sz w:val="19"/>
          <w:szCs w:val="19"/>
          <w:highlight w:val="magenta"/>
        </w:rPr>
        <w:t>§ 3º</w:t>
      </w:r>
      <w:r w:rsidRPr="00D24E94">
        <w:rPr>
          <w:rFonts w:ascii="Book Antiqua" w:hAnsi="Book Antiqua"/>
          <w:b/>
          <w:bCs/>
          <w:sz w:val="19"/>
          <w:szCs w:val="19"/>
        </w:rPr>
        <w:t xml:space="preserve"> O “Juízo 100% Digital” poderá se valer também de serviços prestados presencialmente por outros órgãos do Tribunal, como os de solução adequada de conflitos, de cumprimento de mandados, centrais de cálculos, tutoria dentre outros, desde que os atos processuais possam ser convertidos em eletrônicos</w:t>
      </w:r>
      <w:r w:rsidRPr="00D24E94">
        <w:rPr>
          <w:rFonts w:ascii="Book Antiqua" w:hAnsi="Book Antiqua"/>
          <w:sz w:val="19"/>
          <w:szCs w:val="19"/>
        </w:rPr>
        <w:t>. (redação dada pela Resolução n. 378, de 9.03.2021)</w:t>
      </w:r>
      <w:r>
        <w:rPr>
          <w:rFonts w:ascii="Book Antiqua" w:hAnsi="Book Antiqua"/>
          <w:sz w:val="19"/>
          <w:szCs w:val="19"/>
        </w:rPr>
        <w:t xml:space="preserve"> </w:t>
      </w:r>
      <w:r w:rsidRPr="00610DE3">
        <w:rPr>
          <w:rFonts w:ascii="Book Antiqua" w:eastAsia="Times New Roman" w:hAnsi="Book Antiqua" w:cs="Arial"/>
          <w:b/>
          <w:bCs/>
          <w:color w:val="FF0000"/>
          <w:sz w:val="16"/>
          <w:szCs w:val="16"/>
          <w:u w:val="single"/>
          <w:lang w:eastAsia="pt-BR"/>
        </w:rPr>
        <w:t>(TRT/Unificado-20</w:t>
      </w:r>
      <w:r>
        <w:rPr>
          <w:rFonts w:ascii="Book Antiqua" w:eastAsia="Times New Roman" w:hAnsi="Book Antiqua" w:cs="Arial"/>
          <w:b/>
          <w:bCs/>
          <w:color w:val="FF0000"/>
          <w:sz w:val="16"/>
          <w:szCs w:val="16"/>
          <w:u w:val="single"/>
          <w:lang w:eastAsia="pt-BR"/>
        </w:rPr>
        <w:t>23</w:t>
      </w:r>
      <w:r w:rsidRPr="00610DE3">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24E94" w14:paraId="57573B36" w14:textId="77777777" w:rsidTr="00D24E94">
        <w:tc>
          <w:tcPr>
            <w:tcW w:w="8494" w:type="dxa"/>
            <w:shd w:val="clear" w:color="auto" w:fill="CCFFFF"/>
          </w:tcPr>
          <w:p w14:paraId="0B18F40D" w14:textId="2BFF613F" w:rsidR="00D24E94" w:rsidRPr="00D24E94" w:rsidRDefault="00D24E94" w:rsidP="00D24E94">
            <w:pPr>
              <w:spacing w:before="100" w:beforeAutospacing="1" w:after="100" w:afterAutospacing="1"/>
              <w:jc w:val="both"/>
              <w:rPr>
                <w:rFonts w:ascii="Book Antiqua" w:hAnsi="Book Antiqua"/>
                <w:b/>
                <w:bCs/>
                <w:sz w:val="19"/>
                <w:szCs w:val="19"/>
              </w:rPr>
            </w:pPr>
            <w:r>
              <w:rPr>
                <w:rFonts w:ascii="Book Antiqua" w:hAnsi="Book Antiqua"/>
                <w:b/>
                <w:bCs/>
                <w:sz w:val="19"/>
                <w:szCs w:val="19"/>
              </w:rPr>
              <w:lastRenderedPageBreak/>
              <w:t>(</w:t>
            </w:r>
            <w:r w:rsidRPr="00D24E94">
              <w:rPr>
                <w:rFonts w:ascii="Book Antiqua" w:hAnsi="Book Antiqua"/>
                <w:b/>
                <w:bCs/>
                <w:sz w:val="19"/>
                <w:szCs w:val="19"/>
                <w:highlight w:val="yellow"/>
              </w:rPr>
              <w:t>TRT/Unificado-2023-FGV</w:t>
            </w:r>
            <w:r>
              <w:rPr>
                <w:rFonts w:ascii="Book Antiqua" w:hAnsi="Book Antiqua"/>
                <w:b/>
                <w:bCs/>
                <w:sz w:val="19"/>
                <w:szCs w:val="19"/>
              </w:rPr>
              <w:t>)</w:t>
            </w:r>
            <w:r>
              <w:rPr>
                <w:rFonts w:ascii="Book Antiqua" w:hAnsi="Book Antiqua"/>
                <w:sz w:val="19"/>
                <w:szCs w:val="19"/>
              </w:rPr>
              <w:t xml:space="preserve">: </w:t>
            </w:r>
            <w:r w:rsidRPr="00D24E94">
              <w:rPr>
                <w:rFonts w:ascii="Book Antiqua" w:hAnsi="Book Antiqua"/>
                <w:sz w:val="19"/>
                <w:szCs w:val="19"/>
              </w:rPr>
              <w:t>A Resolução CNI n° 345/2020, que dispõe sobre o juízo 100% Digital, aborda vários temas relacionados à Gestão da Informação e de Demandas Judiciais, bem como à Gestão e Organização Judiciária.</w:t>
            </w:r>
            <w:r>
              <w:rPr>
                <w:rFonts w:ascii="Book Antiqua" w:hAnsi="Book Antiqua"/>
                <w:sz w:val="19"/>
                <w:szCs w:val="19"/>
              </w:rPr>
              <w:t xml:space="preserve"> </w:t>
            </w:r>
            <w:r w:rsidRPr="00D24E94">
              <w:rPr>
                <w:rFonts w:ascii="Book Antiqua" w:hAnsi="Book Antiqua"/>
                <w:sz w:val="19"/>
                <w:szCs w:val="19"/>
              </w:rPr>
              <w:t>Considerando o tratamento normativo dado pelo Conselho Nacional de Justiça à matéria, é correto afirmar que</w:t>
            </w:r>
            <w:r>
              <w:rPr>
                <w:rFonts w:ascii="Book Antiqua" w:hAnsi="Book Antiqua"/>
                <w:sz w:val="19"/>
                <w:szCs w:val="19"/>
              </w:rPr>
              <w:t xml:space="preserve"> </w:t>
            </w:r>
            <w:r w:rsidRPr="00D24E94">
              <w:rPr>
                <w:rFonts w:ascii="Book Antiqua" w:hAnsi="Book Antiqua"/>
                <w:sz w:val="19"/>
                <w:szCs w:val="19"/>
              </w:rPr>
              <w:t>o Juízo 100% Digital poderá se valer também de serviços prestados presencialmente por outros órgãos do Tribunal, como os de solução adequada de conflitos, de cumprimento de mandados, centrais de cálculos, tutoria, dentre outros, desde que os atos processuais possam ser convertidos em eletrônicos.</w:t>
            </w:r>
            <w:r>
              <w:rPr>
                <w:rFonts w:ascii="Book Antiqua" w:hAnsi="Book Antiqua"/>
                <w:sz w:val="19"/>
                <w:szCs w:val="19"/>
              </w:rPr>
              <w:t xml:space="preserve"> </w:t>
            </w:r>
            <w:r>
              <w:rPr>
                <w:rFonts w:ascii="Book Antiqua" w:hAnsi="Book Antiqua"/>
                <w:b/>
                <w:bCs/>
                <w:sz w:val="19"/>
                <w:szCs w:val="19"/>
              </w:rPr>
              <w:t>BL: art. 1º, §3º, Res. 345/20, CNJ.</w:t>
            </w:r>
          </w:p>
        </w:tc>
      </w:tr>
    </w:tbl>
    <w:p w14:paraId="4469763E" w14:textId="551BBEC2"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sz w:val="19"/>
          <w:szCs w:val="19"/>
        </w:rPr>
        <w:t>Art. 2º As unidades jurisdicionais de que tratam este ato normativo não terão a sua competência alterada em razão da adoção do “Juízo 100% Digital”.</w:t>
      </w:r>
    </w:p>
    <w:p w14:paraId="59C26BF0" w14:textId="77777777"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sz w:val="19"/>
          <w:szCs w:val="19"/>
        </w:rPr>
        <w:t xml:space="preserve">Parágrafo único. No ato do ajuizamento do feito, a parte e seu advogado deverão fornecer endereço eletrônico e linha telefônica móvel celular, sendo admitida a citação, a notificação e a intimação por qualquer meio eletrônico, nos termos dos </w:t>
      </w:r>
      <w:proofErr w:type="spellStart"/>
      <w:r w:rsidRPr="00D24E94">
        <w:rPr>
          <w:rFonts w:ascii="Book Antiqua" w:hAnsi="Book Antiqua"/>
          <w:sz w:val="19"/>
          <w:szCs w:val="19"/>
        </w:rPr>
        <w:t>arts</w:t>
      </w:r>
      <w:proofErr w:type="spellEnd"/>
      <w:r w:rsidRPr="00D24E94">
        <w:rPr>
          <w:rFonts w:ascii="Book Antiqua" w:hAnsi="Book Antiqua"/>
          <w:sz w:val="19"/>
          <w:szCs w:val="19"/>
        </w:rPr>
        <w:t>. 193 e 246, V, do Código de Processo Civil.</w:t>
      </w:r>
    </w:p>
    <w:p w14:paraId="0A073CA2" w14:textId="130487C0"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b/>
          <w:bCs/>
          <w:sz w:val="19"/>
          <w:szCs w:val="19"/>
          <w:highlight w:val="magenta"/>
        </w:rPr>
        <w:t>Art. 3º</w:t>
      </w:r>
      <w:r w:rsidRPr="00D24E94">
        <w:rPr>
          <w:rFonts w:ascii="Book Antiqua" w:hAnsi="Book Antiqua"/>
          <w:sz w:val="19"/>
          <w:szCs w:val="19"/>
        </w:rPr>
        <w:t xml:space="preserve"> A escolha pelo “Juízo 100% Digital” é facultativa e será exercida pela parte demandante no momento da distribuição da ação, podendo a parte demandada opor-se a essa opção até o momento da contestação.</w:t>
      </w:r>
    </w:p>
    <w:p w14:paraId="230EAC99" w14:textId="685BD523"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b/>
          <w:bCs/>
          <w:sz w:val="19"/>
          <w:szCs w:val="19"/>
          <w:highlight w:val="magenta"/>
        </w:rPr>
        <w:t>§1º</w:t>
      </w:r>
      <w:r w:rsidRPr="00D24E94">
        <w:rPr>
          <w:rFonts w:ascii="Book Antiqua" w:hAnsi="Book Antiqua"/>
          <w:sz w:val="19"/>
          <w:szCs w:val="19"/>
        </w:rPr>
        <w:t xml:space="preserve"> </w:t>
      </w:r>
      <w:r w:rsidRPr="00D24E94">
        <w:rPr>
          <w:rFonts w:ascii="Book Antiqua" w:hAnsi="Book Antiqua"/>
          <w:b/>
          <w:bCs/>
          <w:sz w:val="19"/>
          <w:szCs w:val="19"/>
        </w:rPr>
        <w:t xml:space="preserve">A parte demandada poderá se opor a essa escolha até sua primeira manifestação no processo, salvo no processo do trabalho, em que essa oposição deverá ser deduzida em </w:t>
      </w:r>
      <w:r w:rsidRPr="00D24E94">
        <w:rPr>
          <w:rFonts w:ascii="Book Antiqua" w:hAnsi="Book Antiqua"/>
          <w:b/>
          <w:bCs/>
          <w:sz w:val="19"/>
          <w:szCs w:val="19"/>
          <w:highlight w:val="cyan"/>
        </w:rPr>
        <w:t>até 05 dias úteis contados do recebimento da primeira notificação</w:t>
      </w:r>
      <w:r w:rsidRPr="00D24E94">
        <w:rPr>
          <w:rFonts w:ascii="Book Antiqua" w:hAnsi="Book Antiqua"/>
          <w:sz w:val="19"/>
          <w:szCs w:val="19"/>
        </w:rPr>
        <w:t>. (redação dada pela Resolução n. 378, de 9.03.2021)</w:t>
      </w:r>
      <w:r>
        <w:rPr>
          <w:rFonts w:ascii="Book Antiqua" w:hAnsi="Book Antiqua"/>
          <w:sz w:val="19"/>
          <w:szCs w:val="19"/>
        </w:rPr>
        <w:t xml:space="preserve"> </w:t>
      </w:r>
      <w:r w:rsidRPr="00610DE3">
        <w:rPr>
          <w:rFonts w:ascii="Book Antiqua" w:eastAsia="Times New Roman" w:hAnsi="Book Antiqua" w:cs="Arial"/>
          <w:b/>
          <w:bCs/>
          <w:color w:val="FF0000"/>
          <w:sz w:val="16"/>
          <w:szCs w:val="16"/>
          <w:u w:val="single"/>
          <w:lang w:eastAsia="pt-BR"/>
        </w:rPr>
        <w:t>(TRT/Unificado-20</w:t>
      </w:r>
      <w:r>
        <w:rPr>
          <w:rFonts w:ascii="Book Antiqua" w:eastAsia="Times New Roman" w:hAnsi="Book Antiqua" w:cs="Arial"/>
          <w:b/>
          <w:bCs/>
          <w:color w:val="FF0000"/>
          <w:sz w:val="16"/>
          <w:szCs w:val="16"/>
          <w:u w:val="single"/>
          <w:lang w:eastAsia="pt-BR"/>
        </w:rPr>
        <w:t>23</w:t>
      </w:r>
      <w:r w:rsidRPr="00610DE3">
        <w:rPr>
          <w:rFonts w:ascii="Book Antiqua" w:eastAsia="Times New Roman" w:hAnsi="Book Antiqua" w:cs="Arial"/>
          <w:b/>
          <w:bCs/>
          <w:color w:val="FF0000"/>
          <w:sz w:val="16"/>
          <w:szCs w:val="16"/>
          <w:u w:val="single"/>
          <w:lang w:eastAsia="pt-BR"/>
        </w:rPr>
        <w:t>)</w:t>
      </w:r>
    </w:p>
    <w:p w14:paraId="74612C56" w14:textId="77777777"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sz w:val="19"/>
          <w:szCs w:val="19"/>
        </w:rPr>
        <w:t>§ 2º Adotado o “Juízo 100% Digital”, as partes poderão retratar-se dessa escolha, por uma única vez, até a prolação da sentença, preservados todos os atos processuais já praticados. (redação dada pela Resolução n. 378, de 9.03.2021)</w:t>
      </w:r>
    </w:p>
    <w:p w14:paraId="3CC56CBF" w14:textId="77777777"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sz w:val="19"/>
          <w:szCs w:val="19"/>
        </w:rPr>
        <w:t>§ 3º No processo do trabalho, ocorrida a aceitação tácita pelo decurso do prazo, a oposição à adoção do “Juízo 100% Digital” consignada na primeira manifestação escrita apresentada não inviabilizará a retratação prevista no §2º. (redação dada pela Resolução n. 378, de 9.03.2021)</w:t>
      </w:r>
    </w:p>
    <w:p w14:paraId="23E1CDE1" w14:textId="55F62CAF"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b/>
          <w:bCs/>
          <w:sz w:val="19"/>
          <w:szCs w:val="19"/>
          <w:highlight w:val="magenta"/>
        </w:rPr>
        <w:t>§ 4º</w:t>
      </w:r>
      <w:r w:rsidRPr="00D24E94">
        <w:rPr>
          <w:rFonts w:ascii="Book Antiqua" w:hAnsi="Book Antiqua"/>
          <w:b/>
          <w:bCs/>
          <w:sz w:val="19"/>
          <w:szCs w:val="19"/>
        </w:rPr>
        <w:t xml:space="preserve"> A qualquer tempo, o magistrado poderá instar as partes a manifestarem o interesse na adoção do “Juízo 100% Digital”, </w:t>
      </w:r>
      <w:r w:rsidRPr="00D24E94">
        <w:rPr>
          <w:rFonts w:ascii="Book Antiqua" w:hAnsi="Book Antiqua"/>
          <w:b/>
          <w:bCs/>
          <w:caps/>
          <w:sz w:val="19"/>
          <w:szCs w:val="19"/>
          <w:highlight w:val="green"/>
        </w:rPr>
        <w:t>ainda que</w:t>
      </w:r>
      <w:r w:rsidRPr="00D24E94">
        <w:rPr>
          <w:rFonts w:ascii="Book Antiqua" w:hAnsi="Book Antiqua"/>
          <w:b/>
          <w:bCs/>
          <w:sz w:val="19"/>
          <w:szCs w:val="19"/>
        </w:rPr>
        <w:t xml:space="preserve"> em relação a processos anteriores à entrada em vigor desta Resolução, importando o silêncio, após duas intimações, aceitação tácita</w:t>
      </w:r>
      <w:r w:rsidRPr="00D24E94">
        <w:rPr>
          <w:rFonts w:ascii="Book Antiqua" w:hAnsi="Book Antiqua"/>
          <w:sz w:val="19"/>
          <w:szCs w:val="19"/>
        </w:rPr>
        <w:t>. (redação dada pela Resolução n. 378, de 9.03.2021)</w:t>
      </w:r>
      <w:r>
        <w:rPr>
          <w:rFonts w:ascii="Book Antiqua" w:hAnsi="Book Antiqua"/>
          <w:sz w:val="19"/>
          <w:szCs w:val="19"/>
        </w:rPr>
        <w:t xml:space="preserve"> </w:t>
      </w:r>
      <w:r w:rsidRPr="00610DE3">
        <w:rPr>
          <w:rFonts w:ascii="Book Antiqua" w:eastAsia="Times New Roman" w:hAnsi="Book Antiqua" w:cs="Arial"/>
          <w:b/>
          <w:bCs/>
          <w:color w:val="FF0000"/>
          <w:sz w:val="16"/>
          <w:szCs w:val="16"/>
          <w:u w:val="single"/>
          <w:lang w:eastAsia="pt-BR"/>
        </w:rPr>
        <w:t>(TRT/Unificado-20</w:t>
      </w:r>
      <w:r>
        <w:rPr>
          <w:rFonts w:ascii="Book Antiqua" w:eastAsia="Times New Roman" w:hAnsi="Book Antiqua" w:cs="Arial"/>
          <w:b/>
          <w:bCs/>
          <w:color w:val="FF0000"/>
          <w:sz w:val="16"/>
          <w:szCs w:val="16"/>
          <w:u w:val="single"/>
          <w:lang w:eastAsia="pt-BR"/>
        </w:rPr>
        <w:t>23</w:t>
      </w:r>
      <w:r w:rsidRPr="00610DE3">
        <w:rPr>
          <w:rFonts w:ascii="Book Antiqua" w:eastAsia="Times New Roman" w:hAnsi="Book Antiqua" w:cs="Arial"/>
          <w:b/>
          <w:bCs/>
          <w:color w:val="FF0000"/>
          <w:sz w:val="16"/>
          <w:szCs w:val="16"/>
          <w:u w:val="single"/>
          <w:lang w:eastAsia="pt-BR"/>
        </w:rPr>
        <w:t>)</w:t>
      </w:r>
    </w:p>
    <w:p w14:paraId="17D84A23" w14:textId="77777777"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sz w:val="19"/>
          <w:szCs w:val="19"/>
        </w:rPr>
        <w:t>§ 5º Havendo recusa expressa das partes à adoção do “Juízo100% Digital”, o magistrado poderá propor às partes a realização de atos processuais isolados de forma digital, ainda que em relação a processos anteriores à entrada em vigor desta Resolução. (redação dada pela Resolução n. 481, de 22.11.2022)</w:t>
      </w:r>
    </w:p>
    <w:p w14:paraId="3A12B54A" w14:textId="77777777"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sz w:val="19"/>
          <w:szCs w:val="19"/>
        </w:rPr>
        <w:t>§ 6º Em hipótese alguma, a retratação ensejará a mudança do juízo natural do feito. (redação dada pela Resolução n. 378, de 9.03.2021)</w:t>
      </w:r>
    </w:p>
    <w:p w14:paraId="73393E79" w14:textId="77777777"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sz w:val="19"/>
          <w:szCs w:val="19"/>
        </w:rPr>
        <w:t>Art. 3º-A. As partes poderão, a qualquer tempo, celebrar negócio jurídico processual, nos termos do art. 190 do CPC, para a escolha do “Juízo 100% Digital” ou para, ausente esta opção, a realização de atos processuais isolados de forma digital.” (incluído pela Resolução n. 378, de 9.03.2021)</w:t>
      </w:r>
    </w:p>
    <w:p w14:paraId="0CBB06A8" w14:textId="0E1821D2"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sz w:val="19"/>
          <w:szCs w:val="19"/>
        </w:rPr>
        <w:t>Art. 4º Os tribunais fornecerão a infraestrutura de informática e telecomunicação necessárias ao funcionamento das unidades jurisdicionais incluídas no “Juízo 100% Digital” e regulamentarão os critérios de utilização desses equipamentos e instalações.</w:t>
      </w:r>
    </w:p>
    <w:p w14:paraId="6F70CB69" w14:textId="77777777"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sz w:val="19"/>
          <w:szCs w:val="19"/>
        </w:rPr>
        <w:t>Parágrafo único. O “Juízo 100% Digital” deverá prestar atendimento remoto durante o horário de atendimento ao público por telefone, por e-mail, por vídeo chamadas, por aplicativos digitais ou por outros meios de comunicação que venham a ser definidos pelo tribunal, inclusive por intermédio do “Balcão Virtual”, nos termos da Resolução CNJ nº 372/2021. (redação dada pela Resolução n. 378, de 9.03.2021)</w:t>
      </w:r>
    </w:p>
    <w:p w14:paraId="7284DB37" w14:textId="61FB60C2" w:rsidR="00D24E94" w:rsidRPr="00D24E94" w:rsidRDefault="00D24E94" w:rsidP="00D24E94">
      <w:pPr>
        <w:spacing w:before="100" w:beforeAutospacing="1" w:after="100" w:afterAutospacing="1" w:line="240" w:lineRule="auto"/>
        <w:jc w:val="both"/>
        <w:rPr>
          <w:rFonts w:ascii="Book Antiqua" w:hAnsi="Book Antiqua"/>
          <w:b/>
          <w:bCs/>
          <w:sz w:val="19"/>
          <w:szCs w:val="19"/>
        </w:rPr>
      </w:pPr>
      <w:r w:rsidRPr="00D24E94">
        <w:rPr>
          <w:rFonts w:ascii="Book Antiqua" w:hAnsi="Book Antiqua"/>
          <w:b/>
          <w:bCs/>
          <w:sz w:val="19"/>
          <w:szCs w:val="19"/>
          <w:highlight w:val="magenta"/>
        </w:rPr>
        <w:lastRenderedPageBreak/>
        <w:t>Art. 5º</w:t>
      </w:r>
      <w:r w:rsidRPr="00D24E94">
        <w:rPr>
          <w:rFonts w:ascii="Book Antiqua" w:hAnsi="Book Antiqua"/>
          <w:b/>
          <w:bCs/>
          <w:sz w:val="19"/>
          <w:szCs w:val="19"/>
        </w:rPr>
        <w:t xml:space="preserve"> As audiências e sessões no “Juízo 100% Digital” ocorrerão </w:t>
      </w:r>
      <w:r w:rsidRPr="00D24E94">
        <w:rPr>
          <w:rFonts w:ascii="Book Antiqua" w:hAnsi="Book Antiqua"/>
          <w:b/>
          <w:bCs/>
          <w:sz w:val="19"/>
          <w:szCs w:val="19"/>
          <w:highlight w:val="cyan"/>
        </w:rPr>
        <w:t>exclusivamente</w:t>
      </w:r>
      <w:r w:rsidRPr="00D24E94">
        <w:rPr>
          <w:rFonts w:ascii="Book Antiqua" w:hAnsi="Book Antiqua"/>
          <w:b/>
          <w:bCs/>
          <w:sz w:val="19"/>
          <w:szCs w:val="19"/>
        </w:rPr>
        <w:t xml:space="preserve"> por videoconferência.</w:t>
      </w:r>
      <w:r w:rsidRPr="00D24E94">
        <w:rPr>
          <w:rFonts w:ascii="Book Antiqua" w:hAnsi="Book Antiqua"/>
          <w:b/>
          <w:bCs/>
          <w:sz w:val="19"/>
          <w:szCs w:val="19"/>
        </w:rPr>
        <w:t xml:space="preserve"> </w:t>
      </w:r>
      <w:r w:rsidRPr="00D24E94">
        <w:rPr>
          <w:rFonts w:ascii="Book Antiqua" w:eastAsia="Times New Roman" w:hAnsi="Book Antiqua" w:cs="Arial"/>
          <w:b/>
          <w:bCs/>
          <w:color w:val="FF0000"/>
          <w:sz w:val="16"/>
          <w:szCs w:val="16"/>
          <w:u w:val="single"/>
          <w:lang w:eastAsia="pt-BR"/>
        </w:rPr>
        <w:t>(TRT/Unificado-2023)</w:t>
      </w:r>
    </w:p>
    <w:p w14:paraId="7BBC8FE3" w14:textId="77777777"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sz w:val="19"/>
          <w:szCs w:val="19"/>
        </w:rPr>
        <w:t>Parágrafo único. As partes poderão requerer ao juízo a participação na audiência por videoconferência em sala disponibilizada pelo Poder Judiciário.</w:t>
      </w:r>
    </w:p>
    <w:p w14:paraId="0321B07E" w14:textId="77777777"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sz w:val="19"/>
          <w:szCs w:val="19"/>
        </w:rPr>
        <w:t>Art. 6º O atendimento exclusivo de advogados pelos magistrados e servidores lotados no “Juízo 100% Digital” ocorrerá durante o horário fixado para o atendimento ao público de forma eletrônica, nos termos do parágrafo único do artigo 4º, observando-se a ordem de solicitação, os casos urgentes e as preferências legais.</w:t>
      </w:r>
    </w:p>
    <w:p w14:paraId="4B164E28" w14:textId="77777777"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sz w:val="19"/>
          <w:szCs w:val="19"/>
        </w:rPr>
        <w:t>§ 1º A demonstração de interesse do advogado de ser atendido pelo magistrado será devidamente registrada, com dia e hora, por meio eletrônico indicado pelo tribunal.</w:t>
      </w:r>
    </w:p>
    <w:p w14:paraId="5A08D099" w14:textId="77777777"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sz w:val="19"/>
          <w:szCs w:val="19"/>
        </w:rPr>
        <w:t>§ 2º A resposta sobre o atendimento deverá ocorrer no prazo de até 48 horas, ressalvadas as situações de urgência.</w:t>
      </w:r>
    </w:p>
    <w:p w14:paraId="0B259F03" w14:textId="2ADC47FE"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sz w:val="19"/>
          <w:szCs w:val="19"/>
        </w:rPr>
        <w:t>Art. 7º Os tribunais deverão acompanhar os resultados do “Juízo 100% Digital” mediante indicadores de produtividade e celeridade informados pelo Conselho Nacional de Justiça.</w:t>
      </w:r>
    </w:p>
    <w:p w14:paraId="59682ECB" w14:textId="77777777"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b/>
          <w:bCs/>
          <w:sz w:val="19"/>
          <w:szCs w:val="19"/>
          <w:highlight w:val="magenta"/>
        </w:rPr>
        <w:t>Art. 8º</w:t>
      </w:r>
      <w:r w:rsidRPr="00D24E94">
        <w:rPr>
          <w:rFonts w:ascii="Book Antiqua" w:hAnsi="Book Antiqua"/>
          <w:sz w:val="19"/>
          <w:szCs w:val="19"/>
        </w:rPr>
        <w:t xml:space="preserve"> Os tribunais que implementarem o “Juízo 100% Digital” deverão, no prazo de trinta dias, comunicar ao Conselho Nacional de Justiça, enviando o detalhamento da implantação e as varas abrangidas. (redação dada pela Resolução n. 378, de 9.03.2021)</w:t>
      </w:r>
    </w:p>
    <w:p w14:paraId="5959476F" w14:textId="77777777"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sz w:val="19"/>
          <w:szCs w:val="19"/>
        </w:rPr>
        <w:t>§1º O “Juízo 100% Digital” poderá ser adotado de modo a abranger ou não todas as unidades jurisdicionais de mesma competência territorial e material, assegurada, em qualquer hipótese, a livre distribuição. (redação dada pela Resolução n. 378, de 9.03.2021)</w:t>
      </w:r>
    </w:p>
    <w:p w14:paraId="5ED1A6A3" w14:textId="77777777"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sz w:val="19"/>
          <w:szCs w:val="19"/>
        </w:rPr>
        <w:t>§2º Na hipótese de o “Juízo 100% Digital” não abranger todas as unidades jurisdicionais de mesma competência territorial e material, a escolha pelo “Juízo 100% Digital” será ineficaz quando o processo for distribuído para juízo em que este ainda não tiver sido contemplado. (redação dada pela Resolução n. 378, de 9.03.2021)</w:t>
      </w:r>
    </w:p>
    <w:p w14:paraId="13CE9173" w14:textId="77777777"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sz w:val="19"/>
          <w:szCs w:val="19"/>
        </w:rPr>
        <w:t>§3º Nas unidades jurisdicionais dotadas de mais de uma competência material, o “Juízo 100% Digital” poderá abarcá-las total ou parcialmente. (redação dada pela Resolução n. 378, de 9.03.2021)</w:t>
      </w:r>
    </w:p>
    <w:p w14:paraId="27C94BF4" w14:textId="77777777"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sz w:val="19"/>
          <w:szCs w:val="19"/>
        </w:rPr>
        <w:t>§4º A implementação do “Juízo 100% Digital” pelos tribunais poderá ser precedida de consulta a ser feita exclusivamente aos magistrados titulares dos juízos a serem contemplados. (redação dada pela Resolução n. 378, de 9.03.2021)</w:t>
      </w:r>
    </w:p>
    <w:p w14:paraId="1E56BB16" w14:textId="38F631BA"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b/>
          <w:bCs/>
          <w:sz w:val="19"/>
          <w:szCs w:val="19"/>
          <w:highlight w:val="magenta"/>
        </w:rPr>
        <w:t>§5º</w:t>
      </w:r>
      <w:r w:rsidRPr="00D24E94">
        <w:rPr>
          <w:rFonts w:ascii="Book Antiqua" w:hAnsi="Book Antiqua"/>
          <w:b/>
          <w:bCs/>
          <w:sz w:val="19"/>
          <w:szCs w:val="19"/>
        </w:rPr>
        <w:t xml:space="preserve"> A existência de processos físicos em uma unidade jurisdicional </w:t>
      </w:r>
      <w:r w:rsidRPr="00D24E94">
        <w:rPr>
          <w:rFonts w:ascii="Book Antiqua" w:hAnsi="Book Antiqua"/>
          <w:b/>
          <w:bCs/>
          <w:caps/>
          <w:sz w:val="19"/>
          <w:szCs w:val="19"/>
          <w:highlight w:val="green"/>
        </w:rPr>
        <w:t>não impedirá</w:t>
      </w:r>
      <w:r w:rsidRPr="00D24E94">
        <w:rPr>
          <w:rFonts w:ascii="Book Antiqua" w:hAnsi="Book Antiqua"/>
          <w:b/>
          <w:bCs/>
          <w:sz w:val="19"/>
          <w:szCs w:val="19"/>
        </w:rPr>
        <w:t xml:space="preserve"> a implementação do “Juízo 100% Digital” em relação aos processos que tramitem eletronicamente</w:t>
      </w:r>
      <w:r w:rsidRPr="00D24E94">
        <w:rPr>
          <w:rFonts w:ascii="Book Antiqua" w:hAnsi="Book Antiqua"/>
          <w:sz w:val="19"/>
          <w:szCs w:val="19"/>
        </w:rPr>
        <w:t>. (redação dada pela Resolução n. 378, de 9.03.2021)</w:t>
      </w:r>
      <w:r>
        <w:rPr>
          <w:rFonts w:ascii="Book Antiqua" w:hAnsi="Book Antiqua"/>
          <w:sz w:val="19"/>
          <w:szCs w:val="19"/>
        </w:rPr>
        <w:t xml:space="preserve"> </w:t>
      </w:r>
      <w:r w:rsidRPr="00610DE3">
        <w:rPr>
          <w:rFonts w:ascii="Book Antiqua" w:eastAsia="Times New Roman" w:hAnsi="Book Antiqua" w:cs="Arial"/>
          <w:b/>
          <w:bCs/>
          <w:color w:val="FF0000"/>
          <w:sz w:val="16"/>
          <w:szCs w:val="16"/>
          <w:u w:val="single"/>
          <w:lang w:eastAsia="pt-BR"/>
        </w:rPr>
        <w:t>(TRT/Unificado-20</w:t>
      </w:r>
      <w:r>
        <w:rPr>
          <w:rFonts w:ascii="Book Antiqua" w:eastAsia="Times New Roman" w:hAnsi="Book Antiqua" w:cs="Arial"/>
          <w:b/>
          <w:bCs/>
          <w:color w:val="FF0000"/>
          <w:sz w:val="16"/>
          <w:szCs w:val="16"/>
          <w:u w:val="single"/>
          <w:lang w:eastAsia="pt-BR"/>
        </w:rPr>
        <w:t>23</w:t>
      </w:r>
      <w:r w:rsidRPr="00610DE3">
        <w:rPr>
          <w:rFonts w:ascii="Book Antiqua" w:eastAsia="Times New Roman" w:hAnsi="Book Antiqua" w:cs="Arial"/>
          <w:b/>
          <w:bCs/>
          <w:color w:val="FF0000"/>
          <w:sz w:val="16"/>
          <w:szCs w:val="16"/>
          <w:u w:val="single"/>
          <w:lang w:eastAsia="pt-BR"/>
        </w:rPr>
        <w:t>)</w:t>
      </w:r>
    </w:p>
    <w:p w14:paraId="2F29C0AE" w14:textId="77777777"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sz w:val="19"/>
          <w:szCs w:val="19"/>
        </w:rPr>
        <w:t>§6º Os tribunais envidarão esforços para identificar em seus sistemas processuais os processos que tramitam no ambiente do “Juízo 100% Digital”, com a correspondente marca ou sinalização instituída por meio de portaria da Presidência do CNJ. (redação dada pela Resolução n. 378, de 9.03.2021)</w:t>
      </w:r>
    </w:p>
    <w:p w14:paraId="58FCF662" w14:textId="77777777"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sz w:val="19"/>
          <w:szCs w:val="19"/>
        </w:rPr>
        <w:t>§7º O “Juízo 100% Digital” será avaliado após um ano de sua implementação, podendo o tribunal optar pela manutenção, pela descontinuidade ou por sua ampliação, comunicando a sua deliberação ao Conselho Nacional de Justiça. (redação dada pela Resolução n. 378, de 9.03.2021)</w:t>
      </w:r>
    </w:p>
    <w:p w14:paraId="388C7F3C" w14:textId="77777777" w:rsidR="00D24E94" w:rsidRPr="00D24E94" w:rsidRDefault="00D24E94" w:rsidP="00D24E94">
      <w:pPr>
        <w:spacing w:before="100" w:beforeAutospacing="1" w:after="100" w:afterAutospacing="1" w:line="240" w:lineRule="auto"/>
        <w:jc w:val="both"/>
        <w:rPr>
          <w:rFonts w:ascii="Book Antiqua" w:hAnsi="Book Antiqua"/>
          <w:sz w:val="19"/>
          <w:szCs w:val="19"/>
        </w:rPr>
      </w:pPr>
      <w:r w:rsidRPr="00D24E94">
        <w:rPr>
          <w:rFonts w:ascii="Book Antiqua" w:hAnsi="Book Antiqua"/>
          <w:sz w:val="19"/>
          <w:szCs w:val="19"/>
        </w:rPr>
        <w:t>Art. 9º Esta Resolução entra em vigor na data de sua publicação.</w:t>
      </w:r>
    </w:p>
    <w:p w14:paraId="00F9FC23" w14:textId="77777777" w:rsidR="00D24E94" w:rsidRPr="00D24E94" w:rsidRDefault="00D24E94" w:rsidP="00D24E94">
      <w:pPr>
        <w:spacing w:before="100" w:beforeAutospacing="1" w:after="100" w:afterAutospacing="1" w:line="240" w:lineRule="auto"/>
        <w:rPr>
          <w:rFonts w:ascii="Book Antiqua" w:hAnsi="Book Antiqua"/>
          <w:sz w:val="19"/>
          <w:szCs w:val="19"/>
        </w:rPr>
      </w:pPr>
    </w:p>
    <w:p w14:paraId="487A8FEF" w14:textId="306441EE" w:rsidR="00D24E94" w:rsidRPr="00D24E94" w:rsidRDefault="00D24E94" w:rsidP="00D24E94">
      <w:pPr>
        <w:spacing w:before="100" w:beforeAutospacing="1" w:after="100" w:afterAutospacing="1" w:line="240" w:lineRule="auto"/>
        <w:jc w:val="center"/>
        <w:rPr>
          <w:rFonts w:ascii="Book Antiqua" w:hAnsi="Book Antiqua"/>
          <w:sz w:val="19"/>
          <w:szCs w:val="19"/>
        </w:rPr>
      </w:pPr>
      <w:r w:rsidRPr="00D24E94">
        <w:rPr>
          <w:rFonts w:ascii="Book Antiqua" w:hAnsi="Book Antiqua"/>
          <w:sz w:val="19"/>
          <w:szCs w:val="19"/>
        </w:rPr>
        <w:t>Ministro LUIZ FUX</w:t>
      </w:r>
    </w:p>
    <w:sectPr w:rsidR="00D24E94" w:rsidRPr="00D24E94" w:rsidSect="00D24E94">
      <w:pgSz w:w="11906" w:h="16838"/>
      <w:pgMar w:top="1135"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5AF"/>
    <w:rsid w:val="00056442"/>
    <w:rsid w:val="00095DB1"/>
    <w:rsid w:val="00651D07"/>
    <w:rsid w:val="009015AF"/>
    <w:rsid w:val="00BB7FE6"/>
    <w:rsid w:val="00D24E94"/>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179E2"/>
  <w15:chartTrackingRefBased/>
  <w15:docId w15:val="{AC26E59C-4BDE-4E31-AC16-22AC741F3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015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9015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9015A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9015A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9015A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9015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015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015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015A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015AF"/>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9015AF"/>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9015AF"/>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9015AF"/>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9015AF"/>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9015A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015A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015A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015AF"/>
    <w:rPr>
      <w:rFonts w:eastAsiaTheme="majorEastAsia" w:cstheme="majorBidi"/>
      <w:color w:val="272727" w:themeColor="text1" w:themeTint="D8"/>
    </w:rPr>
  </w:style>
  <w:style w:type="paragraph" w:styleId="Ttulo">
    <w:name w:val="Title"/>
    <w:basedOn w:val="Normal"/>
    <w:next w:val="Normal"/>
    <w:link w:val="TtuloChar"/>
    <w:uiPriority w:val="10"/>
    <w:qFormat/>
    <w:rsid w:val="009015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015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015A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015A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015AF"/>
    <w:pPr>
      <w:spacing w:before="160"/>
      <w:jc w:val="center"/>
    </w:pPr>
    <w:rPr>
      <w:i/>
      <w:iCs/>
      <w:color w:val="404040" w:themeColor="text1" w:themeTint="BF"/>
    </w:rPr>
  </w:style>
  <w:style w:type="character" w:customStyle="1" w:styleId="CitaoChar">
    <w:name w:val="Citação Char"/>
    <w:basedOn w:val="Fontepargpadro"/>
    <w:link w:val="Citao"/>
    <w:uiPriority w:val="29"/>
    <w:rsid w:val="009015AF"/>
    <w:rPr>
      <w:i/>
      <w:iCs/>
      <w:color w:val="404040" w:themeColor="text1" w:themeTint="BF"/>
    </w:rPr>
  </w:style>
  <w:style w:type="paragraph" w:styleId="PargrafodaLista">
    <w:name w:val="List Paragraph"/>
    <w:basedOn w:val="Normal"/>
    <w:uiPriority w:val="34"/>
    <w:qFormat/>
    <w:rsid w:val="009015AF"/>
    <w:pPr>
      <w:ind w:left="720"/>
      <w:contextualSpacing/>
    </w:pPr>
  </w:style>
  <w:style w:type="character" w:styleId="nfaseIntensa">
    <w:name w:val="Intense Emphasis"/>
    <w:basedOn w:val="Fontepargpadro"/>
    <w:uiPriority w:val="21"/>
    <w:qFormat/>
    <w:rsid w:val="009015AF"/>
    <w:rPr>
      <w:i/>
      <w:iCs/>
      <w:color w:val="2F5496" w:themeColor="accent1" w:themeShade="BF"/>
    </w:rPr>
  </w:style>
  <w:style w:type="paragraph" w:styleId="CitaoIntensa">
    <w:name w:val="Intense Quote"/>
    <w:basedOn w:val="Normal"/>
    <w:next w:val="Normal"/>
    <w:link w:val="CitaoIntensaChar"/>
    <w:uiPriority w:val="30"/>
    <w:qFormat/>
    <w:rsid w:val="009015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9015AF"/>
    <w:rPr>
      <w:i/>
      <w:iCs/>
      <w:color w:val="2F5496" w:themeColor="accent1" w:themeShade="BF"/>
    </w:rPr>
  </w:style>
  <w:style w:type="character" w:styleId="RefernciaIntensa">
    <w:name w:val="Intense Reference"/>
    <w:basedOn w:val="Fontepargpadro"/>
    <w:uiPriority w:val="32"/>
    <w:qFormat/>
    <w:rsid w:val="009015AF"/>
    <w:rPr>
      <w:b/>
      <w:bCs/>
      <w:smallCaps/>
      <w:color w:val="2F5496" w:themeColor="accent1" w:themeShade="BF"/>
      <w:spacing w:val="5"/>
    </w:rPr>
  </w:style>
  <w:style w:type="table" w:styleId="Tabelacomgrade">
    <w:name w:val="Table Grid"/>
    <w:basedOn w:val="Tabelanormal"/>
    <w:uiPriority w:val="39"/>
    <w:rsid w:val="00D24E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1557</Words>
  <Characters>8413</Characters>
  <Application>Microsoft Office Word</Application>
  <DocSecurity>0</DocSecurity>
  <Lines>70</Lines>
  <Paragraphs>19</Paragraphs>
  <ScaleCrop>false</ScaleCrop>
  <Company/>
  <LinksUpToDate>false</LinksUpToDate>
  <CharactersWithSpaces>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2025-03-11T17:07:00Z</dcterms:created>
  <dcterms:modified xsi:type="dcterms:W3CDTF">2025-03-11T17:15:00Z</dcterms:modified>
</cp:coreProperties>
</file>