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1597E" w14:textId="5FDC99E0" w:rsidR="00A06A73" w:rsidRPr="00A06A73" w:rsidRDefault="00A06A73" w:rsidP="003F4CD0">
      <w:pPr>
        <w:spacing w:before="100" w:beforeAutospacing="1" w:after="100" w:afterAutospacing="1" w:line="240" w:lineRule="auto"/>
        <w:jc w:val="center"/>
        <w:rPr>
          <w:rFonts w:ascii="Book Antiqua" w:hAnsi="Book Antiqua"/>
          <w:b/>
          <w:bCs/>
          <w:color w:val="FF0000"/>
          <w:sz w:val="19"/>
          <w:szCs w:val="19"/>
        </w:rPr>
      </w:pPr>
      <w:r w:rsidRPr="00A06A73">
        <w:rPr>
          <w:rFonts w:ascii="Book Antiqua" w:hAnsi="Book Antiqua"/>
          <w:b/>
          <w:bCs/>
          <w:color w:val="FF0000"/>
          <w:sz w:val="19"/>
          <w:szCs w:val="19"/>
        </w:rPr>
        <w:t xml:space="preserve">(Atualização em </w:t>
      </w:r>
      <w:r w:rsidR="0006789E">
        <w:rPr>
          <w:rFonts w:ascii="Book Antiqua" w:hAnsi="Book Antiqua"/>
          <w:b/>
          <w:bCs/>
          <w:color w:val="FF0000"/>
          <w:sz w:val="19"/>
          <w:szCs w:val="19"/>
        </w:rPr>
        <w:t>15/01/2025</w:t>
      </w:r>
      <w:r w:rsidRPr="00A06A73">
        <w:rPr>
          <w:rFonts w:ascii="Book Antiqua" w:hAnsi="Book Antiqua"/>
          <w:b/>
          <w:bCs/>
          <w:color w:val="FF0000"/>
          <w:sz w:val="19"/>
          <w:szCs w:val="19"/>
        </w:rPr>
        <w:t>: questões de concurso</w:t>
      </w:r>
      <w:r w:rsidR="00082F7D">
        <w:rPr>
          <w:rFonts w:ascii="Book Antiqua" w:hAnsi="Book Antiqua"/>
          <w:b/>
          <w:bCs/>
          <w:color w:val="FF0000"/>
          <w:sz w:val="19"/>
          <w:szCs w:val="19"/>
        </w:rPr>
        <w:t xml:space="preserve">; </w:t>
      </w:r>
      <w:r w:rsidR="00082F7D" w:rsidRPr="00082F7D">
        <w:rPr>
          <w:rFonts w:ascii="Book Antiqua" w:hAnsi="Book Antiqua"/>
          <w:b/>
          <w:bCs/>
          <w:color w:val="FF0000"/>
          <w:sz w:val="19"/>
          <w:szCs w:val="19"/>
        </w:rPr>
        <w:t>Resolução n. 571, de 26 de agosto de 2024</w:t>
      </w:r>
      <w:r w:rsidRPr="00A06A73">
        <w:rPr>
          <w:rFonts w:ascii="Book Antiqua" w:hAnsi="Book Antiqua"/>
          <w:b/>
          <w:bCs/>
          <w:color w:val="FF0000"/>
          <w:sz w:val="19"/>
          <w:szCs w:val="19"/>
        </w:rPr>
        <w:t>)</w:t>
      </w:r>
    </w:p>
    <w:p w14:paraId="2F2BC179" w14:textId="6ABD14BC" w:rsidR="003F4CD0" w:rsidRPr="003F4CD0" w:rsidRDefault="003F4CD0" w:rsidP="003F4CD0">
      <w:pPr>
        <w:spacing w:before="100" w:beforeAutospacing="1" w:after="100" w:afterAutospacing="1" w:line="240" w:lineRule="auto"/>
        <w:jc w:val="center"/>
        <w:rPr>
          <w:rFonts w:ascii="Book Antiqua" w:hAnsi="Book Antiqua"/>
          <w:b/>
          <w:bCs/>
          <w:sz w:val="19"/>
          <w:szCs w:val="19"/>
        </w:rPr>
      </w:pPr>
      <w:r w:rsidRPr="003F4CD0">
        <w:rPr>
          <w:rFonts w:ascii="Book Antiqua" w:hAnsi="Book Antiqua"/>
          <w:b/>
          <w:bCs/>
          <w:sz w:val="19"/>
          <w:szCs w:val="19"/>
        </w:rPr>
        <w:t>RESOLUÇÃO Nº 35, DE 24 DE ABRIL DE 2007</w:t>
      </w:r>
    </w:p>
    <w:p w14:paraId="7177B7DE" w14:textId="133EDDB4" w:rsidR="00D558F1" w:rsidRPr="003F4CD0" w:rsidRDefault="003F4CD0" w:rsidP="003F4CD0">
      <w:pPr>
        <w:tabs>
          <w:tab w:val="center" w:pos="4252"/>
        </w:tabs>
        <w:spacing w:before="100" w:beforeAutospacing="1" w:after="100" w:afterAutospacing="1" w:line="240" w:lineRule="auto"/>
        <w:ind w:left="2268"/>
        <w:jc w:val="both"/>
        <w:rPr>
          <w:rFonts w:ascii="Book Antiqua" w:hAnsi="Book Antiqua"/>
          <w:sz w:val="19"/>
          <w:szCs w:val="19"/>
        </w:rPr>
      </w:pPr>
      <w:r w:rsidRPr="003F4CD0">
        <w:rPr>
          <w:rFonts w:ascii="Book Antiqua" w:hAnsi="Book Antiqua"/>
          <w:sz w:val="19"/>
          <w:szCs w:val="19"/>
        </w:rPr>
        <w:t>Disciplina a lavratura dos atos notariais relacionados a inventário, partilha, separação consensual, divórcio consensual e extinção consensual de união estável por via administrativa. (Redação dada pela Resolução nº 326, de 26.6.2020)</w:t>
      </w:r>
    </w:p>
    <w:p w14:paraId="6DCBF1D1" w14:textId="4408DE4E" w:rsidR="003F4CD0" w:rsidRPr="003F4CD0" w:rsidRDefault="003F4CD0" w:rsidP="003F4CD0">
      <w:pPr>
        <w:tabs>
          <w:tab w:val="center" w:pos="4252"/>
        </w:tabs>
        <w:spacing w:before="100" w:beforeAutospacing="1" w:after="100" w:afterAutospacing="1" w:line="240" w:lineRule="auto"/>
        <w:jc w:val="both"/>
        <w:rPr>
          <w:rFonts w:ascii="Book Antiqua" w:hAnsi="Book Antiqua"/>
          <w:sz w:val="19"/>
          <w:szCs w:val="19"/>
        </w:rPr>
      </w:pPr>
    </w:p>
    <w:p w14:paraId="1FA8D30E"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b/>
          <w:bCs/>
          <w:sz w:val="19"/>
          <w:szCs w:val="19"/>
        </w:rPr>
        <w:t>A PRESIDENTE DO CONSELHO NACIONAL DE JUSTIÇA</w:t>
      </w:r>
      <w:r w:rsidRPr="003F4CD0">
        <w:rPr>
          <w:rFonts w:ascii="Book Antiqua" w:hAnsi="Book Antiqua"/>
          <w:sz w:val="19"/>
          <w:szCs w:val="19"/>
        </w:rPr>
        <w:t>, no uso de suas atribuições constitucionais e regimentais, e tendo em vista o disposto no art. 19, I, do Regimento Interno deste Conselho, e</w:t>
      </w:r>
    </w:p>
    <w:p w14:paraId="2AB573DD"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 </w:t>
      </w:r>
      <w:r w:rsidRPr="003F4CD0">
        <w:rPr>
          <w:rFonts w:ascii="Book Antiqua" w:hAnsi="Book Antiqua"/>
          <w:b/>
          <w:bCs/>
          <w:sz w:val="19"/>
          <w:szCs w:val="19"/>
        </w:rPr>
        <w:t>CONSIDERANDO</w:t>
      </w:r>
      <w:r w:rsidRPr="003F4CD0">
        <w:rPr>
          <w:rFonts w:ascii="Book Antiqua" w:hAnsi="Book Antiqua"/>
          <w:sz w:val="19"/>
          <w:szCs w:val="19"/>
        </w:rPr>
        <w:t> que a aplicação da Lei nº 11.441/2007 tem gerado muitas divergências;</w:t>
      </w:r>
    </w:p>
    <w:p w14:paraId="0E2AAC78"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b/>
          <w:bCs/>
          <w:sz w:val="19"/>
          <w:szCs w:val="19"/>
        </w:rPr>
        <w:t>CONSIDERANDO</w:t>
      </w:r>
      <w:r w:rsidRPr="003F4CD0">
        <w:rPr>
          <w:rFonts w:ascii="Book Antiqua" w:hAnsi="Book Antiqua"/>
          <w:sz w:val="19"/>
          <w:szCs w:val="19"/>
        </w:rPr>
        <w:t> que a finalidade da referida lei foi tornar mais ágeis e menos onerosos os atos a que se refere e, ao mesmo tempo, descongestionar o Poder Judiciário;</w:t>
      </w:r>
    </w:p>
    <w:p w14:paraId="16274080"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b/>
          <w:bCs/>
          <w:sz w:val="19"/>
          <w:szCs w:val="19"/>
        </w:rPr>
        <w:t>CONSIDERANDO</w:t>
      </w:r>
      <w:r w:rsidRPr="003F4CD0">
        <w:rPr>
          <w:rFonts w:ascii="Book Antiqua" w:hAnsi="Book Antiqua"/>
          <w:sz w:val="19"/>
          <w:szCs w:val="19"/>
        </w:rPr>
        <w:t> a necessidade de adoção de medidas uniformes quanto à aplicação da Lei nº 11.441/2007 em todo o território nacional, com vistas a prevenir e evitar conflitos;</w:t>
      </w:r>
    </w:p>
    <w:p w14:paraId="7AE23E38"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b/>
          <w:bCs/>
          <w:sz w:val="19"/>
          <w:szCs w:val="19"/>
        </w:rPr>
        <w:t>CONSIDERANDO</w:t>
      </w:r>
      <w:r w:rsidRPr="003F4CD0">
        <w:rPr>
          <w:rFonts w:ascii="Book Antiqua" w:hAnsi="Book Antiqua"/>
          <w:sz w:val="19"/>
          <w:szCs w:val="19"/>
        </w:rPr>
        <w:t> as sugestões apresentadas pelos Corregedores-Gerais de Justiça dos Estados e do Distrito Federal em reunião promovida pela Corregedoria Nacional de Justiça;</w:t>
      </w:r>
    </w:p>
    <w:p w14:paraId="5479F4BC"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b/>
          <w:bCs/>
          <w:sz w:val="19"/>
          <w:szCs w:val="19"/>
        </w:rPr>
        <w:t>CONSIDERANDO</w:t>
      </w:r>
      <w:r w:rsidRPr="003F4CD0">
        <w:rPr>
          <w:rFonts w:ascii="Book Antiqua" w:hAnsi="Book Antiqua"/>
          <w:sz w:val="19"/>
          <w:szCs w:val="19"/>
        </w:rPr>
        <w:t> que, sobre o tema, foram ouvidos o Conselho Federal da Ordem dos Advogados do Brasil e a Associação dos Notários e Registradores do Brasil;</w:t>
      </w:r>
    </w:p>
    <w:p w14:paraId="7B9631CB" w14:textId="4945DAFD"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 </w:t>
      </w:r>
      <w:r w:rsidRPr="003F4CD0">
        <w:rPr>
          <w:rFonts w:ascii="Book Antiqua" w:hAnsi="Book Antiqua"/>
          <w:b/>
          <w:bCs/>
          <w:sz w:val="19"/>
          <w:szCs w:val="19"/>
        </w:rPr>
        <w:t>RESOLVE:</w:t>
      </w:r>
    </w:p>
    <w:p w14:paraId="6579D974"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Seção I</w:t>
      </w:r>
    </w:p>
    <w:p w14:paraId="0E982B22"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DISPOSIÇÕES DE CARÁTER GERAL</w:t>
      </w:r>
    </w:p>
    <w:p w14:paraId="1216482A" w14:textId="6BB39E09" w:rsidR="004E7DCF" w:rsidRPr="004E7DCF" w:rsidRDefault="004E7DCF"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Art. 1º Para a lavratura dos atos notariais relacionados a inventário, partilha, divórcio, declaração de separação de fato e extinção de união estável consensuais por via administrativa, é livre a escolha do tabelião de notas, não se aplicando as regras de competência do Código de Processo Civil. </w:t>
      </w:r>
      <w:hyperlink r:id="rId4" w:tgtFrame="_blank" w:history="1">
        <w:r w:rsidRPr="004E7DCF">
          <w:rPr>
            <w:rStyle w:val="Hyperlink"/>
            <w:rFonts w:ascii="Book Antiqua" w:hAnsi="Book Antiqua"/>
            <w:sz w:val="16"/>
            <w:szCs w:val="16"/>
          </w:rPr>
          <w:t>(redação dada pela Resolução n. 571, de 26.8.2024)</w:t>
        </w:r>
      </w:hyperlink>
    </w:p>
    <w:p w14:paraId="2E53FF6B" w14:textId="6DE4B974"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C93CD3">
        <w:rPr>
          <w:rFonts w:ascii="Book Antiqua" w:hAnsi="Book Antiqua"/>
          <w:b/>
          <w:bCs/>
          <w:sz w:val="19"/>
          <w:szCs w:val="19"/>
          <w:highlight w:val="magenta"/>
        </w:rPr>
        <w:t>Art. 2°</w:t>
      </w:r>
      <w:r w:rsidRPr="003F4CD0">
        <w:rPr>
          <w:rFonts w:ascii="Book Antiqua" w:hAnsi="Book Antiqua"/>
          <w:sz w:val="19"/>
          <w:szCs w:val="19"/>
        </w:rPr>
        <w:t xml:space="preserve"> </w:t>
      </w:r>
      <w:r w:rsidRPr="00E1445E">
        <w:rPr>
          <w:rFonts w:ascii="Book Antiqua" w:hAnsi="Book Antiqua"/>
          <w:b/>
          <w:bCs/>
          <w:caps/>
          <w:sz w:val="19"/>
          <w:szCs w:val="19"/>
          <w:highlight w:val="green"/>
        </w:rPr>
        <w:t>É facultada</w:t>
      </w:r>
      <w:r w:rsidRPr="00C93CD3">
        <w:rPr>
          <w:rFonts w:ascii="Book Antiqua" w:hAnsi="Book Antiqua"/>
          <w:b/>
          <w:bCs/>
          <w:sz w:val="19"/>
          <w:szCs w:val="19"/>
        </w:rPr>
        <w:t xml:space="preserve"> aos interessados a opção pela via judicial ou extrajudicial; podendo ser solicitada, a qualquer momento, a suspensão, pelo prazo de 30 dias, ou a desistência da via judicial, para promoção da via extrajudicial</w:t>
      </w:r>
      <w:r w:rsidRPr="004E7DCF">
        <w:rPr>
          <w:rFonts w:ascii="Book Antiqua" w:hAnsi="Book Antiqua"/>
          <w:sz w:val="18"/>
          <w:szCs w:val="18"/>
        </w:rPr>
        <w:t>.</w:t>
      </w:r>
      <w:r w:rsidR="00C53A46" w:rsidRPr="004E7DCF">
        <w:rPr>
          <w:rFonts w:ascii="Book Antiqua" w:hAnsi="Book Antiqua"/>
          <w:sz w:val="18"/>
          <w:szCs w:val="18"/>
        </w:rPr>
        <w:t xml:space="preserve"> </w:t>
      </w:r>
      <w:r w:rsidR="00C53A46" w:rsidRPr="004E7DCF">
        <w:rPr>
          <w:rFonts w:ascii="Book Antiqua" w:eastAsia="Times New Roman" w:hAnsi="Book Antiqua" w:cs="Arial"/>
          <w:b/>
          <w:bCs/>
          <w:color w:val="FF0000"/>
          <w:sz w:val="16"/>
          <w:szCs w:val="16"/>
          <w:u w:val="single"/>
          <w:lang w:eastAsia="pt-BR"/>
        </w:rPr>
        <w:t>(Cartórios/TJMG-2012</w:t>
      </w:r>
      <w:r w:rsidR="00E1445E" w:rsidRPr="004E7DCF">
        <w:rPr>
          <w:rFonts w:ascii="Book Antiqua" w:eastAsia="Times New Roman" w:hAnsi="Book Antiqua" w:cs="Arial"/>
          <w:b/>
          <w:bCs/>
          <w:color w:val="FF0000"/>
          <w:sz w:val="16"/>
          <w:szCs w:val="16"/>
          <w:u w:val="single"/>
          <w:lang w:eastAsia="pt-BR"/>
        </w:rPr>
        <w:t>/2015</w:t>
      </w:r>
      <w:r w:rsidR="00C53A46" w:rsidRPr="004E7DCF">
        <w:rPr>
          <w:rFonts w:ascii="Book Antiqua" w:eastAsia="Times New Roman" w:hAnsi="Book Antiqua" w:cs="Arial"/>
          <w:b/>
          <w:bCs/>
          <w:color w:val="FF0000"/>
          <w:sz w:val="16"/>
          <w:szCs w:val="16"/>
          <w:u w:val="single"/>
          <w:lang w:eastAsia="pt-BR"/>
        </w:rPr>
        <w:t>)</w:t>
      </w:r>
      <w:r w:rsidR="00C93CD3" w:rsidRPr="004E7DCF">
        <w:rPr>
          <w:rFonts w:ascii="Book Antiqua" w:hAnsi="Book Antiqua"/>
          <w:sz w:val="18"/>
          <w:szCs w:val="18"/>
        </w:rPr>
        <w:t xml:space="preserve"> </w:t>
      </w:r>
      <w:r w:rsidR="00C93CD3" w:rsidRPr="004E7DCF">
        <w:rPr>
          <w:rFonts w:ascii="Book Antiqua" w:hAnsi="Book Antiqua"/>
          <w:b/>
          <w:bCs/>
          <w:color w:val="FF0000"/>
          <w:sz w:val="16"/>
          <w:szCs w:val="16"/>
          <w:u w:val="single"/>
        </w:rPr>
        <w:t>(Cartórios/TJGO-2021)</w:t>
      </w:r>
    </w:p>
    <w:p w14:paraId="3FCD7AE8"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9"/>
          <w:szCs w:val="19"/>
        </w:rPr>
      </w:pPr>
      <w:r w:rsidRPr="004E7DCF">
        <w:rPr>
          <w:rFonts w:ascii="Book Antiqua" w:hAnsi="Book Antiqua"/>
          <w:sz w:val="19"/>
          <w:szCs w:val="19"/>
        </w:rPr>
        <w:t>Art. 3º As escrituras públicas de inventário e partilha, divórcio, declaração de separação de fato e extinção da união estável consensuais não dependem de homologação judicial e são títulos hábeis para o registro civil e o registro imobiliário, para a transferência de bens e direitos, bem como para promoção de todos os atos necessários à materialização das transferências de bens e levantamento de valores (DETRAN, Junta Comercial, Registro Civil das Pessoas Jurídicas, instituições financeiras, companhias telefônicas etc.) </w:t>
      </w:r>
      <w:hyperlink r:id="rId5" w:tgtFrame="_blank" w:history="1">
        <w:r w:rsidRPr="004E7DCF">
          <w:rPr>
            <w:rStyle w:val="Hyperlink"/>
            <w:rFonts w:ascii="Book Antiqua" w:hAnsi="Book Antiqua"/>
            <w:sz w:val="16"/>
            <w:szCs w:val="16"/>
          </w:rPr>
          <w:t>(redação dada pela Resolução n. 571, de 26.8.2024)</w:t>
        </w:r>
      </w:hyperlink>
    </w:p>
    <w:p w14:paraId="48F0E927"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Parágrafo único: A pedido das partes da escritura pública, pode o tabelião de notas emitir certidão ou traslado por quesitos, especificando apenas os bens, direitos e obrigações a que pretendam dar publicidade</w:t>
      </w:r>
      <w:r w:rsidRPr="004E7DCF">
        <w:rPr>
          <w:rFonts w:ascii="Book Antiqua" w:hAnsi="Book Antiqua"/>
          <w:sz w:val="16"/>
          <w:szCs w:val="16"/>
        </w:rPr>
        <w:t>. </w:t>
      </w:r>
      <w:hyperlink r:id="rId6" w:tgtFrame="_blank" w:history="1">
        <w:r w:rsidRPr="004E7DCF">
          <w:rPr>
            <w:rStyle w:val="Hyperlink"/>
            <w:rFonts w:ascii="Book Antiqua" w:hAnsi="Book Antiqua"/>
            <w:sz w:val="16"/>
            <w:szCs w:val="16"/>
          </w:rPr>
          <w:t>(incluído pela Resolução n. 571, de 26.8.2024)</w:t>
        </w:r>
      </w:hyperlink>
    </w:p>
    <w:p w14:paraId="622EEB60" w14:textId="7B259DB1"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4º O valor dos emolumentos deverá corresponder ao efetivo custo e à adequada e suficiente remuneração dos serviços prestados, conforme estabelecido no parágrafo único do art. 1º da </w:t>
      </w:r>
      <w:hyperlink r:id="rId7" w:tgtFrame="_blank" w:history="1">
        <w:r w:rsidRPr="009D55A3">
          <w:rPr>
            <w:rStyle w:val="Hyperlink"/>
            <w:rFonts w:ascii="Book Antiqua" w:hAnsi="Book Antiqua"/>
            <w:color w:val="3333FF"/>
            <w:sz w:val="19"/>
            <w:szCs w:val="19"/>
          </w:rPr>
          <w:t>Lei nº 10.169/2000</w:t>
        </w:r>
      </w:hyperlink>
      <w:r w:rsidRPr="003F4CD0">
        <w:rPr>
          <w:rFonts w:ascii="Book Antiqua" w:hAnsi="Book Antiqua"/>
          <w:sz w:val="19"/>
          <w:szCs w:val="19"/>
        </w:rPr>
        <w:t>, observando-se, quanto a sua fixação, as regras previstas no art. 2º da citada lei.</w:t>
      </w:r>
    </w:p>
    <w:p w14:paraId="3D08A0F6" w14:textId="12F4E3E5"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bCs/>
          <w:sz w:val="19"/>
          <w:szCs w:val="19"/>
        </w:rPr>
      </w:pPr>
      <w:r w:rsidRPr="004E7DCF">
        <w:rPr>
          <w:rFonts w:ascii="Book Antiqua" w:hAnsi="Book Antiqua"/>
          <w:b/>
          <w:bCs/>
          <w:sz w:val="19"/>
          <w:szCs w:val="19"/>
          <w:highlight w:val="magenta"/>
        </w:rPr>
        <w:lastRenderedPageBreak/>
        <w:t>Art. 5º</w:t>
      </w:r>
      <w:r w:rsidRPr="004E7DCF">
        <w:rPr>
          <w:rFonts w:ascii="Book Antiqua" w:hAnsi="Book Antiqua"/>
          <w:b/>
          <w:bCs/>
          <w:sz w:val="19"/>
          <w:szCs w:val="19"/>
        </w:rPr>
        <w:t xml:space="preserve"> É vedada a fixação de emolumentos em percentual incidente sobre o valor do negócio jurídico objeto dos serviços notariais e de registro (Lei nº 10.169, de 2000, art. 3º, inciso II).</w:t>
      </w:r>
      <w:r w:rsidR="004E7DCF" w:rsidRPr="004E7DCF">
        <w:rPr>
          <w:rFonts w:ascii="Book Antiqua" w:hAnsi="Book Antiqua"/>
          <w:b/>
          <w:bCs/>
          <w:sz w:val="19"/>
          <w:szCs w:val="19"/>
        </w:rPr>
        <w:t xml:space="preserve"> </w:t>
      </w:r>
      <w:r w:rsidR="004E7DCF" w:rsidRPr="004E7DCF">
        <w:rPr>
          <w:rFonts w:ascii="Book Antiqua" w:eastAsia="Times New Roman" w:hAnsi="Book Antiqua" w:cs="Arial"/>
          <w:b/>
          <w:bCs/>
          <w:color w:val="FF0000"/>
          <w:sz w:val="16"/>
          <w:szCs w:val="16"/>
          <w:u w:val="single"/>
          <w:lang w:eastAsia="pt-BR"/>
        </w:rPr>
        <w:t>(Cartórios/TJSE-2023)</w:t>
      </w:r>
    </w:p>
    <w:tbl>
      <w:tblPr>
        <w:tblStyle w:val="Tabelacomgrade"/>
        <w:tblW w:w="0" w:type="auto"/>
        <w:tblLook w:val="04A0" w:firstRow="1" w:lastRow="0" w:firstColumn="1" w:lastColumn="0" w:noHBand="0" w:noVBand="1"/>
      </w:tblPr>
      <w:tblGrid>
        <w:gridCol w:w="8494"/>
      </w:tblGrid>
      <w:tr w:rsidR="00F77D36" w14:paraId="19A2FA4E" w14:textId="77777777" w:rsidTr="0058576D">
        <w:tc>
          <w:tcPr>
            <w:tcW w:w="8494" w:type="dxa"/>
            <w:shd w:val="clear" w:color="auto" w:fill="CCFFFF"/>
          </w:tcPr>
          <w:p w14:paraId="26E0D047" w14:textId="1913E13E" w:rsidR="00F77D36" w:rsidRPr="003F4CD0" w:rsidRDefault="00F77D36" w:rsidP="00F77D36">
            <w:pPr>
              <w:tabs>
                <w:tab w:val="center" w:pos="4252"/>
              </w:tabs>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Cartórios/TJSE-2023-FGV</w:t>
            </w:r>
            <w:r>
              <w:rPr>
                <w:rFonts w:ascii="Book Antiqua" w:hAnsi="Book Antiqua"/>
                <w:b/>
                <w:bCs/>
                <w:sz w:val="19"/>
                <w:szCs w:val="19"/>
              </w:rPr>
              <w:t>)</w:t>
            </w:r>
            <w:r>
              <w:rPr>
                <w:rFonts w:ascii="Book Antiqua" w:hAnsi="Book Antiqua"/>
                <w:sz w:val="19"/>
                <w:szCs w:val="19"/>
              </w:rPr>
              <w:t xml:space="preserve">: </w:t>
            </w:r>
            <w:r w:rsidRPr="00F77D36">
              <w:rPr>
                <w:rFonts w:ascii="Book Antiqua" w:hAnsi="Book Antiqua"/>
                <w:sz w:val="19"/>
                <w:szCs w:val="19"/>
              </w:rPr>
              <w:t>Lei ordinária do Estado Alfa, publicada em 10/12/22, estabeleceu novo teto majorado para o valor dos emolumentos devidos pela prestação dos serviços notariais e de registro, teto este que entraria em vigor a partir de 20/03/23. A lei também previa que Resolução da Corregedoria-Geral da Justiça do Tribunal de Justiça do Estado Alfa (CGJ-Alfa) poderia definir, até o teto estabelecido legalmente, o valor a ser efetivamente cobrado a título de emolumentos, bem como poderia fixar emolumentos em percentual incidente sobre o valor do negócio jurídico objeto dos serviços notariais e de registro.</w:t>
            </w:r>
            <w:r>
              <w:rPr>
                <w:rFonts w:ascii="Book Antiqua" w:hAnsi="Book Antiqua"/>
                <w:sz w:val="19"/>
                <w:szCs w:val="19"/>
              </w:rPr>
              <w:t xml:space="preserve"> </w:t>
            </w:r>
            <w:r w:rsidRPr="00F77D36">
              <w:rPr>
                <w:rFonts w:ascii="Book Antiqua" w:hAnsi="Book Antiqua"/>
                <w:sz w:val="19"/>
                <w:szCs w:val="19"/>
              </w:rPr>
              <w:t>Diante desse cenário, é correto afirmar que</w:t>
            </w:r>
            <w:r>
              <w:rPr>
                <w:rFonts w:ascii="Book Antiqua" w:hAnsi="Book Antiqua"/>
                <w:sz w:val="19"/>
                <w:szCs w:val="19"/>
              </w:rPr>
              <w:t xml:space="preserve"> </w:t>
            </w:r>
            <w:r w:rsidRPr="00F77D36">
              <w:rPr>
                <w:rFonts w:ascii="Book Antiqua" w:hAnsi="Book Antiqua"/>
                <w:sz w:val="19"/>
                <w:szCs w:val="19"/>
              </w:rPr>
              <w:t>a fixação de emolumentos em percentual incidente sobre o valor do negócio jurídico, objeto dos serviços notariais e de registro, não é admitida</w:t>
            </w:r>
            <w:r w:rsidRPr="00245DAB">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5º, Res. 35/07.</w:t>
            </w:r>
          </w:p>
        </w:tc>
      </w:tr>
    </w:tbl>
    <w:p w14:paraId="309693B1" w14:textId="1A7284A1" w:rsidR="004E7DCF" w:rsidRPr="004E7DCF" w:rsidRDefault="004E7DCF"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Art. 6º A gratuidade prevista na norma adjetiva compreende as escrituras de inventário, partilha, divórcio, separação de fato e extinção da união estável consensuais. </w:t>
      </w:r>
      <w:hyperlink r:id="rId8" w:tgtFrame="_blank" w:history="1">
        <w:r w:rsidRPr="004E7DCF">
          <w:rPr>
            <w:rStyle w:val="Hyperlink"/>
            <w:rFonts w:ascii="Book Antiqua" w:hAnsi="Book Antiqua"/>
            <w:sz w:val="16"/>
            <w:szCs w:val="16"/>
          </w:rPr>
          <w:t>(redação dada pela Resolução n. 571, de 26.8.2024)</w:t>
        </w:r>
      </w:hyperlink>
    </w:p>
    <w:p w14:paraId="355CF3EE" w14:textId="49CCBB1B" w:rsidR="003F4CD0" w:rsidRPr="004E7DCF" w:rsidRDefault="003F4CD0" w:rsidP="003F4CD0">
      <w:pPr>
        <w:tabs>
          <w:tab w:val="center" w:pos="4252"/>
        </w:tabs>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C4BCA">
        <w:rPr>
          <w:rFonts w:ascii="Book Antiqua" w:hAnsi="Book Antiqua"/>
          <w:b/>
          <w:bCs/>
          <w:sz w:val="19"/>
          <w:szCs w:val="19"/>
          <w:highlight w:val="magenta"/>
        </w:rPr>
        <w:t>Art. 7º</w:t>
      </w:r>
      <w:r w:rsidRPr="00FC4BCA">
        <w:rPr>
          <w:rFonts w:ascii="Book Antiqua" w:hAnsi="Book Antiqua"/>
          <w:b/>
          <w:bCs/>
          <w:sz w:val="19"/>
          <w:szCs w:val="19"/>
        </w:rPr>
        <w:t xml:space="preserve"> Para a obtenção da gratuidade pontuada nesta norma, </w:t>
      </w:r>
      <w:r w:rsidRPr="00FC4BCA">
        <w:rPr>
          <w:rFonts w:ascii="Book Antiqua" w:hAnsi="Book Antiqua"/>
          <w:b/>
          <w:bCs/>
          <w:caps/>
          <w:sz w:val="19"/>
          <w:szCs w:val="19"/>
          <w:highlight w:val="green"/>
        </w:rPr>
        <w:t>basta</w:t>
      </w:r>
      <w:r w:rsidRPr="00FC4BCA">
        <w:rPr>
          <w:rFonts w:ascii="Book Antiqua" w:hAnsi="Book Antiqua"/>
          <w:b/>
          <w:bCs/>
          <w:sz w:val="19"/>
          <w:szCs w:val="19"/>
        </w:rPr>
        <w:t xml:space="preserve"> a simples declaração dos interessados de que não possuem condições de arcar com os emolumentos, ainda que as partes estejam assistidas por advogado constituído</w:t>
      </w:r>
      <w:r w:rsidR="009D55A3" w:rsidRPr="004E7DCF">
        <w:rPr>
          <w:rFonts w:ascii="Book Antiqua" w:hAnsi="Book Antiqua"/>
          <w:sz w:val="18"/>
          <w:szCs w:val="18"/>
        </w:rPr>
        <w:t>.</w:t>
      </w:r>
      <w:r w:rsidRPr="004E7DCF">
        <w:rPr>
          <w:rFonts w:ascii="Book Antiqua" w:hAnsi="Book Antiqua"/>
          <w:sz w:val="18"/>
          <w:szCs w:val="18"/>
        </w:rPr>
        <w:t xml:space="preserve"> </w:t>
      </w:r>
      <w:r w:rsidRPr="004E7DCF">
        <w:rPr>
          <w:rFonts w:ascii="Book Antiqua" w:hAnsi="Book Antiqua"/>
          <w:color w:val="3333FF"/>
          <w:sz w:val="16"/>
          <w:szCs w:val="16"/>
        </w:rPr>
        <w:t>(</w:t>
      </w:r>
      <w:hyperlink r:id="rId9" w:history="1">
        <w:r w:rsidRPr="004E7DCF">
          <w:rPr>
            <w:rStyle w:val="Hyperlink"/>
            <w:rFonts w:ascii="Book Antiqua" w:hAnsi="Book Antiqua"/>
            <w:color w:val="3333FF"/>
            <w:sz w:val="16"/>
            <w:szCs w:val="16"/>
          </w:rPr>
          <w:t>Redação dada pela Resolução nº 326, de 26.6.2020</w:t>
        </w:r>
      </w:hyperlink>
      <w:r w:rsidRPr="004E7DCF">
        <w:rPr>
          <w:rFonts w:ascii="Book Antiqua" w:hAnsi="Book Antiqua"/>
          <w:color w:val="3333FF"/>
          <w:sz w:val="16"/>
          <w:szCs w:val="16"/>
        </w:rPr>
        <w:t>) </w:t>
      </w:r>
      <w:bookmarkStart w:id="0" w:name="_Hlk133321005"/>
      <w:r w:rsidR="00FC4BCA" w:rsidRPr="004E7DCF">
        <w:rPr>
          <w:rFonts w:ascii="Book Antiqua" w:eastAsia="Times New Roman" w:hAnsi="Book Antiqua" w:cs="Arial"/>
          <w:b/>
          <w:bCs/>
          <w:color w:val="FF0000"/>
          <w:sz w:val="16"/>
          <w:szCs w:val="16"/>
          <w:u w:val="single"/>
          <w:lang w:eastAsia="pt-BR"/>
        </w:rPr>
        <w:t>(Cartórios/TJSC-2021)</w:t>
      </w:r>
      <w:bookmarkEnd w:id="0"/>
    </w:p>
    <w:p w14:paraId="01EE77EF" w14:textId="148C7CDE" w:rsidR="003F4CD0" w:rsidRPr="00B47A0B" w:rsidRDefault="003F4CD0" w:rsidP="003F4CD0">
      <w:pPr>
        <w:tabs>
          <w:tab w:val="center" w:pos="4252"/>
        </w:tabs>
        <w:spacing w:before="100" w:beforeAutospacing="1" w:after="100" w:afterAutospacing="1" w:line="240" w:lineRule="auto"/>
        <w:ind w:firstLine="567"/>
        <w:jc w:val="both"/>
        <w:rPr>
          <w:rFonts w:ascii="Book Antiqua" w:hAnsi="Book Antiqua"/>
          <w:b/>
          <w:bCs/>
          <w:sz w:val="18"/>
          <w:szCs w:val="18"/>
          <w:u w:val="single"/>
        </w:rPr>
      </w:pPr>
      <w:r w:rsidRPr="00B47A0B">
        <w:rPr>
          <w:rFonts w:ascii="Book Antiqua" w:hAnsi="Book Antiqua"/>
          <w:b/>
          <w:bCs/>
          <w:sz w:val="19"/>
          <w:szCs w:val="19"/>
          <w:highlight w:val="magenta"/>
        </w:rPr>
        <w:t>Art. 8º</w:t>
      </w:r>
      <w:r w:rsidRPr="00B47A0B">
        <w:rPr>
          <w:rFonts w:ascii="Book Antiqua" w:hAnsi="Book Antiqua"/>
          <w:b/>
          <w:bCs/>
          <w:sz w:val="19"/>
          <w:szCs w:val="19"/>
        </w:rPr>
        <w:t xml:space="preserve"> É necessária a presença do advogado, dispensada a procuração, ou do defensor público, na lavratura das escrituras aqui referidas, nelas constando seu nome e registro na OAB</w:t>
      </w:r>
      <w:r w:rsidRPr="003F4CD0">
        <w:rPr>
          <w:rFonts w:ascii="Book Antiqua" w:hAnsi="Book Antiqua"/>
          <w:sz w:val="19"/>
          <w:szCs w:val="19"/>
        </w:rPr>
        <w:t>.</w:t>
      </w:r>
      <w:r w:rsidR="00B47A0B">
        <w:rPr>
          <w:rFonts w:ascii="Book Antiqua" w:hAnsi="Book Antiqua"/>
          <w:sz w:val="19"/>
          <w:szCs w:val="19"/>
        </w:rPr>
        <w:t xml:space="preserve"> </w:t>
      </w:r>
      <w:r w:rsidRPr="004E7DCF">
        <w:rPr>
          <w:rFonts w:ascii="Book Antiqua" w:hAnsi="Book Antiqua"/>
          <w:color w:val="3333FF"/>
          <w:sz w:val="16"/>
          <w:szCs w:val="16"/>
        </w:rPr>
        <w:t>(</w:t>
      </w:r>
      <w:hyperlink r:id="rId10" w:history="1">
        <w:r w:rsidRPr="004E7DCF">
          <w:rPr>
            <w:rStyle w:val="Hyperlink"/>
            <w:rFonts w:ascii="Book Antiqua" w:hAnsi="Book Antiqua"/>
            <w:color w:val="3333FF"/>
            <w:sz w:val="16"/>
            <w:szCs w:val="16"/>
          </w:rPr>
          <w:t>Redação dada pela Resolução nº 326, de 26.6.2020</w:t>
        </w:r>
      </w:hyperlink>
      <w:r w:rsidRPr="004E7DCF">
        <w:rPr>
          <w:rFonts w:ascii="Book Antiqua" w:hAnsi="Book Antiqua"/>
          <w:color w:val="3333FF"/>
          <w:sz w:val="16"/>
          <w:szCs w:val="16"/>
        </w:rPr>
        <w:t>)</w:t>
      </w:r>
      <w:r w:rsidR="00D805C4" w:rsidRPr="004E7DCF">
        <w:rPr>
          <w:rFonts w:ascii="Book Antiqua" w:hAnsi="Book Antiqua"/>
          <w:color w:val="3333FF"/>
          <w:sz w:val="16"/>
          <w:szCs w:val="16"/>
          <w:u w:val="single"/>
        </w:rPr>
        <w:t xml:space="preserve"> </w:t>
      </w:r>
      <w:r w:rsidR="00D805C4" w:rsidRPr="004E7DCF">
        <w:rPr>
          <w:rFonts w:ascii="Book Antiqua" w:hAnsi="Book Antiqua" w:cs="Arial"/>
          <w:b/>
          <w:color w:val="FF0000"/>
          <w:sz w:val="16"/>
          <w:szCs w:val="16"/>
          <w:u w:val="single"/>
        </w:rPr>
        <w:t>(Cartórios/TJMS-2021)</w:t>
      </w:r>
      <w:r w:rsidRPr="004E7DCF">
        <w:rPr>
          <w:rFonts w:ascii="Book Antiqua" w:hAnsi="Book Antiqua"/>
          <w:sz w:val="16"/>
          <w:szCs w:val="16"/>
        </w:rPr>
        <w:t> </w:t>
      </w:r>
      <w:r w:rsidR="00B47A0B" w:rsidRPr="004E7DCF">
        <w:rPr>
          <w:rFonts w:ascii="Book Antiqua" w:hAnsi="Book Antiqua"/>
          <w:b/>
          <w:bCs/>
          <w:color w:val="FF0000"/>
          <w:sz w:val="16"/>
          <w:szCs w:val="16"/>
          <w:u w:val="single"/>
        </w:rPr>
        <w:t>(DPEPI-2022)</w:t>
      </w:r>
    </w:p>
    <w:p w14:paraId="347BB509" w14:textId="360236EA"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46394C">
        <w:rPr>
          <w:rFonts w:ascii="Book Antiqua" w:hAnsi="Book Antiqua"/>
          <w:b/>
          <w:bCs/>
          <w:sz w:val="19"/>
          <w:szCs w:val="19"/>
          <w:highlight w:val="magenta"/>
        </w:rPr>
        <w:t>Art. 9º</w:t>
      </w:r>
      <w:r w:rsidRPr="0046394C">
        <w:rPr>
          <w:rFonts w:ascii="Book Antiqua" w:hAnsi="Book Antiqua"/>
          <w:b/>
          <w:bCs/>
          <w:sz w:val="19"/>
          <w:szCs w:val="19"/>
        </w:rPr>
        <w:t xml:space="preserve"> É vedada ao tabelião a indicação de advogado às partes, que deverão comparecer para o ato notarial acompanhadas de profissional de sua confiança. Se as partes não dispuserem de condições econômicas para contratar advogado, o tabelião deverá recomendar-lhes a Defensoria Pública, onde houver, ou, na sua falta, a Seccional da Ordem dos Advogados do Brasil</w:t>
      </w:r>
      <w:r w:rsidRPr="003F4CD0">
        <w:rPr>
          <w:rFonts w:ascii="Book Antiqua" w:hAnsi="Book Antiqua"/>
          <w:sz w:val="19"/>
          <w:szCs w:val="19"/>
        </w:rPr>
        <w:t>.</w:t>
      </w:r>
      <w:r w:rsidR="0046394C">
        <w:rPr>
          <w:rFonts w:ascii="Book Antiqua" w:hAnsi="Book Antiqua"/>
          <w:sz w:val="19"/>
          <w:szCs w:val="19"/>
        </w:rPr>
        <w:t xml:space="preserve"> </w:t>
      </w:r>
      <w:r w:rsidR="0046394C" w:rsidRPr="004E7DCF">
        <w:rPr>
          <w:rFonts w:ascii="Book Antiqua" w:eastAsia="Times New Roman" w:hAnsi="Book Antiqua" w:cs="Times New Roman"/>
          <w:b/>
          <w:bCs/>
          <w:color w:val="FF0000"/>
          <w:sz w:val="16"/>
          <w:szCs w:val="16"/>
          <w:u w:val="single"/>
          <w:lang w:eastAsia="pt-BR"/>
        </w:rPr>
        <w:t>(Cartórios/TJAL-2019)</w:t>
      </w:r>
    </w:p>
    <w:p w14:paraId="1EFE0551" w14:textId="77777777" w:rsidR="003F4CD0" w:rsidRPr="009D55A3" w:rsidRDefault="003F4CD0" w:rsidP="003F4CD0">
      <w:pPr>
        <w:tabs>
          <w:tab w:val="center" w:pos="4252"/>
        </w:tabs>
        <w:spacing w:before="100" w:beforeAutospacing="1" w:after="100" w:afterAutospacing="1" w:line="240" w:lineRule="auto"/>
        <w:ind w:firstLine="567"/>
        <w:jc w:val="both"/>
        <w:rPr>
          <w:rFonts w:ascii="Book Antiqua" w:hAnsi="Book Antiqua"/>
          <w:color w:val="3333FF"/>
          <w:sz w:val="18"/>
          <w:szCs w:val="18"/>
        </w:rPr>
      </w:pPr>
      <w:r w:rsidRPr="003F4CD0">
        <w:rPr>
          <w:rFonts w:ascii="Book Antiqua" w:hAnsi="Book Antiqua"/>
          <w:sz w:val="19"/>
          <w:szCs w:val="19"/>
        </w:rPr>
        <w:t>Art. 10. É desnecessário o registro de escritura pública nas hipóteses aqui abordadas no Livro "E" de Ofício de Registro Civil das Pessoas Naturais, entretanto, o Tribunal de Justiça deverá promover, no prazo de 180 dias, medidas adequadas para a unificação dos dados que concentrem as informações dessas escrituras no âmbito estadual, possibilitando as buscas, preferencialmente, sem ônus para o interessado</w:t>
      </w:r>
      <w:r w:rsidRPr="004E7DCF">
        <w:rPr>
          <w:rFonts w:ascii="Book Antiqua" w:hAnsi="Book Antiqua"/>
          <w:sz w:val="16"/>
          <w:szCs w:val="16"/>
        </w:rPr>
        <w:t xml:space="preserve">. </w:t>
      </w:r>
      <w:r w:rsidRPr="004E7DCF">
        <w:rPr>
          <w:rFonts w:ascii="Book Antiqua" w:hAnsi="Book Antiqua"/>
          <w:color w:val="3333FF"/>
          <w:sz w:val="16"/>
          <w:szCs w:val="16"/>
        </w:rPr>
        <w:t>(</w:t>
      </w:r>
      <w:hyperlink r:id="rId11" w:history="1">
        <w:r w:rsidRPr="004E7DCF">
          <w:rPr>
            <w:rStyle w:val="Hyperlink"/>
            <w:rFonts w:ascii="Book Antiqua" w:hAnsi="Book Antiqua"/>
            <w:color w:val="3333FF"/>
            <w:sz w:val="16"/>
            <w:szCs w:val="16"/>
          </w:rPr>
          <w:t>Redação dada pela Resolução nº 326, de 26.6.2020</w:t>
        </w:r>
      </w:hyperlink>
      <w:r w:rsidRPr="004E7DCF">
        <w:rPr>
          <w:rFonts w:ascii="Book Antiqua" w:hAnsi="Book Antiqua"/>
          <w:color w:val="3333FF"/>
          <w:sz w:val="16"/>
          <w:szCs w:val="16"/>
        </w:rPr>
        <w:t>) </w:t>
      </w:r>
    </w:p>
    <w:p w14:paraId="121EACA0"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Seção II</w:t>
      </w:r>
    </w:p>
    <w:p w14:paraId="3DD13271"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DISPOSIÇÕES REFERENTES AO INVENTÁRIO E À PARTILHA</w:t>
      </w:r>
    </w:p>
    <w:p w14:paraId="2B1FB7E3" w14:textId="09A7F529"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color w:val="3333FF"/>
          <w:sz w:val="16"/>
          <w:szCs w:val="16"/>
        </w:rPr>
      </w:pPr>
      <w:r w:rsidRPr="00077F28">
        <w:rPr>
          <w:rFonts w:ascii="Book Antiqua" w:hAnsi="Book Antiqua"/>
          <w:b/>
          <w:bCs/>
          <w:sz w:val="19"/>
          <w:szCs w:val="19"/>
          <w:highlight w:val="magenta"/>
        </w:rPr>
        <w:t>Art. 11</w:t>
      </w:r>
      <w:r w:rsidRPr="003F4CD0">
        <w:rPr>
          <w:rFonts w:ascii="Book Antiqua" w:hAnsi="Book Antiqua"/>
          <w:sz w:val="19"/>
          <w:szCs w:val="19"/>
        </w:rPr>
        <w:t xml:space="preserve">. </w:t>
      </w:r>
      <w:r w:rsidRPr="00077F28">
        <w:rPr>
          <w:rFonts w:ascii="Book Antiqua" w:hAnsi="Book Antiqua"/>
          <w:b/>
          <w:bCs/>
          <w:caps/>
          <w:sz w:val="19"/>
          <w:szCs w:val="19"/>
          <w:highlight w:val="green"/>
        </w:rPr>
        <w:t>É</w:t>
      </w:r>
      <w:r w:rsidRPr="00077F28">
        <w:rPr>
          <w:rFonts w:ascii="Book Antiqua" w:hAnsi="Book Antiqua"/>
          <w:b/>
          <w:bCs/>
          <w:caps/>
          <w:sz w:val="19"/>
          <w:szCs w:val="19"/>
        </w:rPr>
        <w:t xml:space="preserve"> </w:t>
      </w:r>
      <w:r w:rsidRPr="00077F28">
        <w:rPr>
          <w:rFonts w:ascii="Book Antiqua" w:hAnsi="Book Antiqua"/>
          <w:b/>
          <w:bCs/>
          <w:caps/>
          <w:sz w:val="19"/>
          <w:szCs w:val="19"/>
          <w:shd w:val="clear" w:color="auto" w:fill="F7CAAC" w:themeFill="accent2" w:themeFillTint="66"/>
        </w:rPr>
        <w:t>obrigatória</w:t>
      </w:r>
      <w:r w:rsidRPr="00077F28">
        <w:rPr>
          <w:rFonts w:ascii="Book Antiqua" w:hAnsi="Book Antiqua"/>
          <w:b/>
          <w:bCs/>
          <w:sz w:val="19"/>
          <w:szCs w:val="19"/>
        </w:rPr>
        <w:t xml:space="preserve"> a nomeação de interessado, na escritura pública de inventário e partilha, para representar o espólio, com poderes de inventariante, no cumprimento de obrigações ativas ou passivas pendentes, sem necessidade de seguir a ordem prevista </w:t>
      </w:r>
      <w:hyperlink r:id="rId12" w:history="1">
        <w:r w:rsidRPr="00077F28">
          <w:rPr>
            <w:rStyle w:val="Hyperlink"/>
            <w:rFonts w:ascii="Book Antiqua" w:hAnsi="Book Antiqua"/>
            <w:b/>
            <w:bCs/>
            <w:color w:val="3333FF"/>
            <w:sz w:val="19"/>
            <w:szCs w:val="19"/>
          </w:rPr>
          <w:t>no art. 617 do Código de Processo Civil</w:t>
        </w:r>
      </w:hyperlink>
      <w:r w:rsidRPr="004E7DCF">
        <w:rPr>
          <w:rFonts w:ascii="Book Antiqua" w:hAnsi="Book Antiqua"/>
          <w:color w:val="3333FF"/>
          <w:sz w:val="18"/>
          <w:szCs w:val="18"/>
        </w:rPr>
        <w:t xml:space="preserve">. </w:t>
      </w:r>
      <w:r w:rsidRPr="004E7DCF">
        <w:rPr>
          <w:rFonts w:ascii="Book Antiqua" w:hAnsi="Book Antiqua"/>
          <w:color w:val="3333FF"/>
          <w:sz w:val="16"/>
          <w:szCs w:val="16"/>
        </w:rPr>
        <w:t>(</w:t>
      </w:r>
      <w:hyperlink r:id="rId13" w:history="1">
        <w:r w:rsidRPr="004E7DCF">
          <w:rPr>
            <w:rStyle w:val="Hyperlink"/>
            <w:rFonts w:ascii="Book Antiqua" w:hAnsi="Book Antiqua"/>
            <w:color w:val="3333FF"/>
            <w:sz w:val="16"/>
            <w:szCs w:val="16"/>
          </w:rPr>
          <w:t>Redação dada pela Resolução nº 326, de 26.6.2020</w:t>
        </w:r>
      </w:hyperlink>
      <w:r w:rsidRPr="004E7DCF">
        <w:rPr>
          <w:rFonts w:ascii="Book Antiqua" w:hAnsi="Book Antiqua"/>
          <w:color w:val="3333FF"/>
          <w:sz w:val="16"/>
          <w:szCs w:val="16"/>
        </w:rPr>
        <w:t>) </w:t>
      </w:r>
      <w:r w:rsidR="00077F28" w:rsidRPr="004E7DCF">
        <w:rPr>
          <w:rFonts w:ascii="Book Antiqua" w:eastAsia="Times New Roman" w:hAnsi="Book Antiqua" w:cs="Arial"/>
          <w:b/>
          <w:bCs/>
          <w:color w:val="FF0000"/>
          <w:sz w:val="16"/>
          <w:szCs w:val="16"/>
          <w:u w:val="single"/>
          <w:lang w:eastAsia="pt-BR"/>
        </w:rPr>
        <w:t>(Cartórios/TJSC-2021)</w:t>
      </w:r>
    </w:p>
    <w:p w14:paraId="4132A989" w14:textId="2A2D6AED" w:rsidR="00245DAB" w:rsidRPr="0006789E" w:rsidRDefault="00245DAB" w:rsidP="00245DAB">
      <w:pPr>
        <w:tabs>
          <w:tab w:val="center" w:pos="4252"/>
        </w:tabs>
        <w:spacing w:before="100" w:beforeAutospacing="1" w:after="100" w:afterAutospacing="1" w:line="240" w:lineRule="auto"/>
        <w:ind w:firstLine="567"/>
        <w:jc w:val="both"/>
        <w:rPr>
          <w:rFonts w:ascii="Book Antiqua" w:hAnsi="Book Antiqua"/>
          <w:sz w:val="16"/>
          <w:szCs w:val="16"/>
        </w:rPr>
      </w:pPr>
      <w:r w:rsidRPr="0006789E">
        <w:rPr>
          <w:rFonts w:ascii="Book Antiqua" w:hAnsi="Book Antiqua"/>
          <w:b/>
          <w:bCs/>
          <w:sz w:val="19"/>
          <w:szCs w:val="19"/>
          <w:highlight w:val="magenta"/>
        </w:rPr>
        <w:t>§ 1º</w:t>
      </w:r>
      <w:r w:rsidRPr="0006789E">
        <w:rPr>
          <w:rFonts w:ascii="Book Antiqua" w:hAnsi="Book Antiqua"/>
          <w:b/>
          <w:bCs/>
          <w:sz w:val="19"/>
          <w:szCs w:val="19"/>
        </w:rPr>
        <w:t xml:space="preserve"> O meeiro e os herdeiros poderão, </w:t>
      </w:r>
      <w:r w:rsidRPr="0006789E">
        <w:rPr>
          <w:rFonts w:ascii="Book Antiqua" w:hAnsi="Book Antiqua"/>
          <w:b/>
          <w:bCs/>
          <w:sz w:val="19"/>
          <w:szCs w:val="19"/>
          <w:highlight w:val="cyan"/>
        </w:rPr>
        <w:t>em escritura pública anterior</w:t>
      </w:r>
      <w:r w:rsidRPr="0006789E">
        <w:rPr>
          <w:rFonts w:ascii="Book Antiqua" w:hAnsi="Book Antiqua"/>
          <w:b/>
          <w:bCs/>
          <w:sz w:val="19"/>
          <w:szCs w:val="19"/>
        </w:rPr>
        <w:t xml:space="preserve"> à partilha ou à adjudicação, nomear inventariante</w:t>
      </w:r>
      <w:r w:rsidRPr="004E7DCF">
        <w:rPr>
          <w:rFonts w:ascii="Book Antiqua" w:hAnsi="Book Antiqua"/>
          <w:sz w:val="16"/>
          <w:szCs w:val="16"/>
        </w:rPr>
        <w:t>. </w:t>
      </w:r>
      <w:hyperlink r:id="rId14" w:tgtFrame="_blank" w:history="1">
        <w:r w:rsidRPr="004E7DCF">
          <w:rPr>
            <w:rStyle w:val="Hyperlink"/>
            <w:rFonts w:ascii="Book Antiqua" w:hAnsi="Book Antiqua"/>
            <w:color w:val="3333FF"/>
            <w:sz w:val="16"/>
            <w:szCs w:val="16"/>
          </w:rPr>
          <w:t>(incluído pela Resolução n. 452, de 22.4.2022)</w:t>
        </w:r>
      </w:hyperlink>
      <w:r w:rsidR="0006789E" w:rsidRPr="0006789E">
        <w:rPr>
          <w:rFonts w:ascii="Book Antiqua" w:eastAsia="Times New Roman" w:hAnsi="Book Antiqua" w:cs="Arial"/>
          <w:b/>
          <w:bCs/>
          <w:color w:val="FF0000"/>
          <w:sz w:val="16"/>
          <w:szCs w:val="16"/>
          <w:u w:val="single"/>
          <w:lang w:eastAsia="pt-BR"/>
        </w:rPr>
        <w:t xml:space="preserve"> </w:t>
      </w:r>
      <w:r w:rsidR="0006789E" w:rsidRPr="007D7DCF">
        <w:rPr>
          <w:rFonts w:ascii="Book Antiqua" w:eastAsia="Times New Roman" w:hAnsi="Book Antiqua" w:cs="Arial"/>
          <w:b/>
          <w:bCs/>
          <w:color w:val="FF0000"/>
          <w:sz w:val="16"/>
          <w:szCs w:val="16"/>
          <w:u w:val="single"/>
          <w:lang w:eastAsia="pt-BR"/>
        </w:rPr>
        <w:t>(Cartórios/TJSC-2023)</w:t>
      </w:r>
    </w:p>
    <w:p w14:paraId="499D9F34" w14:textId="0C263C22" w:rsidR="004E7DCF" w:rsidRPr="004E7DCF" w:rsidRDefault="004E7DCF" w:rsidP="00245DAB">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2º O inventariante nomeado nos termos do §1º poderá representar o espólio na busca de informações bancárias e fiscais necessárias à conclusão de negócios essenciais à realização do inventário e no levantamento de quantias para pagamento das suas despesas. </w:t>
      </w:r>
      <w:hyperlink r:id="rId15" w:tgtFrame="_blank" w:history="1">
        <w:r w:rsidRPr="004E7DCF">
          <w:rPr>
            <w:rStyle w:val="Hyperlink"/>
            <w:rFonts w:ascii="Book Antiqua" w:hAnsi="Book Antiqua"/>
            <w:sz w:val="16"/>
            <w:szCs w:val="16"/>
          </w:rPr>
          <w:t>(redação dada pela Resolução n. 571, de 26.8.2024)</w:t>
        </w:r>
      </w:hyperlink>
    </w:p>
    <w:p w14:paraId="194FFF2F" w14:textId="2893CFF4" w:rsidR="00245DAB" w:rsidRPr="004E7DCF" w:rsidRDefault="00245DAB" w:rsidP="00245DAB">
      <w:pPr>
        <w:tabs>
          <w:tab w:val="center" w:pos="4252"/>
        </w:tabs>
        <w:spacing w:before="100" w:beforeAutospacing="1" w:after="100" w:afterAutospacing="1" w:line="240" w:lineRule="auto"/>
        <w:ind w:firstLine="567"/>
        <w:jc w:val="both"/>
        <w:rPr>
          <w:rFonts w:ascii="Book Antiqua" w:hAnsi="Book Antiqua"/>
          <w:sz w:val="18"/>
          <w:szCs w:val="18"/>
        </w:rPr>
      </w:pPr>
      <w:r w:rsidRPr="00245DAB">
        <w:rPr>
          <w:rFonts w:ascii="Book Antiqua" w:hAnsi="Book Antiqua"/>
          <w:sz w:val="19"/>
          <w:szCs w:val="19"/>
        </w:rPr>
        <w:t>§ 3º A nomeação de inventariante será considerada o termo inicial do procedimento de inventário extrajudicial</w:t>
      </w:r>
      <w:r w:rsidRPr="004E7DCF">
        <w:rPr>
          <w:rFonts w:ascii="Book Antiqua" w:hAnsi="Book Antiqua"/>
          <w:sz w:val="18"/>
          <w:szCs w:val="18"/>
        </w:rPr>
        <w:t>. </w:t>
      </w:r>
      <w:hyperlink r:id="rId16" w:tgtFrame="_blank" w:history="1">
        <w:r w:rsidRPr="004E7DCF">
          <w:rPr>
            <w:rStyle w:val="Hyperlink"/>
            <w:rFonts w:ascii="Book Antiqua" w:hAnsi="Book Antiqua"/>
            <w:color w:val="3333FF"/>
            <w:sz w:val="16"/>
            <w:szCs w:val="16"/>
          </w:rPr>
          <w:t>(incluído pela Resolução n. 452, de 22.4.2022)</w:t>
        </w:r>
      </w:hyperlink>
    </w:p>
    <w:p w14:paraId="0BA3C1CE"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lastRenderedPageBreak/>
        <w:t>Art. 11-A. O inventariante poderá ser autorizado, através de escritura pública, a alienar móveis e imóveis de propriedade do espólio, independentemente de autorização judicial, observado o seguinte</w:t>
      </w:r>
      <w:r w:rsidRPr="004E7DCF">
        <w:rPr>
          <w:rFonts w:ascii="Book Antiqua" w:hAnsi="Book Antiqua"/>
          <w:sz w:val="16"/>
          <w:szCs w:val="16"/>
        </w:rPr>
        <w:t>: </w:t>
      </w:r>
      <w:hyperlink r:id="rId17" w:tgtFrame="_blank" w:history="1">
        <w:r w:rsidRPr="004E7DCF">
          <w:rPr>
            <w:rStyle w:val="Hyperlink"/>
            <w:rFonts w:ascii="Book Antiqua" w:hAnsi="Book Antiqua"/>
            <w:sz w:val="16"/>
            <w:szCs w:val="16"/>
          </w:rPr>
          <w:t>(incluído pela Resolução n. 571, de 26.8.2024)</w:t>
        </w:r>
      </w:hyperlink>
    </w:p>
    <w:p w14:paraId="244EC232"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I – discriminação das despesas do inventário com o pagamento dos impostos de transmissão, honorários advocatícios, emolumentos notariais e registrais e outros tributos e despesas devidos pela lavratura da escritura de inventário</w:t>
      </w:r>
      <w:r w:rsidRPr="004E7DCF">
        <w:rPr>
          <w:rFonts w:ascii="Book Antiqua" w:hAnsi="Book Antiqua"/>
          <w:sz w:val="16"/>
          <w:szCs w:val="16"/>
        </w:rPr>
        <w:t>; </w:t>
      </w:r>
      <w:hyperlink r:id="rId18" w:tgtFrame="_blank" w:history="1">
        <w:r w:rsidRPr="004E7DCF">
          <w:rPr>
            <w:rStyle w:val="Hyperlink"/>
            <w:rFonts w:ascii="Book Antiqua" w:hAnsi="Book Antiqua"/>
            <w:sz w:val="16"/>
            <w:szCs w:val="16"/>
          </w:rPr>
          <w:t>(incluído pela Resolução n. 571, de 26.8.2024)</w:t>
        </w:r>
      </w:hyperlink>
    </w:p>
    <w:p w14:paraId="7C7CC124"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II – </w:t>
      </w:r>
      <w:proofErr w:type="gramStart"/>
      <w:r w:rsidRPr="004E7DCF">
        <w:rPr>
          <w:rFonts w:ascii="Book Antiqua" w:hAnsi="Book Antiqua"/>
          <w:sz w:val="19"/>
          <w:szCs w:val="19"/>
        </w:rPr>
        <w:t>vinculação</w:t>
      </w:r>
      <w:proofErr w:type="gramEnd"/>
      <w:r w:rsidRPr="004E7DCF">
        <w:rPr>
          <w:rFonts w:ascii="Book Antiqua" w:hAnsi="Book Antiqua"/>
          <w:sz w:val="19"/>
          <w:szCs w:val="19"/>
        </w:rPr>
        <w:t xml:space="preserve"> de parte ou todo o preço ao pagamento das despesas discriminadas na forma do inciso anterior</w:t>
      </w:r>
      <w:r w:rsidRPr="004E7DCF">
        <w:rPr>
          <w:rFonts w:ascii="Book Antiqua" w:hAnsi="Book Antiqua"/>
          <w:sz w:val="16"/>
          <w:szCs w:val="16"/>
        </w:rPr>
        <w:t>; </w:t>
      </w:r>
      <w:hyperlink r:id="rId19" w:tgtFrame="_blank" w:history="1">
        <w:r w:rsidRPr="004E7DCF">
          <w:rPr>
            <w:rStyle w:val="Hyperlink"/>
            <w:rFonts w:ascii="Book Antiqua" w:hAnsi="Book Antiqua"/>
            <w:sz w:val="16"/>
            <w:szCs w:val="16"/>
          </w:rPr>
          <w:t>(incluído pela Resolução n. 571, de 26.8.2024)</w:t>
        </w:r>
      </w:hyperlink>
    </w:p>
    <w:p w14:paraId="590A7F22"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III – não constar indisponibilidade de bens de quaisquer dos herdeiros ou do cônjuge ou convivente sobrevivente</w:t>
      </w:r>
      <w:r w:rsidRPr="004E7DCF">
        <w:rPr>
          <w:rFonts w:ascii="Book Antiqua" w:hAnsi="Book Antiqua"/>
          <w:sz w:val="16"/>
          <w:szCs w:val="16"/>
        </w:rPr>
        <w:t>; </w:t>
      </w:r>
      <w:hyperlink r:id="rId20" w:tgtFrame="_blank" w:history="1">
        <w:r w:rsidRPr="004E7DCF">
          <w:rPr>
            <w:rStyle w:val="Hyperlink"/>
            <w:rFonts w:ascii="Book Antiqua" w:hAnsi="Book Antiqua"/>
            <w:sz w:val="16"/>
            <w:szCs w:val="16"/>
          </w:rPr>
          <w:t>(incluído pela Resolução n. 571, de 26.8.2024)</w:t>
        </w:r>
      </w:hyperlink>
    </w:p>
    <w:p w14:paraId="02BC1B57"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IV – </w:t>
      </w:r>
      <w:proofErr w:type="gramStart"/>
      <w:r w:rsidRPr="004E7DCF">
        <w:rPr>
          <w:rFonts w:ascii="Book Antiqua" w:hAnsi="Book Antiqua"/>
          <w:sz w:val="19"/>
          <w:szCs w:val="19"/>
        </w:rPr>
        <w:t>a</w:t>
      </w:r>
      <w:proofErr w:type="gramEnd"/>
      <w:r w:rsidRPr="004E7DCF">
        <w:rPr>
          <w:rFonts w:ascii="Book Antiqua" w:hAnsi="Book Antiqua"/>
          <w:sz w:val="19"/>
          <w:szCs w:val="19"/>
        </w:rPr>
        <w:t xml:space="preserve"> menção de que as guias de todos os impostos de transmissão foram apresentadas e o seus respectivos valores</w:t>
      </w:r>
      <w:r w:rsidRPr="004E7DCF">
        <w:rPr>
          <w:rFonts w:ascii="Book Antiqua" w:hAnsi="Book Antiqua"/>
          <w:sz w:val="16"/>
          <w:szCs w:val="16"/>
        </w:rPr>
        <w:t>; </w:t>
      </w:r>
      <w:hyperlink r:id="rId21" w:tgtFrame="_blank" w:history="1">
        <w:r w:rsidRPr="004E7DCF">
          <w:rPr>
            <w:rStyle w:val="Hyperlink"/>
            <w:rFonts w:ascii="Book Antiqua" w:hAnsi="Book Antiqua"/>
            <w:sz w:val="16"/>
            <w:szCs w:val="16"/>
          </w:rPr>
          <w:t>(incluído pela Resolução n. 571, de 26.8.2024)</w:t>
        </w:r>
      </w:hyperlink>
    </w:p>
    <w:p w14:paraId="05717FDF"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V – </w:t>
      </w:r>
      <w:proofErr w:type="gramStart"/>
      <w:r w:rsidRPr="004E7DCF">
        <w:rPr>
          <w:rFonts w:ascii="Book Antiqua" w:hAnsi="Book Antiqua"/>
          <w:sz w:val="19"/>
          <w:szCs w:val="19"/>
        </w:rPr>
        <w:t>a</w:t>
      </w:r>
      <w:proofErr w:type="gramEnd"/>
      <w:r w:rsidRPr="004E7DCF">
        <w:rPr>
          <w:rFonts w:ascii="Book Antiqua" w:hAnsi="Book Antiqua"/>
          <w:sz w:val="19"/>
          <w:szCs w:val="19"/>
        </w:rPr>
        <w:t xml:space="preserve"> consignação no texto da escritura dos valores dos emolumentos notariais e registrais estimados e a indicação das serventias extrajudiciais que expedirem os respectivos orçamentos; e </w:t>
      </w:r>
      <w:hyperlink r:id="rId22" w:tgtFrame="_blank" w:history="1">
        <w:r w:rsidRPr="004E7DCF">
          <w:rPr>
            <w:rStyle w:val="Hyperlink"/>
            <w:rFonts w:ascii="Book Antiqua" w:hAnsi="Book Antiqua"/>
            <w:sz w:val="16"/>
            <w:szCs w:val="16"/>
          </w:rPr>
          <w:t>(incluído pela Resolução n. 571, de 26.8.2024)</w:t>
        </w:r>
      </w:hyperlink>
    </w:p>
    <w:p w14:paraId="6E434861"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VI – </w:t>
      </w:r>
      <w:proofErr w:type="gramStart"/>
      <w:r w:rsidRPr="004E7DCF">
        <w:rPr>
          <w:rFonts w:ascii="Book Antiqua" w:hAnsi="Book Antiqua"/>
          <w:sz w:val="19"/>
          <w:szCs w:val="19"/>
        </w:rPr>
        <w:t>prestação</w:t>
      </w:r>
      <w:proofErr w:type="gramEnd"/>
      <w:r w:rsidRPr="004E7DCF">
        <w:rPr>
          <w:rFonts w:ascii="Book Antiqua" w:hAnsi="Book Antiqua"/>
          <w:sz w:val="19"/>
          <w:szCs w:val="19"/>
        </w:rPr>
        <w:t xml:space="preserve"> de garantia, real ou fidejussória, pelo inventariante quanto à destinação do produto da venda para o pagamento das despesas discriminadas na forma do inciso I deste artigo</w:t>
      </w:r>
      <w:r w:rsidRPr="004E7DCF">
        <w:rPr>
          <w:rFonts w:ascii="Book Antiqua" w:hAnsi="Book Antiqua"/>
          <w:sz w:val="16"/>
          <w:szCs w:val="16"/>
        </w:rPr>
        <w:t>. </w:t>
      </w:r>
      <w:hyperlink r:id="rId23" w:tgtFrame="_blank" w:history="1">
        <w:r w:rsidRPr="004E7DCF">
          <w:rPr>
            <w:rStyle w:val="Hyperlink"/>
            <w:rFonts w:ascii="Book Antiqua" w:hAnsi="Book Antiqua"/>
            <w:sz w:val="16"/>
            <w:szCs w:val="16"/>
          </w:rPr>
          <w:t>(incluído pela Resolução n. 571, de 26.8.2024)</w:t>
        </w:r>
      </w:hyperlink>
    </w:p>
    <w:p w14:paraId="263CB52E"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1º O prazo para o pagamento das despesas do inventário não poderá ser superior a 1 (um) ano a contar da venda do bem, autorizada a estipulação de prazo inferior pelas partes. </w:t>
      </w:r>
      <w:hyperlink r:id="rId24" w:tgtFrame="_blank" w:history="1">
        <w:r w:rsidRPr="004E7DCF">
          <w:rPr>
            <w:rStyle w:val="Hyperlink"/>
            <w:rFonts w:ascii="Book Antiqua" w:hAnsi="Book Antiqua"/>
            <w:sz w:val="16"/>
            <w:szCs w:val="16"/>
          </w:rPr>
          <w:t>(incluído pela Resolução n. 571, de 26.8.2024)</w:t>
        </w:r>
      </w:hyperlink>
    </w:p>
    <w:p w14:paraId="01FF6B53"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2º Cumprida a obrigação do inventariante de pagar as despesas discriminadas, fica extinta a garantia por ele prestada. </w:t>
      </w:r>
      <w:hyperlink r:id="rId25" w:tgtFrame="_blank" w:history="1">
        <w:r w:rsidRPr="004E7DCF">
          <w:rPr>
            <w:rStyle w:val="Hyperlink"/>
            <w:rFonts w:ascii="Book Antiqua" w:hAnsi="Book Antiqua"/>
            <w:sz w:val="16"/>
            <w:szCs w:val="16"/>
          </w:rPr>
          <w:t>(incluído pela Resolução n. 571, de 26.8.2024)</w:t>
        </w:r>
      </w:hyperlink>
    </w:p>
    <w:p w14:paraId="3EC4F8D0"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3º O bem alienado será relacionado no acervo hereditário para fins de apuração dos emolumentos do inventário, cálculo dos quinhões hereditários, apuração do imposto de transmissão causa mortis, mas não será objeto de partilha, consignando-se a sua venda prévia na escritura do inventário. </w:t>
      </w:r>
      <w:hyperlink r:id="rId26" w:tgtFrame="_blank" w:history="1">
        <w:r w:rsidRPr="004E7DCF">
          <w:rPr>
            <w:rStyle w:val="Hyperlink"/>
            <w:rFonts w:ascii="Book Antiqua" w:hAnsi="Book Antiqua"/>
            <w:sz w:val="16"/>
            <w:szCs w:val="16"/>
          </w:rPr>
          <w:t>(incluído pela Resolução n. 571, de 26.8.2024)</w:t>
        </w:r>
      </w:hyperlink>
    </w:p>
    <w:p w14:paraId="3E3780F7" w14:textId="1E69A26E"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color w:val="3333FF"/>
          <w:sz w:val="16"/>
          <w:szCs w:val="16"/>
        </w:rPr>
      </w:pPr>
      <w:r w:rsidRPr="009D55A3">
        <w:rPr>
          <w:rFonts w:ascii="Book Antiqua" w:hAnsi="Book Antiqua"/>
          <w:b/>
          <w:bCs/>
          <w:sz w:val="19"/>
          <w:szCs w:val="19"/>
          <w:highlight w:val="magenta"/>
        </w:rPr>
        <w:t>Art. 12</w:t>
      </w:r>
      <w:r w:rsidRPr="003F4CD0">
        <w:rPr>
          <w:rFonts w:ascii="Book Antiqua" w:hAnsi="Book Antiqua"/>
          <w:sz w:val="19"/>
          <w:szCs w:val="19"/>
        </w:rPr>
        <w:t xml:space="preserve">. </w:t>
      </w:r>
      <w:r w:rsidRPr="009D55A3">
        <w:rPr>
          <w:rFonts w:ascii="Book Antiqua" w:hAnsi="Book Antiqua"/>
          <w:b/>
          <w:bCs/>
          <w:sz w:val="19"/>
          <w:szCs w:val="19"/>
        </w:rPr>
        <w:t>Admitem-se inventário e partilha extrajudiciais com viúvo(a) ou herdeiro(s) capazes, inclusive por emancipação, representado(s) por procuração formalizada por instrumento público com poderes especiais</w:t>
      </w:r>
      <w:r w:rsidRPr="004E7DCF">
        <w:rPr>
          <w:rFonts w:ascii="Book Antiqua" w:hAnsi="Book Antiqua"/>
          <w:sz w:val="16"/>
          <w:szCs w:val="16"/>
        </w:rPr>
        <w:t>.</w:t>
      </w:r>
      <w:r w:rsidR="00D642AC" w:rsidRPr="004E7DCF">
        <w:rPr>
          <w:rFonts w:ascii="Book Antiqua" w:hAnsi="Book Antiqua"/>
          <w:sz w:val="16"/>
          <w:szCs w:val="16"/>
        </w:rPr>
        <w:t xml:space="preserve"> </w:t>
      </w:r>
      <w:hyperlink r:id="rId27" w:tgtFrame="_blank" w:history="1">
        <w:r w:rsidRPr="004E7DCF">
          <w:rPr>
            <w:rStyle w:val="Hyperlink"/>
            <w:rFonts w:ascii="Book Antiqua" w:hAnsi="Book Antiqua"/>
            <w:color w:val="3333FF"/>
            <w:sz w:val="16"/>
            <w:szCs w:val="16"/>
          </w:rPr>
          <w:t>(Redação dada pela Resolução nº 179, de 03.10.13)</w:t>
        </w:r>
      </w:hyperlink>
      <w:r w:rsidR="00245DAB" w:rsidRPr="004E7DCF">
        <w:rPr>
          <w:rStyle w:val="Hyperlink"/>
          <w:rFonts w:ascii="Book Antiqua" w:hAnsi="Book Antiqua"/>
          <w:color w:val="3333FF"/>
          <w:sz w:val="16"/>
          <w:szCs w:val="16"/>
          <w:u w:val="none"/>
        </w:rPr>
        <w:t xml:space="preserve"> </w:t>
      </w:r>
      <w:r w:rsidR="00245DAB" w:rsidRPr="004E7DCF">
        <w:rPr>
          <w:rFonts w:ascii="Book Antiqua" w:hAnsi="Book Antiqua"/>
          <w:b/>
          <w:bCs/>
          <w:color w:val="FF0000"/>
          <w:sz w:val="16"/>
          <w:szCs w:val="16"/>
          <w:u w:val="single"/>
        </w:rPr>
        <w:t>(Cartórios/TJPI-2013)</w:t>
      </w:r>
      <w:r w:rsidR="000B48B8" w:rsidRPr="004E7DCF">
        <w:rPr>
          <w:rStyle w:val="Hyperlink"/>
          <w:rFonts w:ascii="Book Antiqua" w:hAnsi="Book Antiqua"/>
          <w:color w:val="3333FF"/>
          <w:sz w:val="16"/>
          <w:szCs w:val="16"/>
          <w:u w:val="none"/>
        </w:rPr>
        <w:t xml:space="preserve"> </w:t>
      </w:r>
      <w:r w:rsidR="000B48B8" w:rsidRPr="004E7DCF">
        <w:rPr>
          <w:rFonts w:ascii="Book Antiqua" w:hAnsi="Book Antiqua" w:cs="Times New Roman"/>
          <w:b/>
          <w:bCs/>
          <w:color w:val="FF0000"/>
          <w:sz w:val="16"/>
          <w:szCs w:val="16"/>
          <w:u w:val="single"/>
        </w:rPr>
        <w:t>(Cartórios/TJR</w:t>
      </w:r>
      <w:r w:rsidR="000B48B8" w:rsidRPr="004E7DCF">
        <w:rPr>
          <w:rFonts w:ascii="Book Antiqua" w:hAnsi="Book Antiqua"/>
          <w:b/>
          <w:bCs/>
          <w:color w:val="FF0000"/>
          <w:sz w:val="16"/>
          <w:szCs w:val="16"/>
          <w:u w:val="single"/>
        </w:rPr>
        <w:t>S</w:t>
      </w:r>
      <w:r w:rsidR="000B48B8" w:rsidRPr="004E7DCF">
        <w:rPr>
          <w:rFonts w:ascii="Book Antiqua" w:hAnsi="Book Antiqua" w:cs="Times New Roman"/>
          <w:b/>
          <w:bCs/>
          <w:color w:val="FF0000"/>
          <w:sz w:val="16"/>
          <w:szCs w:val="16"/>
          <w:u w:val="single"/>
        </w:rPr>
        <w:t>-2013)</w:t>
      </w:r>
      <w:r w:rsidR="00D642AC" w:rsidRPr="004E7DCF">
        <w:rPr>
          <w:rStyle w:val="Hyperlink"/>
          <w:rFonts w:ascii="Book Antiqua" w:hAnsi="Book Antiqua"/>
          <w:color w:val="3333FF"/>
          <w:sz w:val="16"/>
          <w:szCs w:val="16"/>
          <w:u w:val="none"/>
        </w:rPr>
        <w:t xml:space="preserve"> </w:t>
      </w:r>
      <w:r w:rsidR="009D55A3" w:rsidRPr="004E7DCF">
        <w:rPr>
          <w:rFonts w:ascii="Book Antiqua" w:hAnsi="Book Antiqua"/>
          <w:b/>
          <w:bCs/>
          <w:color w:val="FF0000"/>
          <w:sz w:val="16"/>
          <w:szCs w:val="16"/>
          <w:u w:val="single"/>
        </w:rPr>
        <w:t>(Cartórios/TJSC-2021)</w:t>
      </w:r>
    </w:p>
    <w:p w14:paraId="179BBCF3"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Art. 12-A. O inventário poderá ser realizado por escritura pública, ainda que inclua interessado menor ou incapaz, desde que o pagamento do seu quinhão hereditário ou de sua meação ocorra em parte ideal em cada um dos bens inventariados e haja manifestação favorável do Ministério Público</w:t>
      </w:r>
      <w:r w:rsidRPr="004E7DCF">
        <w:rPr>
          <w:rFonts w:ascii="Book Antiqua" w:hAnsi="Book Antiqua"/>
          <w:sz w:val="16"/>
          <w:szCs w:val="16"/>
        </w:rPr>
        <w:t>. </w:t>
      </w:r>
      <w:hyperlink r:id="rId28" w:tgtFrame="_blank" w:history="1">
        <w:r w:rsidRPr="004E7DCF">
          <w:rPr>
            <w:rStyle w:val="Hyperlink"/>
            <w:rFonts w:ascii="Book Antiqua" w:hAnsi="Book Antiqua"/>
            <w:sz w:val="16"/>
            <w:szCs w:val="16"/>
          </w:rPr>
          <w:t>(incluído pela Resolução n. 571, de 26.8.2024)</w:t>
        </w:r>
      </w:hyperlink>
    </w:p>
    <w:p w14:paraId="4CAC81F4"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1º Na hipótese do caput deste artigo é vedada a prática de atos de disposição relativos aos bens ou direitos do interessado menor ou incapaz</w:t>
      </w:r>
      <w:r w:rsidRPr="004E7DCF">
        <w:rPr>
          <w:rFonts w:ascii="Book Antiqua" w:hAnsi="Book Antiqua"/>
          <w:sz w:val="16"/>
          <w:szCs w:val="16"/>
        </w:rPr>
        <w:t>. </w:t>
      </w:r>
      <w:hyperlink r:id="rId29" w:tgtFrame="_blank" w:history="1">
        <w:r w:rsidRPr="004E7DCF">
          <w:rPr>
            <w:rStyle w:val="Hyperlink"/>
            <w:rFonts w:ascii="Book Antiqua" w:hAnsi="Book Antiqua"/>
            <w:sz w:val="16"/>
            <w:szCs w:val="16"/>
          </w:rPr>
          <w:t>(incluído pela Resolução n. 571, de 26.8.2024)</w:t>
        </w:r>
      </w:hyperlink>
    </w:p>
    <w:p w14:paraId="11025904"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2º Havendo nascituro do autor da herança, para a lavratura nos termos do caput, aguardar-se-á o registro de seu nascimento com a indicação da parentalidade, ou a comprovação de não ter nascido com vida</w:t>
      </w:r>
      <w:r w:rsidRPr="004E7DCF">
        <w:rPr>
          <w:rFonts w:ascii="Book Antiqua" w:hAnsi="Book Antiqua"/>
          <w:sz w:val="16"/>
          <w:szCs w:val="16"/>
        </w:rPr>
        <w:t>. </w:t>
      </w:r>
      <w:hyperlink r:id="rId30" w:tgtFrame="_blank" w:history="1">
        <w:r w:rsidRPr="004E7DCF">
          <w:rPr>
            <w:rStyle w:val="Hyperlink"/>
            <w:rFonts w:ascii="Book Antiqua" w:hAnsi="Book Antiqua"/>
            <w:sz w:val="16"/>
            <w:szCs w:val="16"/>
          </w:rPr>
          <w:t>(incluído pela Resolução n. 571, de 26.8.2024)</w:t>
        </w:r>
      </w:hyperlink>
    </w:p>
    <w:p w14:paraId="221DAD18"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3º A eficácia da escritura pública do inventário com interessado menor ou incapaz dependerá da manifestação favorável do Ministério Público, devendo o tabelião de notas encaminhar o expediente ao respectivo representante</w:t>
      </w:r>
      <w:r w:rsidRPr="004E7DCF">
        <w:rPr>
          <w:rFonts w:ascii="Book Antiqua" w:hAnsi="Book Antiqua"/>
          <w:sz w:val="16"/>
          <w:szCs w:val="16"/>
        </w:rPr>
        <w:t>. </w:t>
      </w:r>
      <w:hyperlink r:id="rId31" w:tgtFrame="_blank" w:history="1">
        <w:r w:rsidRPr="004E7DCF">
          <w:rPr>
            <w:rStyle w:val="Hyperlink"/>
            <w:rFonts w:ascii="Book Antiqua" w:hAnsi="Book Antiqua"/>
            <w:sz w:val="16"/>
            <w:szCs w:val="16"/>
          </w:rPr>
          <w:t>(incluído pela Resolução n. 571, de 26.8.2024)</w:t>
        </w:r>
      </w:hyperlink>
    </w:p>
    <w:p w14:paraId="678645DC"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lastRenderedPageBreak/>
        <w:t>§ 4º Em caso de impugnação pelo Ministério Público ou terceiro interessado, o procedimento deverá ser submetido à apreciação do juízo competente. </w:t>
      </w:r>
      <w:hyperlink r:id="rId32" w:tgtFrame="_blank" w:history="1">
        <w:r w:rsidRPr="004E7DCF">
          <w:rPr>
            <w:rStyle w:val="Hyperlink"/>
            <w:rFonts w:ascii="Book Antiqua" w:hAnsi="Book Antiqua"/>
            <w:sz w:val="16"/>
            <w:szCs w:val="16"/>
          </w:rPr>
          <w:t>(incluído pela Resolução n. 571, de 26.8.2024)</w:t>
        </w:r>
      </w:hyperlink>
    </w:p>
    <w:p w14:paraId="25330874"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Art. 12-B. É autorizado o inventário e a partilha consensuais promovidos extrajudicialmente por escritura pública, ainda que o autor da herança tenha deixando testamento, desde que obedecidos os seguintes requisitos: </w:t>
      </w:r>
      <w:hyperlink r:id="rId33" w:tgtFrame="_blank" w:history="1">
        <w:r w:rsidRPr="004E7DCF">
          <w:rPr>
            <w:rStyle w:val="Hyperlink"/>
            <w:rFonts w:ascii="Book Antiqua" w:hAnsi="Book Antiqua"/>
            <w:sz w:val="16"/>
            <w:szCs w:val="16"/>
          </w:rPr>
          <w:t>(incluído pela Resolução n. 571, de 26.8.2024)</w:t>
        </w:r>
      </w:hyperlink>
    </w:p>
    <w:p w14:paraId="31D80376"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I – </w:t>
      </w:r>
      <w:proofErr w:type="gramStart"/>
      <w:r w:rsidRPr="004E7DCF">
        <w:rPr>
          <w:rFonts w:ascii="Book Antiqua" w:hAnsi="Book Antiqua"/>
          <w:sz w:val="19"/>
          <w:szCs w:val="19"/>
        </w:rPr>
        <w:t>os</w:t>
      </w:r>
      <w:proofErr w:type="gramEnd"/>
      <w:r w:rsidRPr="004E7DCF">
        <w:rPr>
          <w:rFonts w:ascii="Book Antiqua" w:hAnsi="Book Antiqua"/>
          <w:sz w:val="19"/>
          <w:szCs w:val="19"/>
        </w:rPr>
        <w:t xml:space="preserve"> interessados estejam todos representados por advogado devidamente habilitado</w:t>
      </w:r>
      <w:r w:rsidRPr="004E7DCF">
        <w:rPr>
          <w:rFonts w:ascii="Book Antiqua" w:hAnsi="Book Antiqua"/>
          <w:sz w:val="16"/>
          <w:szCs w:val="16"/>
        </w:rPr>
        <w:t>; </w:t>
      </w:r>
      <w:hyperlink r:id="rId34" w:tgtFrame="_blank" w:history="1">
        <w:r w:rsidRPr="004E7DCF">
          <w:rPr>
            <w:rStyle w:val="Hyperlink"/>
            <w:rFonts w:ascii="Book Antiqua" w:hAnsi="Book Antiqua"/>
            <w:sz w:val="16"/>
            <w:szCs w:val="16"/>
          </w:rPr>
          <w:t>(incluído pela Resolução n. 571, de 26.8.2024)</w:t>
        </w:r>
      </w:hyperlink>
    </w:p>
    <w:p w14:paraId="47099DFC"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II – </w:t>
      </w:r>
      <w:proofErr w:type="gramStart"/>
      <w:r w:rsidRPr="004E7DCF">
        <w:rPr>
          <w:rFonts w:ascii="Book Antiqua" w:hAnsi="Book Antiqua"/>
          <w:sz w:val="19"/>
          <w:szCs w:val="19"/>
        </w:rPr>
        <w:t>exista</w:t>
      </w:r>
      <w:proofErr w:type="gramEnd"/>
      <w:r w:rsidRPr="004E7DCF">
        <w:rPr>
          <w:rFonts w:ascii="Book Antiqua" w:hAnsi="Book Antiqua"/>
          <w:sz w:val="19"/>
          <w:szCs w:val="19"/>
        </w:rPr>
        <w:t xml:space="preserve"> expressa autorização do juízo sucessório competente em ação de abertura e cumprimento de testamento válido e eficaz, em sentença transitada em julgado</w:t>
      </w:r>
      <w:r w:rsidRPr="004E7DCF">
        <w:rPr>
          <w:rFonts w:ascii="Book Antiqua" w:hAnsi="Book Antiqua"/>
          <w:sz w:val="16"/>
          <w:szCs w:val="16"/>
        </w:rPr>
        <w:t>; </w:t>
      </w:r>
      <w:hyperlink r:id="rId35" w:tgtFrame="_blank" w:history="1">
        <w:r w:rsidRPr="004E7DCF">
          <w:rPr>
            <w:rStyle w:val="Hyperlink"/>
            <w:rFonts w:ascii="Book Antiqua" w:hAnsi="Book Antiqua"/>
            <w:sz w:val="16"/>
            <w:szCs w:val="16"/>
          </w:rPr>
          <w:t>(incluído pela Resolução n. 571, de 26.8.2024)</w:t>
        </w:r>
      </w:hyperlink>
    </w:p>
    <w:p w14:paraId="56FE9766"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III – todos os interessados sejam capazes e concordes; </w:t>
      </w:r>
      <w:hyperlink r:id="rId36" w:tgtFrame="_blank" w:history="1">
        <w:r w:rsidRPr="004E7DCF">
          <w:rPr>
            <w:rStyle w:val="Hyperlink"/>
            <w:rFonts w:ascii="Book Antiqua" w:hAnsi="Book Antiqua"/>
            <w:sz w:val="16"/>
            <w:szCs w:val="16"/>
          </w:rPr>
          <w:t>(incluído pela Resolução n. 571, de 26.8.2024)</w:t>
        </w:r>
      </w:hyperlink>
    </w:p>
    <w:p w14:paraId="00030F82"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IV – </w:t>
      </w:r>
      <w:proofErr w:type="gramStart"/>
      <w:r w:rsidRPr="004E7DCF">
        <w:rPr>
          <w:rFonts w:ascii="Book Antiqua" w:hAnsi="Book Antiqua"/>
          <w:sz w:val="19"/>
          <w:szCs w:val="19"/>
        </w:rPr>
        <w:t>no</w:t>
      </w:r>
      <w:proofErr w:type="gramEnd"/>
      <w:r w:rsidRPr="004E7DCF">
        <w:rPr>
          <w:rFonts w:ascii="Book Antiqua" w:hAnsi="Book Antiqua"/>
          <w:sz w:val="19"/>
          <w:szCs w:val="19"/>
        </w:rPr>
        <w:t xml:space="preserve"> caso de haver interessados menores ou incapazes, sejam também observadas as exigências do art. 12-A desta Resolução</w:t>
      </w:r>
      <w:r w:rsidRPr="004E7DCF">
        <w:rPr>
          <w:rFonts w:ascii="Book Antiqua" w:hAnsi="Book Antiqua"/>
          <w:sz w:val="16"/>
          <w:szCs w:val="16"/>
        </w:rPr>
        <w:t>; </w:t>
      </w:r>
      <w:hyperlink r:id="rId37" w:tgtFrame="_blank" w:history="1">
        <w:r w:rsidRPr="004E7DCF">
          <w:rPr>
            <w:rStyle w:val="Hyperlink"/>
            <w:rFonts w:ascii="Book Antiqua" w:hAnsi="Book Antiqua"/>
            <w:sz w:val="16"/>
            <w:szCs w:val="16"/>
          </w:rPr>
          <w:t>(incluído pela Resolução n. 571, de 26.8.2024)</w:t>
        </w:r>
      </w:hyperlink>
    </w:p>
    <w:p w14:paraId="10768D7A"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V – </w:t>
      </w:r>
      <w:proofErr w:type="gramStart"/>
      <w:r w:rsidRPr="004E7DCF">
        <w:rPr>
          <w:rFonts w:ascii="Book Antiqua" w:hAnsi="Book Antiqua"/>
          <w:sz w:val="19"/>
          <w:szCs w:val="19"/>
        </w:rPr>
        <w:t>nos</w:t>
      </w:r>
      <w:proofErr w:type="gramEnd"/>
      <w:r w:rsidRPr="004E7DCF">
        <w:rPr>
          <w:rFonts w:ascii="Book Antiqua" w:hAnsi="Book Antiqua"/>
          <w:sz w:val="19"/>
          <w:szCs w:val="19"/>
        </w:rPr>
        <w:t xml:space="preserve"> casos de testamento invalidado, revogado, rompido ou caduco, a invalidade ou ineficácia tenha sido reconhecida por sentença judicial transitada em julgado na ação de abertura e cumprimento de testamento</w:t>
      </w:r>
      <w:r w:rsidRPr="004E7DCF">
        <w:rPr>
          <w:rFonts w:ascii="Book Antiqua" w:hAnsi="Book Antiqua"/>
          <w:sz w:val="16"/>
          <w:szCs w:val="16"/>
        </w:rPr>
        <w:t>. </w:t>
      </w:r>
      <w:hyperlink r:id="rId38" w:tgtFrame="_blank" w:history="1">
        <w:r w:rsidRPr="004E7DCF">
          <w:rPr>
            <w:rStyle w:val="Hyperlink"/>
            <w:rFonts w:ascii="Book Antiqua" w:hAnsi="Book Antiqua"/>
            <w:sz w:val="16"/>
            <w:szCs w:val="16"/>
          </w:rPr>
          <w:t>(incluído pela Resolução n. 571, de 26.8.2024)</w:t>
        </w:r>
      </w:hyperlink>
    </w:p>
    <w:p w14:paraId="2F1E2AFC"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§1° Formulado o pedido de escritura pública de inventário e partilha nas hipóteses deste artigo, deve ser apresentada, junto com o pedido, a certidão do testamento e, constatada a existência de disposição reconhecendo filho ou qualquer outra declaração irrevogável, a lavratura de escritura pública de inventário e partilha ficará vedada e o inventário deverá ser feito obrigatoriamente pela via judicial</w:t>
      </w:r>
      <w:r w:rsidRPr="004E7DCF">
        <w:rPr>
          <w:rFonts w:ascii="Book Antiqua" w:hAnsi="Book Antiqua"/>
          <w:sz w:val="16"/>
          <w:szCs w:val="16"/>
        </w:rPr>
        <w:t>. </w:t>
      </w:r>
      <w:hyperlink r:id="rId39" w:tgtFrame="_blank" w:history="1">
        <w:r w:rsidRPr="004E7DCF">
          <w:rPr>
            <w:rStyle w:val="Hyperlink"/>
            <w:rFonts w:ascii="Book Antiqua" w:hAnsi="Book Antiqua"/>
            <w:sz w:val="16"/>
            <w:szCs w:val="16"/>
          </w:rPr>
          <w:t>(incluído pela Resolução n. 571, de 26.8.2024)</w:t>
        </w:r>
      </w:hyperlink>
    </w:p>
    <w:p w14:paraId="3363C68C" w14:textId="77777777" w:rsidR="004E7DCF" w:rsidRPr="004E7DCF" w:rsidRDefault="004E7DCF" w:rsidP="004E7DCF">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§2° Sempre que o tabelião tiver dúvidas quanto ao cabimento da escritura de inventário e partilha consensual, deverá suscitá-la ao juízo competente em matéria de registros públicos</w:t>
      </w:r>
      <w:r w:rsidRPr="004E7DCF">
        <w:rPr>
          <w:rFonts w:ascii="Book Antiqua" w:hAnsi="Book Antiqua"/>
          <w:sz w:val="16"/>
          <w:szCs w:val="16"/>
        </w:rPr>
        <w:t>. </w:t>
      </w:r>
      <w:hyperlink r:id="rId40" w:tgtFrame="_blank" w:history="1">
        <w:r w:rsidRPr="004E7DCF">
          <w:rPr>
            <w:rStyle w:val="Hyperlink"/>
            <w:rFonts w:ascii="Book Antiqua" w:hAnsi="Book Antiqua"/>
            <w:sz w:val="16"/>
            <w:szCs w:val="16"/>
          </w:rPr>
          <w:t>(incluído pela Resolução n. 571, de 26.8.2024)</w:t>
        </w:r>
      </w:hyperlink>
    </w:p>
    <w:p w14:paraId="725B679B" w14:textId="2FAEB668" w:rsidR="003F4CD0" w:rsidRDefault="003F4CD0" w:rsidP="003F4CD0">
      <w:pPr>
        <w:tabs>
          <w:tab w:val="center" w:pos="4252"/>
        </w:tabs>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789E">
        <w:rPr>
          <w:rFonts w:ascii="Book Antiqua" w:hAnsi="Book Antiqua"/>
          <w:b/>
          <w:bCs/>
          <w:sz w:val="19"/>
          <w:szCs w:val="19"/>
          <w:highlight w:val="magenta"/>
        </w:rPr>
        <w:t>Art. 13</w:t>
      </w:r>
      <w:r w:rsidRPr="0006789E">
        <w:rPr>
          <w:rFonts w:ascii="Book Antiqua" w:hAnsi="Book Antiqua"/>
          <w:b/>
          <w:bCs/>
          <w:sz w:val="19"/>
          <w:szCs w:val="19"/>
        </w:rPr>
        <w:t>. A escritura pública pode ser retificada desde que haja o consentimento de todos os interessados. Os erros materiais poderão ser corrigidos, de ofício ou mediante requerimento de qualquer das partes, ou de seu procurador, por averbação à margem do ato notarial ou, não havendo espaço, por escrituração própria lançada no livro das escrituras públicas e anotação remissiva.</w:t>
      </w:r>
      <w:r w:rsidR="0006789E" w:rsidRPr="0006789E">
        <w:rPr>
          <w:rFonts w:ascii="Book Antiqua" w:hAnsi="Book Antiqua"/>
          <w:b/>
          <w:bCs/>
          <w:sz w:val="19"/>
          <w:szCs w:val="19"/>
        </w:rPr>
        <w:t xml:space="preserve"> </w:t>
      </w:r>
      <w:r w:rsidR="0006789E" w:rsidRPr="0006789E">
        <w:rPr>
          <w:rFonts w:ascii="Book Antiqua" w:eastAsia="Times New Roman" w:hAnsi="Book Antiqua" w:cs="Arial"/>
          <w:b/>
          <w:bCs/>
          <w:color w:val="FF0000"/>
          <w:sz w:val="16"/>
          <w:szCs w:val="16"/>
          <w:u w:val="single"/>
          <w:lang w:eastAsia="pt-BR"/>
        </w:rPr>
        <w:t>(Cartórios/TJSC-2023)</w:t>
      </w:r>
    </w:p>
    <w:p w14:paraId="37A2AA62" w14:textId="4F2F04BC"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0B48B8">
        <w:rPr>
          <w:rFonts w:ascii="Book Antiqua" w:hAnsi="Book Antiqua"/>
          <w:b/>
          <w:bCs/>
          <w:sz w:val="19"/>
          <w:szCs w:val="19"/>
          <w:highlight w:val="magenta"/>
        </w:rPr>
        <w:t>Art. 14</w:t>
      </w:r>
      <w:r w:rsidRPr="000B48B8">
        <w:rPr>
          <w:rFonts w:ascii="Book Antiqua" w:hAnsi="Book Antiqua"/>
          <w:b/>
          <w:bCs/>
          <w:sz w:val="19"/>
          <w:szCs w:val="19"/>
        </w:rPr>
        <w:t>. Para as verbas previstas na </w:t>
      </w:r>
      <w:hyperlink r:id="rId41" w:tgtFrame="_blank" w:history="1">
        <w:r w:rsidRPr="000B48B8">
          <w:rPr>
            <w:rStyle w:val="Hyperlink"/>
            <w:rFonts w:ascii="Book Antiqua" w:hAnsi="Book Antiqua"/>
            <w:b/>
            <w:bCs/>
            <w:color w:val="3333FF"/>
            <w:sz w:val="19"/>
            <w:szCs w:val="19"/>
          </w:rPr>
          <w:t>Lei n° 6.858/80</w:t>
        </w:r>
      </w:hyperlink>
      <w:r w:rsidRPr="000B48B8">
        <w:rPr>
          <w:rFonts w:ascii="Book Antiqua" w:hAnsi="Book Antiqua"/>
          <w:b/>
          <w:bCs/>
          <w:sz w:val="19"/>
          <w:szCs w:val="19"/>
        </w:rPr>
        <w:t>, é também admissível a escritura pública de inventário e partilha</w:t>
      </w:r>
      <w:r w:rsidRPr="004E7DCF">
        <w:rPr>
          <w:rFonts w:ascii="Book Antiqua" w:hAnsi="Book Antiqua"/>
          <w:sz w:val="18"/>
          <w:szCs w:val="18"/>
        </w:rPr>
        <w:t>.</w:t>
      </w:r>
      <w:r w:rsidR="000B48B8" w:rsidRPr="004E7DCF">
        <w:rPr>
          <w:rFonts w:ascii="Book Antiqua" w:hAnsi="Book Antiqua"/>
          <w:sz w:val="18"/>
          <w:szCs w:val="18"/>
        </w:rPr>
        <w:t xml:space="preserve"> </w:t>
      </w:r>
      <w:r w:rsidR="000B48B8" w:rsidRPr="004E7DCF">
        <w:rPr>
          <w:rFonts w:ascii="Book Antiqua" w:hAnsi="Book Antiqua" w:cs="Times New Roman"/>
          <w:b/>
          <w:bCs/>
          <w:color w:val="FF0000"/>
          <w:sz w:val="16"/>
          <w:szCs w:val="16"/>
          <w:u w:val="single"/>
        </w:rPr>
        <w:t>(Cartórios/TJR</w:t>
      </w:r>
      <w:r w:rsidR="000B48B8" w:rsidRPr="004E7DCF">
        <w:rPr>
          <w:rFonts w:ascii="Book Antiqua" w:hAnsi="Book Antiqua"/>
          <w:b/>
          <w:bCs/>
          <w:color w:val="FF0000"/>
          <w:sz w:val="16"/>
          <w:szCs w:val="16"/>
          <w:u w:val="single"/>
        </w:rPr>
        <w:t>S</w:t>
      </w:r>
      <w:r w:rsidR="000B48B8" w:rsidRPr="004E7DCF">
        <w:rPr>
          <w:rFonts w:ascii="Book Antiqua" w:hAnsi="Book Antiqua" w:cs="Times New Roman"/>
          <w:b/>
          <w:bCs/>
          <w:color w:val="FF0000"/>
          <w:sz w:val="16"/>
          <w:szCs w:val="16"/>
          <w:u w:val="single"/>
        </w:rPr>
        <w:t>-2013)</w:t>
      </w:r>
    </w:p>
    <w:p w14:paraId="766F3BDA" w14:textId="52B2E186" w:rsidR="003F4CD0" w:rsidRDefault="003F4CD0" w:rsidP="003F4CD0">
      <w:pPr>
        <w:tabs>
          <w:tab w:val="center" w:pos="4252"/>
        </w:tabs>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77F28">
        <w:rPr>
          <w:rFonts w:ascii="Book Antiqua" w:hAnsi="Book Antiqua"/>
          <w:b/>
          <w:bCs/>
          <w:sz w:val="19"/>
          <w:szCs w:val="19"/>
          <w:highlight w:val="magenta"/>
        </w:rPr>
        <w:t>Art. 15</w:t>
      </w:r>
      <w:r w:rsidRPr="003F4CD0">
        <w:rPr>
          <w:rFonts w:ascii="Book Antiqua" w:hAnsi="Book Antiqua"/>
          <w:sz w:val="19"/>
          <w:szCs w:val="19"/>
        </w:rPr>
        <w:t xml:space="preserve">. </w:t>
      </w:r>
      <w:r w:rsidRPr="00077F28">
        <w:rPr>
          <w:rFonts w:ascii="Book Antiqua" w:hAnsi="Book Antiqua"/>
          <w:b/>
          <w:bCs/>
          <w:sz w:val="19"/>
          <w:szCs w:val="19"/>
        </w:rPr>
        <w:t xml:space="preserve">O recolhimento dos tributos incidentes </w:t>
      </w:r>
      <w:r w:rsidRPr="00077F28">
        <w:rPr>
          <w:rFonts w:ascii="Book Antiqua" w:hAnsi="Book Antiqua"/>
          <w:b/>
          <w:bCs/>
          <w:caps/>
          <w:sz w:val="19"/>
          <w:szCs w:val="19"/>
          <w:highlight w:val="green"/>
        </w:rPr>
        <w:t>deve anteceder</w:t>
      </w:r>
      <w:r w:rsidRPr="00077F28">
        <w:rPr>
          <w:rFonts w:ascii="Book Antiqua" w:hAnsi="Book Antiqua"/>
          <w:b/>
          <w:bCs/>
          <w:sz w:val="19"/>
          <w:szCs w:val="19"/>
        </w:rPr>
        <w:t xml:space="preserve"> a lavratura da escritura.</w:t>
      </w:r>
      <w:r w:rsidR="00C36325">
        <w:rPr>
          <w:rFonts w:ascii="Book Antiqua" w:hAnsi="Book Antiqua"/>
          <w:b/>
          <w:bCs/>
          <w:sz w:val="19"/>
          <w:szCs w:val="19"/>
        </w:rPr>
        <w:t xml:space="preserve"> </w:t>
      </w:r>
      <w:r w:rsidR="00C36325" w:rsidRPr="004E7DCF">
        <w:rPr>
          <w:rFonts w:ascii="Book Antiqua" w:eastAsia="Times New Roman" w:hAnsi="Book Antiqua" w:cs="Times New Roman"/>
          <w:b/>
          <w:bCs/>
          <w:color w:val="FF0000"/>
          <w:sz w:val="16"/>
          <w:szCs w:val="16"/>
          <w:u w:val="single"/>
          <w:lang w:eastAsia="pt-BR"/>
        </w:rPr>
        <w:t>(Cartórios/TJPR-2019)</w:t>
      </w:r>
      <w:r w:rsidR="00D805C4" w:rsidRPr="004E7DCF">
        <w:rPr>
          <w:rFonts w:ascii="Book Antiqua" w:hAnsi="Book Antiqua"/>
          <w:b/>
          <w:bCs/>
          <w:sz w:val="18"/>
          <w:szCs w:val="18"/>
        </w:rPr>
        <w:t xml:space="preserve"> </w:t>
      </w:r>
      <w:r w:rsidR="00D805C4" w:rsidRPr="004E7DCF">
        <w:rPr>
          <w:rFonts w:ascii="Book Antiqua" w:hAnsi="Book Antiqua" w:cs="Arial"/>
          <w:b/>
          <w:color w:val="FF0000"/>
          <w:sz w:val="16"/>
          <w:szCs w:val="16"/>
          <w:u w:val="single"/>
        </w:rPr>
        <w:t>(Cartórios/TJMS-2021)</w:t>
      </w:r>
      <w:r w:rsidR="00077F28" w:rsidRPr="004E7DCF">
        <w:rPr>
          <w:rFonts w:ascii="Book Antiqua" w:hAnsi="Book Antiqua"/>
          <w:sz w:val="18"/>
          <w:szCs w:val="18"/>
        </w:rPr>
        <w:t xml:space="preserve"> </w:t>
      </w:r>
      <w:r w:rsidR="00077F28" w:rsidRPr="004E7DCF">
        <w:rPr>
          <w:rFonts w:ascii="Book Antiqua" w:eastAsia="Times New Roman" w:hAnsi="Book Antiqua" w:cs="Arial"/>
          <w:b/>
          <w:bCs/>
          <w:color w:val="FF0000"/>
          <w:sz w:val="16"/>
          <w:szCs w:val="16"/>
          <w:u w:val="single"/>
          <w:lang w:eastAsia="pt-BR"/>
        </w:rPr>
        <w:t>(Cartórios/TJSC-2021</w:t>
      </w:r>
      <w:r w:rsidR="0006789E">
        <w:rPr>
          <w:rFonts w:ascii="Book Antiqua" w:eastAsia="Times New Roman" w:hAnsi="Book Antiqua" w:cs="Arial"/>
          <w:b/>
          <w:bCs/>
          <w:color w:val="FF0000"/>
          <w:sz w:val="16"/>
          <w:szCs w:val="16"/>
          <w:u w:val="single"/>
          <w:lang w:eastAsia="pt-BR"/>
        </w:rPr>
        <w:t>/2023</w:t>
      </w:r>
      <w:r w:rsidR="00077F28" w:rsidRPr="004E7DCF">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861CE" w14:paraId="69AE3705" w14:textId="77777777" w:rsidTr="00B43DC8">
        <w:tc>
          <w:tcPr>
            <w:tcW w:w="8494" w:type="dxa"/>
            <w:shd w:val="clear" w:color="auto" w:fill="CCFFFF"/>
          </w:tcPr>
          <w:p w14:paraId="3881E154" w14:textId="19FC24EE" w:rsidR="004861CE" w:rsidRPr="003F4CD0" w:rsidRDefault="004861CE" w:rsidP="00B43DC8">
            <w:pPr>
              <w:tabs>
                <w:tab w:val="center" w:pos="4252"/>
              </w:tabs>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Cartórios/TJSC-2023-CESPE</w:t>
            </w:r>
            <w:r>
              <w:rPr>
                <w:rFonts w:ascii="Book Antiqua" w:hAnsi="Book Antiqua"/>
                <w:b/>
                <w:bCs/>
                <w:sz w:val="19"/>
                <w:szCs w:val="19"/>
              </w:rPr>
              <w:t>)</w:t>
            </w:r>
            <w:r>
              <w:rPr>
                <w:rFonts w:ascii="Book Antiqua" w:hAnsi="Book Antiqua"/>
                <w:sz w:val="19"/>
                <w:szCs w:val="19"/>
              </w:rPr>
              <w:t xml:space="preserve">: </w:t>
            </w:r>
            <w:r w:rsidRPr="0006789E">
              <w:rPr>
                <w:rFonts w:ascii="Book Antiqua" w:hAnsi="Book Antiqua"/>
                <w:sz w:val="19"/>
                <w:szCs w:val="19"/>
              </w:rPr>
              <w:t>No que se refere à atribuição dos tabeliães de lavrar escrituras de inventário e partilha, assinale a opção correta à luz da Resolução 35/07 do CNJ</w:t>
            </w:r>
            <w:r>
              <w:rPr>
                <w:rFonts w:ascii="Book Antiqua" w:hAnsi="Book Antiqua"/>
                <w:sz w:val="19"/>
                <w:szCs w:val="19"/>
              </w:rPr>
              <w:t xml:space="preserve">: </w:t>
            </w:r>
            <w:r w:rsidRPr="004861CE">
              <w:rPr>
                <w:rFonts w:ascii="Book Antiqua" w:hAnsi="Book Antiqua"/>
                <w:sz w:val="19"/>
                <w:szCs w:val="19"/>
              </w:rPr>
              <w:t>A escritura somente pode ser lavrada se tiver ocorrido o recolhimento dos tributos incidentes no caso.</w:t>
            </w:r>
            <w:r>
              <w:rPr>
                <w:rFonts w:ascii="Book Antiqua" w:hAnsi="Book Antiqua"/>
                <w:sz w:val="19"/>
                <w:szCs w:val="19"/>
              </w:rPr>
              <w:t xml:space="preserve"> </w:t>
            </w:r>
            <w:r>
              <w:rPr>
                <w:rFonts w:ascii="Book Antiqua" w:hAnsi="Book Antiqua"/>
                <w:b/>
                <w:bCs/>
                <w:sz w:val="19"/>
                <w:szCs w:val="19"/>
              </w:rPr>
              <w:t>BL: art. 1</w:t>
            </w:r>
            <w:r>
              <w:rPr>
                <w:rFonts w:ascii="Book Antiqua" w:hAnsi="Book Antiqua"/>
                <w:b/>
                <w:bCs/>
                <w:sz w:val="19"/>
                <w:szCs w:val="19"/>
              </w:rPr>
              <w:t>5</w:t>
            </w:r>
            <w:r>
              <w:rPr>
                <w:rFonts w:ascii="Book Antiqua" w:hAnsi="Book Antiqua"/>
                <w:b/>
                <w:bCs/>
                <w:sz w:val="19"/>
                <w:szCs w:val="19"/>
              </w:rPr>
              <w:t>, Res. 35/07.</w:t>
            </w:r>
          </w:p>
        </w:tc>
      </w:tr>
    </w:tbl>
    <w:p w14:paraId="24581AA0" w14:textId="338D0114" w:rsidR="003F4CD0" w:rsidRPr="0006789E"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2C1F92">
        <w:rPr>
          <w:rFonts w:ascii="Book Antiqua" w:hAnsi="Book Antiqua"/>
          <w:b/>
          <w:bCs/>
          <w:sz w:val="19"/>
          <w:szCs w:val="19"/>
          <w:highlight w:val="magenta"/>
        </w:rPr>
        <w:t>Art. 16</w:t>
      </w:r>
      <w:r w:rsidRPr="009D55A3">
        <w:rPr>
          <w:rFonts w:ascii="Book Antiqua" w:hAnsi="Book Antiqua"/>
          <w:b/>
          <w:bCs/>
          <w:sz w:val="19"/>
          <w:szCs w:val="19"/>
        </w:rPr>
        <w:t xml:space="preserve">. </w:t>
      </w:r>
      <w:r w:rsidRPr="0006789E">
        <w:rPr>
          <w:rFonts w:ascii="Book Antiqua" w:hAnsi="Book Antiqua"/>
          <w:b/>
          <w:bCs/>
          <w:caps/>
          <w:sz w:val="19"/>
          <w:szCs w:val="19"/>
          <w:highlight w:val="green"/>
        </w:rPr>
        <w:t>É possível</w:t>
      </w:r>
      <w:r w:rsidRPr="009D55A3">
        <w:rPr>
          <w:rFonts w:ascii="Book Antiqua" w:hAnsi="Book Antiqua"/>
          <w:b/>
          <w:bCs/>
          <w:sz w:val="19"/>
          <w:szCs w:val="19"/>
        </w:rPr>
        <w:t xml:space="preserve"> a promoção de inventário extrajudicial por cessionário de direitos hereditários, mesmo na hipótese de cessão de parte do acervo, desde que todos os herdeiros estejam presentes e concordes</w:t>
      </w:r>
      <w:r w:rsidRPr="004E7DCF">
        <w:rPr>
          <w:rFonts w:ascii="Book Antiqua" w:hAnsi="Book Antiqua"/>
          <w:sz w:val="18"/>
          <w:szCs w:val="18"/>
        </w:rPr>
        <w:t>.</w:t>
      </w:r>
      <w:r w:rsidR="002C1F92" w:rsidRPr="004E7DCF">
        <w:rPr>
          <w:rFonts w:ascii="Book Antiqua" w:hAnsi="Book Antiqua"/>
          <w:sz w:val="18"/>
          <w:szCs w:val="18"/>
        </w:rPr>
        <w:t xml:space="preserve"> </w:t>
      </w:r>
      <w:r w:rsidR="002C1F92" w:rsidRPr="004E7DCF">
        <w:rPr>
          <w:rFonts w:ascii="Book Antiqua" w:eastAsia="Times New Roman" w:hAnsi="Book Antiqua" w:cs="Times New Roman"/>
          <w:b/>
          <w:color w:val="FF0000"/>
          <w:sz w:val="16"/>
          <w:szCs w:val="16"/>
          <w:u w:val="single"/>
          <w:lang w:eastAsia="pt-BR"/>
        </w:rPr>
        <w:t>(Cartórios/TJRO-2012)</w:t>
      </w:r>
      <w:r w:rsidR="000B48B8" w:rsidRPr="004E7DCF">
        <w:rPr>
          <w:rFonts w:ascii="Book Antiqua" w:eastAsia="Times New Roman" w:hAnsi="Book Antiqua" w:cs="Times New Roman"/>
          <w:b/>
          <w:color w:val="FF0000"/>
          <w:sz w:val="16"/>
          <w:szCs w:val="16"/>
          <w:lang w:eastAsia="pt-BR"/>
        </w:rPr>
        <w:t xml:space="preserve"> </w:t>
      </w:r>
      <w:r w:rsidR="000B48B8" w:rsidRPr="004E7DCF">
        <w:rPr>
          <w:rFonts w:ascii="Book Antiqua" w:hAnsi="Book Antiqua" w:cs="Times New Roman"/>
          <w:b/>
          <w:bCs/>
          <w:color w:val="FF0000"/>
          <w:sz w:val="16"/>
          <w:szCs w:val="16"/>
          <w:u w:val="single"/>
        </w:rPr>
        <w:t>(Cartórios/TJR</w:t>
      </w:r>
      <w:r w:rsidR="000B48B8" w:rsidRPr="004E7DCF">
        <w:rPr>
          <w:rFonts w:ascii="Book Antiqua" w:hAnsi="Book Antiqua"/>
          <w:b/>
          <w:bCs/>
          <w:color w:val="FF0000"/>
          <w:sz w:val="16"/>
          <w:szCs w:val="16"/>
          <w:u w:val="single"/>
        </w:rPr>
        <w:t>S</w:t>
      </w:r>
      <w:r w:rsidR="000B48B8" w:rsidRPr="004E7DCF">
        <w:rPr>
          <w:rFonts w:ascii="Book Antiqua" w:hAnsi="Book Antiqua" w:cs="Times New Roman"/>
          <w:b/>
          <w:bCs/>
          <w:color w:val="FF0000"/>
          <w:sz w:val="16"/>
          <w:szCs w:val="16"/>
          <w:u w:val="single"/>
        </w:rPr>
        <w:t>-2013)</w:t>
      </w:r>
      <w:r w:rsidR="00837B5A" w:rsidRPr="004E7DCF">
        <w:rPr>
          <w:rFonts w:ascii="Book Antiqua" w:hAnsi="Book Antiqua" w:cs="Times New Roman"/>
          <w:b/>
          <w:bCs/>
          <w:color w:val="FF0000"/>
          <w:sz w:val="16"/>
          <w:szCs w:val="16"/>
        </w:rPr>
        <w:t xml:space="preserve"> </w:t>
      </w:r>
      <w:r w:rsidR="00837B5A" w:rsidRPr="004E7DCF">
        <w:rPr>
          <w:rFonts w:ascii="Book Antiqua" w:hAnsi="Book Antiqua" w:cs="Times New Roman"/>
          <w:b/>
          <w:color w:val="FF0000"/>
          <w:sz w:val="16"/>
          <w:szCs w:val="16"/>
          <w:u w:val="single"/>
        </w:rPr>
        <w:t>(Cartórios/TJSE-2014)</w:t>
      </w:r>
      <w:r w:rsidR="0006789E">
        <w:rPr>
          <w:rFonts w:ascii="Book Antiqua" w:hAnsi="Book Antiqua" w:cs="Times New Roman"/>
          <w:b/>
          <w:color w:val="FF0000"/>
          <w:sz w:val="16"/>
          <w:szCs w:val="16"/>
        </w:rPr>
        <w:t xml:space="preserve"> </w:t>
      </w:r>
      <w:r w:rsidR="0006789E" w:rsidRPr="007D7DCF">
        <w:rPr>
          <w:rFonts w:ascii="Book Antiqua" w:eastAsia="Times New Roman" w:hAnsi="Book Antiqua" w:cs="Arial"/>
          <w:b/>
          <w:bCs/>
          <w:color w:val="FF0000"/>
          <w:sz w:val="16"/>
          <w:szCs w:val="16"/>
          <w:u w:val="single"/>
          <w:lang w:eastAsia="pt-BR"/>
        </w:rPr>
        <w:t>(Cartórios/TJSC-2023)</w:t>
      </w:r>
    </w:p>
    <w:p w14:paraId="63022C7D" w14:textId="1AA8C5C1"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E941E7">
        <w:rPr>
          <w:rFonts w:ascii="Book Antiqua" w:hAnsi="Book Antiqua"/>
          <w:b/>
          <w:bCs/>
          <w:sz w:val="19"/>
          <w:szCs w:val="19"/>
          <w:highlight w:val="magenta"/>
        </w:rPr>
        <w:t>Art. 17</w:t>
      </w:r>
      <w:r w:rsidRPr="00E941E7">
        <w:rPr>
          <w:rFonts w:ascii="Book Antiqua" w:hAnsi="Book Antiqua"/>
          <w:b/>
          <w:bCs/>
          <w:sz w:val="19"/>
          <w:szCs w:val="19"/>
        </w:rPr>
        <w:t>. Os cônjuges dos herdeiros deverão comparecer ao ato de lavratura da escritura pública de inventário e partilha quando houver renúncia ou algum tipo de partilha que importe em transmissão, exceto se o casamento se der sob o regime da separação absoluta</w:t>
      </w:r>
      <w:r w:rsidRPr="004E7DCF">
        <w:rPr>
          <w:rFonts w:ascii="Book Antiqua" w:hAnsi="Book Antiqua"/>
          <w:sz w:val="18"/>
          <w:szCs w:val="18"/>
        </w:rPr>
        <w:t>.</w:t>
      </w:r>
      <w:r w:rsidR="00E941E7" w:rsidRPr="004E7DCF">
        <w:rPr>
          <w:rFonts w:ascii="Book Antiqua" w:hAnsi="Book Antiqua"/>
          <w:sz w:val="18"/>
          <w:szCs w:val="18"/>
        </w:rPr>
        <w:t xml:space="preserve"> </w:t>
      </w:r>
      <w:r w:rsidR="00E941E7" w:rsidRPr="004E7DCF">
        <w:rPr>
          <w:rFonts w:ascii="Book Antiqua" w:eastAsia="Times New Roman" w:hAnsi="Book Antiqua" w:cs="Times New Roman"/>
          <w:b/>
          <w:color w:val="FF0000"/>
          <w:sz w:val="16"/>
          <w:szCs w:val="16"/>
          <w:u w:val="single"/>
          <w:lang w:eastAsia="pt-BR"/>
        </w:rPr>
        <w:t>(Cartórios/TJMG-2015)</w:t>
      </w:r>
    </w:p>
    <w:p w14:paraId="7A28DD8E" w14:textId="40EE9FE9" w:rsidR="004E7DCF" w:rsidRPr="004E7DCF" w:rsidRDefault="004E7DCF"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4E7DCF">
        <w:rPr>
          <w:rFonts w:ascii="Book Antiqua" w:hAnsi="Book Antiqua"/>
          <w:sz w:val="19"/>
          <w:szCs w:val="19"/>
        </w:rPr>
        <w:t xml:space="preserve">Art. 18. No inventário extrajudicial, o convivente sobrevivente é herdeiro quando reconhecida a união estável pelos demais sucessores, ou quando for o único sucessor e a união estável estiver </w:t>
      </w:r>
      <w:r w:rsidRPr="004E7DCF">
        <w:rPr>
          <w:rFonts w:ascii="Book Antiqua" w:hAnsi="Book Antiqua"/>
          <w:sz w:val="19"/>
          <w:szCs w:val="19"/>
        </w:rPr>
        <w:lastRenderedPageBreak/>
        <w:t>previamente reconhecida por sentença judicial, escritura pública ou termo declaratório, desde que devidamente registrados, nos termos dos </w:t>
      </w:r>
      <w:proofErr w:type="spellStart"/>
      <w:r>
        <w:fldChar w:fldCharType="begin"/>
      </w:r>
      <w:r>
        <w:instrText>HYPERLINK "https://atos.cnj.jus.br/atos/detalhar/5243" \t "_blank"</w:instrText>
      </w:r>
      <w:r>
        <w:fldChar w:fldCharType="separate"/>
      </w:r>
      <w:r w:rsidRPr="004E7DCF">
        <w:rPr>
          <w:rStyle w:val="Hyperlink"/>
          <w:rFonts w:ascii="Book Antiqua" w:hAnsi="Book Antiqua"/>
          <w:sz w:val="19"/>
          <w:szCs w:val="19"/>
        </w:rPr>
        <w:t>arts</w:t>
      </w:r>
      <w:proofErr w:type="spellEnd"/>
      <w:r w:rsidRPr="004E7DCF">
        <w:rPr>
          <w:rStyle w:val="Hyperlink"/>
          <w:rFonts w:ascii="Book Antiqua" w:hAnsi="Book Antiqua"/>
          <w:sz w:val="19"/>
          <w:szCs w:val="19"/>
        </w:rPr>
        <w:t>. 537 e 538 do CNN/CN/CNJ-Extra (Provimento CNJ nº 149/2023)</w:t>
      </w:r>
      <w:r>
        <w:rPr>
          <w:rStyle w:val="Hyperlink"/>
          <w:rFonts w:ascii="Book Antiqua" w:hAnsi="Book Antiqua"/>
          <w:sz w:val="19"/>
          <w:szCs w:val="19"/>
        </w:rPr>
        <w:fldChar w:fldCharType="end"/>
      </w:r>
      <w:r w:rsidRPr="004E7DCF">
        <w:rPr>
          <w:rFonts w:ascii="Book Antiqua" w:hAnsi="Book Antiqua"/>
          <w:sz w:val="19"/>
          <w:szCs w:val="19"/>
        </w:rPr>
        <w:t>. </w:t>
      </w:r>
      <w:hyperlink r:id="rId42" w:tgtFrame="_blank" w:history="1">
        <w:r w:rsidRPr="004E7DCF">
          <w:rPr>
            <w:rStyle w:val="Hyperlink"/>
            <w:rFonts w:ascii="Book Antiqua" w:hAnsi="Book Antiqua"/>
            <w:sz w:val="16"/>
            <w:szCs w:val="16"/>
          </w:rPr>
          <w:t>(redação dada pela Resolução n. 571, de 26.8.2024)</w:t>
        </w:r>
      </w:hyperlink>
    </w:p>
    <w:p w14:paraId="25B6D60C" w14:textId="08C6A194" w:rsidR="00082F7D" w:rsidRPr="00082F7D" w:rsidRDefault="00082F7D"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19. A meação do convivente pode ser reconhecida na escritura pública, desde que todos os herdeiros e interessados na herança, absolutamente capazes estejam de acordo ou, havendo menor ou incapaz, estejam cumpridos os requisitos do art. 12-A</w:t>
      </w:r>
      <w:r w:rsidRPr="00082F7D">
        <w:rPr>
          <w:rFonts w:ascii="Book Antiqua" w:hAnsi="Book Antiqua"/>
          <w:sz w:val="16"/>
          <w:szCs w:val="16"/>
        </w:rPr>
        <w:t>. </w:t>
      </w:r>
      <w:hyperlink r:id="rId43" w:tgtFrame="_blank" w:history="1">
        <w:r w:rsidRPr="00082F7D">
          <w:rPr>
            <w:rStyle w:val="Hyperlink"/>
            <w:rFonts w:ascii="Book Antiqua" w:hAnsi="Book Antiqua"/>
            <w:sz w:val="16"/>
            <w:szCs w:val="16"/>
          </w:rPr>
          <w:t>(redação dada pela Resolução n. 571, de 26.8.2024)</w:t>
        </w:r>
      </w:hyperlink>
    </w:p>
    <w:p w14:paraId="691C0C7B" w14:textId="10B25D6D"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20. As partes e respectivos cônjuges devem estar, na escritura, nomeados e qualificados (nacionalidade; profissão; idade; estado civil; regime de bens; data do casamento; pacto antenupcial e seu registro imobiliário, se houver; número do documento de identidade; número de inscrição no CPF/MF; domicílio e residência).</w:t>
      </w:r>
    </w:p>
    <w:p w14:paraId="7417C4E4" w14:textId="35D3E688"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2C1F92">
        <w:rPr>
          <w:rFonts w:ascii="Book Antiqua" w:hAnsi="Book Antiqua"/>
          <w:b/>
          <w:bCs/>
          <w:sz w:val="19"/>
          <w:szCs w:val="19"/>
          <w:highlight w:val="magenta"/>
        </w:rPr>
        <w:t>Art. 21</w:t>
      </w:r>
      <w:r w:rsidRPr="003F4CD0">
        <w:rPr>
          <w:rFonts w:ascii="Book Antiqua" w:hAnsi="Book Antiqua"/>
          <w:sz w:val="19"/>
          <w:szCs w:val="19"/>
        </w:rPr>
        <w:t xml:space="preserve">. </w:t>
      </w:r>
      <w:r w:rsidRPr="009D55A3">
        <w:rPr>
          <w:rFonts w:ascii="Book Antiqua" w:hAnsi="Book Antiqua"/>
          <w:b/>
          <w:bCs/>
          <w:sz w:val="19"/>
          <w:szCs w:val="19"/>
        </w:rPr>
        <w:t>A escritura pública de inventário e partilha conterá a qualificação completa do autor da herança; o regime de bens do casamento; pacto antenupcial e seu registro imobiliário, se houver; dia e lugar em que faleceu o autor da herança; data da expedição da certidão de óbito; livro, folha, número do termo e unidade de serviço em que consta o registro do óbito; e a menção ou declaração dos herdeiros de que o autor da herança não deixou testamento e outros herdeiros, sob as penas da lei.</w:t>
      </w:r>
      <w:r w:rsidR="00C73C52">
        <w:rPr>
          <w:rFonts w:ascii="Book Antiqua" w:hAnsi="Book Antiqua"/>
          <w:b/>
          <w:bCs/>
          <w:sz w:val="19"/>
          <w:szCs w:val="19"/>
        </w:rPr>
        <w:t xml:space="preserve"> </w:t>
      </w:r>
      <w:r w:rsidR="002C1F92" w:rsidRPr="004E7DCF">
        <w:rPr>
          <w:rFonts w:ascii="Book Antiqua" w:eastAsia="Times New Roman" w:hAnsi="Book Antiqua" w:cs="Times New Roman"/>
          <w:b/>
          <w:color w:val="FF0000"/>
          <w:sz w:val="16"/>
          <w:szCs w:val="16"/>
          <w:u w:val="single"/>
          <w:lang w:eastAsia="pt-BR"/>
        </w:rPr>
        <w:t>(Cartórios/TJRO-2012)</w:t>
      </w:r>
      <w:r w:rsidR="00E1445E" w:rsidRPr="004E7DCF">
        <w:rPr>
          <w:rFonts w:ascii="Book Antiqua" w:eastAsia="Times New Roman" w:hAnsi="Book Antiqua" w:cs="Times New Roman"/>
          <w:b/>
          <w:color w:val="FF0000"/>
          <w:sz w:val="16"/>
          <w:szCs w:val="16"/>
          <w:lang w:eastAsia="pt-BR"/>
        </w:rPr>
        <w:t xml:space="preserve"> </w:t>
      </w:r>
      <w:r w:rsidR="00E1445E" w:rsidRPr="004E7DCF">
        <w:rPr>
          <w:rFonts w:ascii="Book Antiqua" w:hAnsi="Book Antiqua"/>
          <w:b/>
          <w:bCs/>
          <w:color w:val="FF0000"/>
          <w:sz w:val="16"/>
          <w:szCs w:val="16"/>
          <w:u w:val="single"/>
        </w:rPr>
        <w:t>(Cartórios/TJMG-2012/2015)</w:t>
      </w:r>
      <w:r w:rsidR="003E7500" w:rsidRPr="004E7DCF">
        <w:rPr>
          <w:rFonts w:ascii="Book Antiqua" w:hAnsi="Book Antiqua"/>
          <w:b/>
          <w:bCs/>
          <w:color w:val="FF0000"/>
          <w:sz w:val="16"/>
          <w:szCs w:val="16"/>
        </w:rPr>
        <w:t xml:space="preserve"> </w:t>
      </w:r>
      <w:bookmarkStart w:id="1" w:name="_Hlk132894317"/>
      <w:r w:rsidR="003E7500" w:rsidRPr="004E7DCF">
        <w:rPr>
          <w:rFonts w:ascii="Book Antiqua" w:eastAsia="Times New Roman" w:hAnsi="Book Antiqua" w:cs="Times New Roman"/>
          <w:b/>
          <w:color w:val="FF0000"/>
          <w:sz w:val="16"/>
          <w:szCs w:val="16"/>
          <w:u w:val="single"/>
          <w:lang w:eastAsia="pt-BR"/>
        </w:rPr>
        <w:t>(Cartórios/TJDFT-2019)</w:t>
      </w:r>
      <w:bookmarkEnd w:id="1"/>
    </w:p>
    <w:p w14:paraId="4EE9427B" w14:textId="566DBDF5" w:rsidR="003F4CD0" w:rsidRPr="002A62FB"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C73C52">
        <w:rPr>
          <w:rFonts w:ascii="Book Antiqua" w:hAnsi="Book Antiqua"/>
          <w:b/>
          <w:bCs/>
          <w:sz w:val="19"/>
          <w:szCs w:val="19"/>
          <w:highlight w:val="magenta"/>
        </w:rPr>
        <w:t>Art. 22</w:t>
      </w:r>
      <w:r w:rsidRPr="003F4CD0">
        <w:rPr>
          <w:rFonts w:ascii="Book Antiqua" w:hAnsi="Book Antiqua"/>
          <w:sz w:val="19"/>
          <w:szCs w:val="19"/>
        </w:rPr>
        <w:t xml:space="preserve">. </w:t>
      </w:r>
      <w:r w:rsidRPr="00C73C52">
        <w:rPr>
          <w:rFonts w:ascii="Book Antiqua" w:hAnsi="Book Antiqua"/>
          <w:b/>
          <w:bCs/>
          <w:sz w:val="19"/>
          <w:szCs w:val="19"/>
        </w:rPr>
        <w:t>Na lavratura da escritura deverão ser apresentados os seguintes documentos: a) certidão de óbito do autor da herança; b) documento de identidade oficial e CPF das partes e do autor da herança; c) certidão comprobatória do vínculo de parentesco dos herdeiros; d) certidão de casamento do cônjuge sobrevivente e dos herdeiros casados e pacto antenupcial, se houver; e) certidão de propriedade de bens imóveis e direitos a eles relativos; f) documentos necessários à comprovação da titularidade dos bens móveis e direitos, se houver; g) certidão negativa de tributos; e h) Certificado de Cadastro de Imóvel Rural - CCIR, se houver imóvel rural a ser partilhado</w:t>
      </w:r>
      <w:r w:rsidRPr="003F4CD0">
        <w:rPr>
          <w:rFonts w:ascii="Book Antiqua" w:hAnsi="Book Antiqua"/>
          <w:sz w:val="19"/>
          <w:szCs w:val="19"/>
        </w:rPr>
        <w:t>.</w:t>
      </w:r>
      <w:r w:rsidR="00C73C52">
        <w:rPr>
          <w:rFonts w:ascii="Book Antiqua" w:hAnsi="Book Antiqua"/>
          <w:sz w:val="19"/>
          <w:szCs w:val="19"/>
        </w:rPr>
        <w:t xml:space="preserve"> </w:t>
      </w:r>
      <w:r w:rsidR="00C73C52" w:rsidRPr="004E7DCF">
        <w:rPr>
          <w:rFonts w:ascii="Book Antiqua" w:hAnsi="Book Antiqua"/>
          <w:b/>
          <w:bCs/>
          <w:color w:val="FF0000"/>
          <w:sz w:val="16"/>
          <w:szCs w:val="16"/>
          <w:u w:val="single"/>
        </w:rPr>
        <w:t>(Cartórios/TJMG-2012)</w:t>
      </w:r>
      <w:r w:rsidR="002A62FB" w:rsidRPr="004E7DCF">
        <w:rPr>
          <w:rFonts w:ascii="Book Antiqua" w:hAnsi="Book Antiqua"/>
          <w:b/>
          <w:bCs/>
          <w:color w:val="FF0000"/>
          <w:sz w:val="16"/>
          <w:szCs w:val="16"/>
        </w:rPr>
        <w:t xml:space="preserve"> </w:t>
      </w:r>
      <w:r w:rsidR="002A62FB" w:rsidRPr="004E7DCF">
        <w:rPr>
          <w:rFonts w:ascii="Book Antiqua" w:hAnsi="Book Antiqua" w:cs="Arial"/>
          <w:b/>
          <w:bCs/>
          <w:color w:val="FF0000"/>
          <w:sz w:val="16"/>
          <w:szCs w:val="16"/>
          <w:u w:val="single"/>
        </w:rPr>
        <w:t>(Cartórios/TJRS-2015)</w:t>
      </w:r>
    </w:p>
    <w:p w14:paraId="65A85900"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23. Os documentos apresentados no ato da lavratura da escritura devem ser originais ou em cópias autenticadas, salvo os de identidade das partes, que sempre serão originais.</w:t>
      </w:r>
    </w:p>
    <w:p w14:paraId="066B398F"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24. A escritura pública deverá fazer menção aos documentos apresentados.</w:t>
      </w:r>
    </w:p>
    <w:p w14:paraId="5A8BCD48" w14:textId="6579E61F"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E82B9F">
        <w:rPr>
          <w:rFonts w:ascii="Book Antiqua" w:hAnsi="Book Antiqua"/>
          <w:b/>
          <w:bCs/>
          <w:sz w:val="19"/>
          <w:szCs w:val="19"/>
          <w:highlight w:val="magenta"/>
        </w:rPr>
        <w:t>Art. 25</w:t>
      </w:r>
      <w:r w:rsidRPr="003F4CD0">
        <w:rPr>
          <w:rFonts w:ascii="Book Antiqua" w:hAnsi="Book Antiqua"/>
          <w:sz w:val="19"/>
          <w:szCs w:val="19"/>
        </w:rPr>
        <w:t xml:space="preserve">. </w:t>
      </w:r>
      <w:r w:rsidRPr="009D55A3">
        <w:rPr>
          <w:rFonts w:ascii="Book Antiqua" w:hAnsi="Book Antiqua"/>
          <w:b/>
          <w:bCs/>
          <w:sz w:val="19"/>
          <w:szCs w:val="19"/>
        </w:rPr>
        <w:t>É admissível a sobrepartilha por escritura pública, ainda que referente a inventário e partilha judiciais já findos, mesmo que o herdeiro, hoje maior e capaz, fosse menor ou incapaz ao tempo do óbito ou do processo judicial</w:t>
      </w:r>
      <w:r w:rsidRPr="004E7DCF">
        <w:rPr>
          <w:rFonts w:ascii="Book Antiqua" w:hAnsi="Book Antiqua"/>
          <w:sz w:val="18"/>
          <w:szCs w:val="18"/>
        </w:rPr>
        <w:t>.</w:t>
      </w:r>
      <w:r w:rsidR="00E82B9F" w:rsidRPr="004E7DCF">
        <w:rPr>
          <w:rFonts w:ascii="Book Antiqua" w:hAnsi="Book Antiqua"/>
          <w:sz w:val="18"/>
          <w:szCs w:val="18"/>
        </w:rPr>
        <w:t xml:space="preserve"> </w:t>
      </w:r>
      <w:r w:rsidR="00E82B9F" w:rsidRPr="004E7DCF">
        <w:rPr>
          <w:rFonts w:ascii="Book Antiqua" w:hAnsi="Book Antiqua"/>
          <w:b/>
          <w:bCs/>
          <w:color w:val="FF0000"/>
          <w:sz w:val="16"/>
          <w:szCs w:val="16"/>
          <w:u w:val="single"/>
        </w:rPr>
        <w:t>(Cartórios/TJSP-2011)</w:t>
      </w:r>
      <w:r w:rsidR="00C53A46" w:rsidRPr="004E7DCF">
        <w:rPr>
          <w:rFonts w:ascii="Book Antiqua" w:hAnsi="Book Antiqua"/>
          <w:b/>
          <w:bCs/>
          <w:color w:val="FF0000"/>
          <w:sz w:val="16"/>
          <w:szCs w:val="16"/>
        </w:rPr>
        <w:t xml:space="preserve"> </w:t>
      </w:r>
      <w:r w:rsidR="00C53A46" w:rsidRPr="004E7DCF">
        <w:rPr>
          <w:rFonts w:ascii="Book Antiqua" w:eastAsia="Times New Roman" w:hAnsi="Book Antiqua" w:cs="Arial"/>
          <w:b/>
          <w:bCs/>
          <w:color w:val="FF0000"/>
          <w:sz w:val="16"/>
          <w:szCs w:val="16"/>
          <w:u w:val="single"/>
          <w:lang w:eastAsia="pt-BR"/>
        </w:rPr>
        <w:t>(Cartórios/TJMG-2012)</w:t>
      </w:r>
    </w:p>
    <w:p w14:paraId="6BFD6C5F" w14:textId="4F8BC1FD" w:rsidR="00082F7D" w:rsidRPr="00082F7D" w:rsidRDefault="00082F7D"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26. Havendo um só herdeiro com direito à totalidade da herança, não haverá partilha, lavrando-se a escritura de inventário e adjudicação dos bens, respeitadas as disposições do art. 12-A quando se tratar de herdeiro menor ou incapaz</w:t>
      </w:r>
      <w:r w:rsidRPr="00082F7D">
        <w:rPr>
          <w:rFonts w:ascii="Book Antiqua" w:hAnsi="Book Antiqua"/>
          <w:sz w:val="16"/>
          <w:szCs w:val="16"/>
        </w:rPr>
        <w:t>. </w:t>
      </w:r>
      <w:hyperlink r:id="rId44" w:tgtFrame="_blank" w:history="1">
        <w:r w:rsidRPr="00082F7D">
          <w:rPr>
            <w:rStyle w:val="Hyperlink"/>
            <w:rFonts w:ascii="Book Antiqua" w:hAnsi="Book Antiqua"/>
            <w:sz w:val="16"/>
            <w:szCs w:val="16"/>
          </w:rPr>
          <w:t>(redação dada pela Resolução n. 571, de 26.8.2024)</w:t>
        </w:r>
      </w:hyperlink>
    </w:p>
    <w:p w14:paraId="39B2EACC" w14:textId="2B5CABDD"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bCs/>
          <w:sz w:val="18"/>
          <w:szCs w:val="18"/>
        </w:rPr>
      </w:pPr>
      <w:r w:rsidRPr="00E82B9F">
        <w:rPr>
          <w:rFonts w:ascii="Book Antiqua" w:hAnsi="Book Antiqua"/>
          <w:b/>
          <w:bCs/>
          <w:sz w:val="19"/>
          <w:szCs w:val="19"/>
          <w:highlight w:val="magenta"/>
        </w:rPr>
        <w:t>Art. 27</w:t>
      </w:r>
      <w:r w:rsidRPr="009D55A3">
        <w:rPr>
          <w:rFonts w:ascii="Book Antiqua" w:hAnsi="Book Antiqua"/>
          <w:b/>
          <w:bCs/>
          <w:sz w:val="19"/>
          <w:szCs w:val="19"/>
        </w:rPr>
        <w:t xml:space="preserve">. A existência de credores do espólio </w:t>
      </w:r>
      <w:r w:rsidRPr="00D805C4">
        <w:rPr>
          <w:rFonts w:ascii="Book Antiqua" w:hAnsi="Book Antiqua"/>
          <w:b/>
          <w:bCs/>
          <w:caps/>
          <w:sz w:val="19"/>
          <w:szCs w:val="19"/>
          <w:highlight w:val="green"/>
        </w:rPr>
        <w:t>não impedirá</w:t>
      </w:r>
      <w:r w:rsidRPr="009D55A3">
        <w:rPr>
          <w:rFonts w:ascii="Book Antiqua" w:hAnsi="Book Antiqua"/>
          <w:b/>
          <w:bCs/>
          <w:sz w:val="19"/>
          <w:szCs w:val="19"/>
        </w:rPr>
        <w:t xml:space="preserve"> a realização do inventário e partilha, ou adjudicação, por escritura pública</w:t>
      </w:r>
      <w:r w:rsidRPr="004E7DCF">
        <w:rPr>
          <w:rFonts w:ascii="Book Antiqua" w:hAnsi="Book Antiqua"/>
          <w:b/>
          <w:bCs/>
          <w:sz w:val="18"/>
          <w:szCs w:val="18"/>
        </w:rPr>
        <w:t>.</w:t>
      </w:r>
      <w:r w:rsidR="00E82B9F" w:rsidRPr="004E7DCF">
        <w:rPr>
          <w:rFonts w:ascii="Book Antiqua" w:hAnsi="Book Antiqua"/>
          <w:b/>
          <w:bCs/>
          <w:sz w:val="18"/>
          <w:szCs w:val="18"/>
        </w:rPr>
        <w:t xml:space="preserve"> </w:t>
      </w:r>
      <w:r w:rsidR="00E82B9F" w:rsidRPr="004E7DCF">
        <w:rPr>
          <w:rFonts w:ascii="Book Antiqua" w:hAnsi="Book Antiqua"/>
          <w:b/>
          <w:bCs/>
          <w:color w:val="FF0000"/>
          <w:sz w:val="16"/>
          <w:szCs w:val="16"/>
          <w:u w:val="single"/>
        </w:rPr>
        <w:t>(Cartórios/TJSP-2011)</w:t>
      </w:r>
      <w:r w:rsidR="00DD5FAB" w:rsidRPr="004E7DCF">
        <w:rPr>
          <w:rFonts w:ascii="Book Antiqua" w:hAnsi="Book Antiqua"/>
          <w:b/>
          <w:bCs/>
          <w:color w:val="FF0000"/>
          <w:sz w:val="16"/>
          <w:szCs w:val="16"/>
        </w:rPr>
        <w:t xml:space="preserve"> </w:t>
      </w:r>
      <w:r w:rsidR="00DD5FAB" w:rsidRPr="004E7DCF">
        <w:rPr>
          <w:rFonts w:ascii="Book Antiqua" w:hAnsi="Book Antiqua" w:cs="Arial"/>
          <w:b/>
          <w:bCs/>
          <w:color w:val="FF0000"/>
          <w:sz w:val="16"/>
          <w:szCs w:val="16"/>
          <w:u w:val="single"/>
        </w:rPr>
        <w:t>(Cartórios/TJSE-2014)</w:t>
      </w:r>
      <w:r w:rsidR="00D805C4" w:rsidRPr="004E7DCF">
        <w:rPr>
          <w:rFonts w:ascii="Book Antiqua" w:hAnsi="Book Antiqua" w:cs="Arial"/>
          <w:b/>
          <w:bCs/>
          <w:color w:val="FF0000"/>
          <w:sz w:val="16"/>
          <w:szCs w:val="16"/>
        </w:rPr>
        <w:t xml:space="preserve"> </w:t>
      </w:r>
      <w:r w:rsidR="00D805C4" w:rsidRPr="004E7DCF">
        <w:rPr>
          <w:rFonts w:ascii="Book Antiqua" w:hAnsi="Book Antiqua" w:cs="Arial"/>
          <w:b/>
          <w:color w:val="FF0000"/>
          <w:sz w:val="16"/>
          <w:szCs w:val="16"/>
          <w:u w:val="single"/>
        </w:rPr>
        <w:t>(Cartórios/TJMS-2021)</w:t>
      </w:r>
    </w:p>
    <w:p w14:paraId="1FE65AFE" w14:textId="310CB345"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9D55A3">
        <w:rPr>
          <w:rFonts w:ascii="Book Antiqua" w:hAnsi="Book Antiqua"/>
          <w:b/>
          <w:bCs/>
          <w:sz w:val="19"/>
          <w:szCs w:val="19"/>
          <w:highlight w:val="magenta"/>
        </w:rPr>
        <w:t>Art. 28</w:t>
      </w:r>
      <w:r w:rsidRPr="009D55A3">
        <w:rPr>
          <w:rFonts w:ascii="Book Antiqua" w:hAnsi="Book Antiqua"/>
          <w:b/>
          <w:bCs/>
          <w:sz w:val="19"/>
          <w:szCs w:val="19"/>
        </w:rPr>
        <w:t xml:space="preserve">. </w:t>
      </w:r>
      <w:r w:rsidRPr="00C93CD3">
        <w:rPr>
          <w:rFonts w:ascii="Book Antiqua" w:hAnsi="Book Antiqua"/>
          <w:b/>
          <w:bCs/>
          <w:caps/>
          <w:sz w:val="19"/>
          <w:szCs w:val="19"/>
          <w:highlight w:val="green"/>
        </w:rPr>
        <w:t>É admissível</w:t>
      </w:r>
      <w:r w:rsidRPr="009D55A3">
        <w:rPr>
          <w:rFonts w:ascii="Book Antiqua" w:hAnsi="Book Antiqua"/>
          <w:b/>
          <w:bCs/>
          <w:sz w:val="19"/>
          <w:szCs w:val="19"/>
        </w:rPr>
        <w:t xml:space="preserve"> </w:t>
      </w:r>
      <w:r w:rsidRPr="00C93CD3">
        <w:rPr>
          <w:rFonts w:ascii="Book Antiqua" w:hAnsi="Book Antiqua"/>
          <w:b/>
          <w:bCs/>
          <w:caps/>
          <w:sz w:val="19"/>
          <w:szCs w:val="19"/>
          <w:shd w:val="clear" w:color="auto" w:fill="F7CAAC" w:themeFill="accent2" w:themeFillTint="66"/>
        </w:rPr>
        <w:t>inventário negativo</w:t>
      </w:r>
      <w:r w:rsidRPr="009D55A3">
        <w:rPr>
          <w:rFonts w:ascii="Book Antiqua" w:hAnsi="Book Antiqua"/>
          <w:b/>
          <w:bCs/>
          <w:sz w:val="19"/>
          <w:szCs w:val="19"/>
        </w:rPr>
        <w:t xml:space="preserve"> </w:t>
      </w:r>
      <w:r w:rsidRPr="00C93CD3">
        <w:rPr>
          <w:rFonts w:ascii="Book Antiqua" w:hAnsi="Book Antiqua"/>
          <w:b/>
          <w:bCs/>
          <w:sz w:val="19"/>
          <w:szCs w:val="19"/>
          <w:highlight w:val="yellow"/>
        </w:rPr>
        <w:t>por escritura pública</w:t>
      </w:r>
      <w:r w:rsidRPr="004E7DCF">
        <w:rPr>
          <w:rFonts w:ascii="Book Antiqua" w:hAnsi="Book Antiqua"/>
          <w:sz w:val="18"/>
          <w:szCs w:val="18"/>
        </w:rPr>
        <w:t>.</w:t>
      </w:r>
      <w:r w:rsidR="00FF2DAE" w:rsidRPr="004E7DCF">
        <w:rPr>
          <w:rFonts w:ascii="Book Antiqua" w:hAnsi="Book Antiqua"/>
          <w:sz w:val="18"/>
          <w:szCs w:val="18"/>
        </w:rPr>
        <w:t xml:space="preserve"> </w:t>
      </w:r>
      <w:r w:rsidR="00FF2DAE" w:rsidRPr="004E7DCF">
        <w:rPr>
          <w:rFonts w:ascii="Book Antiqua" w:hAnsi="Book Antiqua"/>
          <w:b/>
          <w:bCs/>
          <w:color w:val="FF0000"/>
          <w:sz w:val="16"/>
          <w:szCs w:val="16"/>
          <w:u w:val="single"/>
        </w:rPr>
        <w:t>(Cartórios/TJSP-2011)</w:t>
      </w:r>
      <w:r w:rsidR="000B48B8" w:rsidRPr="004E7DCF">
        <w:rPr>
          <w:rFonts w:ascii="Book Antiqua" w:hAnsi="Book Antiqua"/>
          <w:b/>
          <w:bCs/>
          <w:color w:val="FF0000"/>
          <w:sz w:val="16"/>
          <w:szCs w:val="16"/>
        </w:rPr>
        <w:t xml:space="preserve"> </w:t>
      </w:r>
      <w:r w:rsidR="000B48B8" w:rsidRPr="004E7DCF">
        <w:rPr>
          <w:rFonts w:ascii="Book Antiqua" w:hAnsi="Book Antiqua" w:cs="Times New Roman"/>
          <w:b/>
          <w:bCs/>
          <w:color w:val="FF0000"/>
          <w:sz w:val="16"/>
          <w:szCs w:val="16"/>
          <w:u w:val="single"/>
        </w:rPr>
        <w:t>(Cartórios/TJR</w:t>
      </w:r>
      <w:r w:rsidR="000B48B8" w:rsidRPr="004E7DCF">
        <w:rPr>
          <w:rFonts w:ascii="Book Antiqua" w:hAnsi="Book Antiqua"/>
          <w:b/>
          <w:bCs/>
          <w:color w:val="FF0000"/>
          <w:sz w:val="16"/>
          <w:szCs w:val="16"/>
          <w:u w:val="single"/>
        </w:rPr>
        <w:t>S</w:t>
      </w:r>
      <w:r w:rsidR="000B48B8" w:rsidRPr="004E7DCF">
        <w:rPr>
          <w:rFonts w:ascii="Book Antiqua" w:hAnsi="Book Antiqua" w:cs="Times New Roman"/>
          <w:b/>
          <w:bCs/>
          <w:color w:val="FF0000"/>
          <w:sz w:val="16"/>
          <w:szCs w:val="16"/>
          <w:u w:val="single"/>
        </w:rPr>
        <w:t>-2013)</w:t>
      </w:r>
      <w:r w:rsidR="005F10DF" w:rsidRPr="004E7DCF">
        <w:rPr>
          <w:rFonts w:ascii="Book Antiqua" w:hAnsi="Book Antiqua" w:cs="Times New Roman"/>
          <w:b/>
          <w:bCs/>
          <w:color w:val="FF0000"/>
          <w:sz w:val="16"/>
          <w:szCs w:val="16"/>
        </w:rPr>
        <w:t xml:space="preserve"> </w:t>
      </w:r>
      <w:r w:rsidR="005F10DF" w:rsidRPr="004E7DCF">
        <w:rPr>
          <w:rFonts w:ascii="Book Antiqua" w:eastAsia="Times New Roman" w:hAnsi="Book Antiqua" w:cs="Times New Roman"/>
          <w:b/>
          <w:bCs/>
          <w:color w:val="FF0000"/>
          <w:sz w:val="16"/>
          <w:szCs w:val="16"/>
          <w:u w:val="single"/>
          <w:lang w:eastAsia="pt-BR"/>
        </w:rPr>
        <w:t>(Cartórios/TJMG-2017)</w:t>
      </w:r>
      <w:r w:rsidR="00C93CD3" w:rsidRPr="004E7DCF">
        <w:rPr>
          <w:rFonts w:ascii="Book Antiqua" w:hAnsi="Book Antiqua"/>
          <w:b/>
          <w:bCs/>
          <w:color w:val="FF0000"/>
          <w:sz w:val="16"/>
          <w:szCs w:val="16"/>
        </w:rPr>
        <w:t xml:space="preserve"> </w:t>
      </w:r>
      <w:r w:rsidR="00C93CD3" w:rsidRPr="004E7DCF">
        <w:rPr>
          <w:rFonts w:ascii="Book Antiqua" w:hAnsi="Book Antiqua"/>
          <w:b/>
          <w:bCs/>
          <w:color w:val="FF0000"/>
          <w:sz w:val="16"/>
          <w:szCs w:val="16"/>
          <w:u w:val="single"/>
        </w:rPr>
        <w:t>(Cartórios/TJGO-2021)</w:t>
      </w:r>
    </w:p>
    <w:p w14:paraId="633D95AB" w14:textId="03CE3F7A"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0B48B8">
        <w:rPr>
          <w:rFonts w:ascii="Book Antiqua" w:hAnsi="Book Antiqua"/>
          <w:b/>
          <w:bCs/>
          <w:sz w:val="19"/>
          <w:szCs w:val="19"/>
          <w:highlight w:val="magenta"/>
        </w:rPr>
        <w:t>Art. 29</w:t>
      </w:r>
      <w:r w:rsidRPr="000B48B8">
        <w:rPr>
          <w:rFonts w:ascii="Book Antiqua" w:hAnsi="Book Antiqua"/>
          <w:b/>
          <w:bCs/>
          <w:sz w:val="19"/>
          <w:szCs w:val="19"/>
        </w:rPr>
        <w:t xml:space="preserve">. </w:t>
      </w:r>
      <w:r w:rsidRPr="00DD5FAB">
        <w:rPr>
          <w:rFonts w:ascii="Book Antiqua" w:hAnsi="Book Antiqua"/>
          <w:b/>
          <w:bCs/>
          <w:caps/>
          <w:sz w:val="19"/>
          <w:szCs w:val="19"/>
          <w:highlight w:val="green"/>
        </w:rPr>
        <w:t>É vedada</w:t>
      </w:r>
      <w:r w:rsidRPr="000B48B8">
        <w:rPr>
          <w:rFonts w:ascii="Book Antiqua" w:hAnsi="Book Antiqua"/>
          <w:b/>
          <w:bCs/>
          <w:sz w:val="19"/>
          <w:szCs w:val="19"/>
        </w:rPr>
        <w:t xml:space="preserve"> a lavratura de escritura pública de inventário e partilha referente a bens localizados no exterior</w:t>
      </w:r>
      <w:r w:rsidRPr="004E7DCF">
        <w:rPr>
          <w:rFonts w:ascii="Book Antiqua" w:hAnsi="Book Antiqua"/>
          <w:sz w:val="18"/>
          <w:szCs w:val="18"/>
        </w:rPr>
        <w:t>.</w:t>
      </w:r>
      <w:r w:rsidR="000B48B8" w:rsidRPr="004E7DCF">
        <w:rPr>
          <w:rFonts w:ascii="Book Antiqua" w:hAnsi="Book Antiqua"/>
          <w:sz w:val="18"/>
          <w:szCs w:val="18"/>
        </w:rPr>
        <w:t xml:space="preserve"> </w:t>
      </w:r>
      <w:r w:rsidR="000B48B8" w:rsidRPr="004E7DCF">
        <w:rPr>
          <w:rFonts w:ascii="Book Antiqua" w:hAnsi="Book Antiqua" w:cs="Times New Roman"/>
          <w:b/>
          <w:bCs/>
          <w:color w:val="FF0000"/>
          <w:sz w:val="16"/>
          <w:szCs w:val="16"/>
          <w:u w:val="single"/>
        </w:rPr>
        <w:t>(Cartórios/TJR</w:t>
      </w:r>
      <w:r w:rsidR="000B48B8" w:rsidRPr="004E7DCF">
        <w:rPr>
          <w:rFonts w:ascii="Book Antiqua" w:hAnsi="Book Antiqua"/>
          <w:b/>
          <w:bCs/>
          <w:color w:val="FF0000"/>
          <w:sz w:val="16"/>
          <w:szCs w:val="16"/>
          <w:u w:val="single"/>
        </w:rPr>
        <w:t>S</w:t>
      </w:r>
      <w:r w:rsidR="000B48B8" w:rsidRPr="004E7DCF">
        <w:rPr>
          <w:rFonts w:ascii="Book Antiqua" w:hAnsi="Book Antiqua" w:cs="Times New Roman"/>
          <w:b/>
          <w:bCs/>
          <w:color w:val="FF0000"/>
          <w:sz w:val="16"/>
          <w:szCs w:val="16"/>
          <w:u w:val="single"/>
        </w:rPr>
        <w:t>-2013)</w:t>
      </w:r>
      <w:r w:rsidR="00DD5FAB" w:rsidRPr="004E7DCF">
        <w:rPr>
          <w:rFonts w:ascii="Book Antiqua" w:hAnsi="Book Antiqua" w:cs="Times New Roman"/>
          <w:b/>
          <w:bCs/>
          <w:color w:val="FF0000"/>
          <w:sz w:val="16"/>
          <w:szCs w:val="16"/>
        </w:rPr>
        <w:t xml:space="preserve"> </w:t>
      </w:r>
      <w:r w:rsidR="00DD5FAB" w:rsidRPr="004E7DCF">
        <w:rPr>
          <w:rFonts w:ascii="Book Antiqua" w:hAnsi="Book Antiqua" w:cs="Arial"/>
          <w:b/>
          <w:bCs/>
          <w:color w:val="FF0000"/>
          <w:sz w:val="16"/>
          <w:szCs w:val="16"/>
          <w:u w:val="single"/>
        </w:rPr>
        <w:t>(Cartórios/TJSE-2014)</w:t>
      </w:r>
      <w:r w:rsidR="005F10DF" w:rsidRPr="004E7DCF">
        <w:rPr>
          <w:rFonts w:ascii="Book Antiqua" w:hAnsi="Book Antiqua" w:cs="Times New Roman"/>
          <w:b/>
          <w:bCs/>
          <w:color w:val="FF0000"/>
          <w:sz w:val="16"/>
          <w:szCs w:val="16"/>
        </w:rPr>
        <w:t xml:space="preserve"> </w:t>
      </w:r>
      <w:r w:rsidR="005F10DF" w:rsidRPr="004E7DCF">
        <w:rPr>
          <w:rFonts w:ascii="Book Antiqua" w:eastAsia="Times New Roman" w:hAnsi="Book Antiqua" w:cs="Times New Roman"/>
          <w:b/>
          <w:bCs/>
          <w:color w:val="FF0000"/>
          <w:sz w:val="16"/>
          <w:szCs w:val="16"/>
          <w:u w:val="single"/>
          <w:lang w:eastAsia="pt-BR"/>
        </w:rPr>
        <w:t>(Cartórios/TJMG-</w:t>
      </w:r>
      <w:r w:rsidR="00E941E7" w:rsidRPr="004E7DCF">
        <w:rPr>
          <w:rFonts w:ascii="Book Antiqua" w:eastAsia="Times New Roman" w:hAnsi="Book Antiqua" w:cs="Times New Roman"/>
          <w:b/>
          <w:bCs/>
          <w:color w:val="FF0000"/>
          <w:sz w:val="16"/>
          <w:szCs w:val="16"/>
          <w:u w:val="single"/>
          <w:lang w:eastAsia="pt-BR"/>
        </w:rPr>
        <w:t>2015/</w:t>
      </w:r>
      <w:r w:rsidR="005F10DF" w:rsidRPr="004E7DCF">
        <w:rPr>
          <w:rFonts w:ascii="Book Antiqua" w:eastAsia="Times New Roman" w:hAnsi="Book Antiqua" w:cs="Times New Roman"/>
          <w:b/>
          <w:bCs/>
          <w:color w:val="FF0000"/>
          <w:sz w:val="16"/>
          <w:szCs w:val="16"/>
          <w:u w:val="single"/>
          <w:lang w:eastAsia="pt-BR"/>
        </w:rPr>
        <w:t>2017)</w:t>
      </w:r>
      <w:r w:rsidR="0046394C" w:rsidRPr="004E7DCF">
        <w:rPr>
          <w:rFonts w:ascii="Book Antiqua" w:eastAsia="Times New Roman" w:hAnsi="Book Antiqua" w:cs="Times New Roman"/>
          <w:b/>
          <w:bCs/>
          <w:color w:val="FF0000"/>
          <w:sz w:val="16"/>
          <w:szCs w:val="16"/>
          <w:lang w:eastAsia="pt-BR"/>
        </w:rPr>
        <w:t xml:space="preserve"> </w:t>
      </w:r>
      <w:r w:rsidR="0046394C" w:rsidRPr="004E7DCF">
        <w:rPr>
          <w:rFonts w:ascii="Book Antiqua" w:eastAsia="Times New Roman" w:hAnsi="Book Antiqua" w:cs="Times New Roman"/>
          <w:b/>
          <w:bCs/>
          <w:color w:val="FF0000"/>
          <w:sz w:val="16"/>
          <w:szCs w:val="16"/>
          <w:u w:val="single"/>
          <w:lang w:eastAsia="pt-BR"/>
        </w:rPr>
        <w:t>(Cartórios/TJAL-2019)</w:t>
      </w:r>
      <w:r w:rsidR="00D805C4" w:rsidRPr="004E7DCF">
        <w:rPr>
          <w:rFonts w:ascii="Book Antiqua" w:eastAsia="Times New Roman" w:hAnsi="Book Antiqua" w:cs="Times New Roman"/>
          <w:b/>
          <w:bCs/>
          <w:color w:val="FF0000"/>
          <w:sz w:val="16"/>
          <w:szCs w:val="16"/>
          <w:lang w:eastAsia="pt-BR"/>
        </w:rPr>
        <w:t xml:space="preserve"> </w:t>
      </w:r>
      <w:r w:rsidR="00D805C4" w:rsidRPr="004E7DCF">
        <w:rPr>
          <w:rFonts w:ascii="Book Antiqua" w:hAnsi="Book Antiqua" w:cs="Arial"/>
          <w:b/>
          <w:color w:val="FF0000"/>
          <w:sz w:val="16"/>
          <w:szCs w:val="16"/>
          <w:u w:val="single"/>
        </w:rPr>
        <w:t>(Cartórios/TJMS-2021)</w:t>
      </w:r>
    </w:p>
    <w:p w14:paraId="4CA3A154" w14:textId="4A10AE30"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bCs/>
          <w:sz w:val="18"/>
          <w:szCs w:val="18"/>
        </w:rPr>
      </w:pPr>
      <w:r w:rsidRPr="00C45218">
        <w:rPr>
          <w:rFonts w:ascii="Book Antiqua" w:hAnsi="Book Antiqua"/>
          <w:b/>
          <w:bCs/>
          <w:sz w:val="19"/>
          <w:szCs w:val="19"/>
          <w:highlight w:val="magenta"/>
        </w:rPr>
        <w:t>Art. 30</w:t>
      </w:r>
      <w:r w:rsidRPr="003F4CD0">
        <w:rPr>
          <w:rFonts w:ascii="Book Antiqua" w:hAnsi="Book Antiqua"/>
          <w:sz w:val="19"/>
          <w:szCs w:val="19"/>
        </w:rPr>
        <w:t xml:space="preserve">. </w:t>
      </w:r>
      <w:r w:rsidRPr="009D55A3">
        <w:rPr>
          <w:rFonts w:ascii="Book Antiqua" w:hAnsi="Book Antiqua"/>
          <w:b/>
          <w:bCs/>
          <w:sz w:val="19"/>
          <w:szCs w:val="19"/>
        </w:rPr>
        <w:t>Aplica-se a Lei n.º 11.441/07 aos casos de óbitos ocorridos antes de sua vigência</w:t>
      </w:r>
      <w:r w:rsidRPr="004E7DCF">
        <w:rPr>
          <w:rFonts w:ascii="Book Antiqua" w:hAnsi="Book Antiqua"/>
          <w:b/>
          <w:bCs/>
          <w:sz w:val="18"/>
          <w:szCs w:val="18"/>
        </w:rPr>
        <w:t>.</w:t>
      </w:r>
      <w:r w:rsidR="00C45218" w:rsidRPr="004E7DCF">
        <w:rPr>
          <w:rFonts w:ascii="Book Antiqua" w:hAnsi="Book Antiqua"/>
          <w:b/>
          <w:bCs/>
          <w:sz w:val="18"/>
          <w:szCs w:val="18"/>
        </w:rPr>
        <w:t xml:space="preserve"> </w:t>
      </w:r>
      <w:r w:rsidR="00C45218" w:rsidRPr="004E7DCF">
        <w:rPr>
          <w:rFonts w:ascii="Book Antiqua" w:eastAsia="Times New Roman" w:hAnsi="Book Antiqua" w:cs="Times New Roman"/>
          <w:b/>
          <w:bCs/>
          <w:color w:val="FF0000"/>
          <w:sz w:val="16"/>
          <w:szCs w:val="16"/>
          <w:u w:val="single"/>
          <w:lang w:eastAsia="pt-BR"/>
        </w:rPr>
        <w:t>(Cartórios/TJMS-2014)</w:t>
      </w:r>
    </w:p>
    <w:p w14:paraId="3C70F60C" w14:textId="07C4807C"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9D55A3">
        <w:rPr>
          <w:rFonts w:ascii="Book Antiqua" w:hAnsi="Book Antiqua"/>
          <w:b/>
          <w:bCs/>
          <w:sz w:val="19"/>
          <w:szCs w:val="19"/>
          <w:highlight w:val="magenta"/>
        </w:rPr>
        <w:t>Art. 31</w:t>
      </w:r>
      <w:r w:rsidRPr="009D55A3">
        <w:rPr>
          <w:rFonts w:ascii="Book Antiqua" w:hAnsi="Book Antiqua"/>
          <w:b/>
          <w:bCs/>
          <w:sz w:val="19"/>
          <w:szCs w:val="19"/>
        </w:rPr>
        <w:t>. A escritura pública de inventário e partilha pode ser lavrada a qualquer tempo, cabendo ao tabelião fiscalizar o recolhimento de eventual multa, conforme previsão em legislação tributária estadual e distrital específicas</w:t>
      </w:r>
      <w:r w:rsidRPr="004E7DCF">
        <w:rPr>
          <w:rFonts w:ascii="Book Antiqua" w:hAnsi="Book Antiqua"/>
          <w:sz w:val="18"/>
          <w:szCs w:val="18"/>
        </w:rPr>
        <w:t>.</w:t>
      </w:r>
      <w:r w:rsidR="002C1F92" w:rsidRPr="004E7DCF">
        <w:rPr>
          <w:rFonts w:ascii="Book Antiqua" w:hAnsi="Book Antiqua"/>
          <w:sz w:val="18"/>
          <w:szCs w:val="18"/>
        </w:rPr>
        <w:t xml:space="preserve"> </w:t>
      </w:r>
      <w:r w:rsidR="002C1F92" w:rsidRPr="004E7DCF">
        <w:rPr>
          <w:rFonts w:ascii="Book Antiqua" w:eastAsia="Times New Roman" w:hAnsi="Book Antiqua" w:cs="Times New Roman"/>
          <w:b/>
          <w:color w:val="FF0000"/>
          <w:sz w:val="16"/>
          <w:szCs w:val="16"/>
          <w:u w:val="single"/>
          <w:lang w:eastAsia="pt-BR"/>
        </w:rPr>
        <w:t>(Cartórios/TJRO-2012)</w:t>
      </w:r>
      <w:r w:rsidR="00E36275" w:rsidRPr="004E7DCF">
        <w:rPr>
          <w:rFonts w:ascii="Book Antiqua" w:eastAsia="Times New Roman" w:hAnsi="Book Antiqua" w:cs="Times New Roman"/>
          <w:b/>
          <w:color w:val="FF0000"/>
          <w:sz w:val="16"/>
          <w:szCs w:val="16"/>
          <w:lang w:eastAsia="pt-BR"/>
        </w:rPr>
        <w:t xml:space="preserve"> </w:t>
      </w:r>
      <w:r w:rsidR="00E36275" w:rsidRPr="004E7DCF">
        <w:rPr>
          <w:rFonts w:ascii="Book Antiqua" w:eastAsia="Times New Roman" w:hAnsi="Book Antiqua" w:cs="Times New Roman"/>
          <w:b/>
          <w:color w:val="FF0000"/>
          <w:sz w:val="16"/>
          <w:szCs w:val="16"/>
          <w:u w:val="single"/>
          <w:lang w:eastAsia="pt-BR"/>
        </w:rPr>
        <w:t>(Cartórios/TJSP-2012)</w:t>
      </w:r>
    </w:p>
    <w:p w14:paraId="2932DDA7"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lastRenderedPageBreak/>
        <w:t>Art. 32. É de responsabilidade do inventariante declarar o valor dos bens do espólio para que constem da escritura pública de inventário e partilha regidos por esta Resolução</w:t>
      </w:r>
      <w:r w:rsidRPr="00082F7D">
        <w:rPr>
          <w:rFonts w:ascii="Book Antiqua" w:hAnsi="Book Antiqua"/>
          <w:sz w:val="16"/>
          <w:szCs w:val="16"/>
        </w:rPr>
        <w:t>. </w:t>
      </w:r>
      <w:hyperlink r:id="rId45" w:tgtFrame="_blank" w:history="1">
        <w:r w:rsidRPr="00082F7D">
          <w:rPr>
            <w:rStyle w:val="Hyperlink"/>
            <w:rFonts w:ascii="Book Antiqua" w:hAnsi="Book Antiqua"/>
            <w:sz w:val="16"/>
            <w:szCs w:val="16"/>
          </w:rPr>
          <w:t>(redação dada pela Resolução n. 571, de 26.8.2024)</w:t>
        </w:r>
      </w:hyperlink>
    </w:p>
    <w:p w14:paraId="1F6E06F8"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§1º Em caso de discordância manifestada pela Fazenda Pública, o tabelião tem legitimidade para efetuar a cobrança do valor adicional devida pelos serviços prestados. </w:t>
      </w:r>
      <w:hyperlink r:id="rId46" w:tgtFrame="_blank" w:history="1">
        <w:r w:rsidRPr="00082F7D">
          <w:rPr>
            <w:rStyle w:val="Hyperlink"/>
            <w:rFonts w:ascii="Book Antiqua" w:hAnsi="Book Antiqua"/>
            <w:sz w:val="16"/>
            <w:szCs w:val="16"/>
          </w:rPr>
          <w:t>(incluído pela Resolução n. 571, de 26.8.2024)</w:t>
        </w:r>
      </w:hyperlink>
    </w:p>
    <w:p w14:paraId="5B0E0D84"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§2º O tabelião poderá se negar a lavrar a escritura de inventário ou partilha se houver fundados indícios de fraude, simulação ou em caso de dúvidas sobre a declaração de vontade de algum dos herdeiros e/ou inventariante, fundamentando a recusa por escrito</w:t>
      </w:r>
      <w:r w:rsidRPr="00082F7D">
        <w:rPr>
          <w:rFonts w:ascii="Book Antiqua" w:hAnsi="Book Antiqua"/>
          <w:sz w:val="16"/>
          <w:szCs w:val="16"/>
        </w:rPr>
        <w:t>. </w:t>
      </w:r>
      <w:hyperlink r:id="rId47" w:tgtFrame="_blank" w:history="1">
        <w:r w:rsidRPr="00082F7D">
          <w:rPr>
            <w:rStyle w:val="Hyperlink"/>
            <w:rFonts w:ascii="Book Antiqua" w:hAnsi="Book Antiqua"/>
            <w:sz w:val="16"/>
            <w:szCs w:val="16"/>
          </w:rPr>
          <w:t>(incluído pela Resolução n. 571, de 26.8.2024)</w:t>
        </w:r>
      </w:hyperlink>
    </w:p>
    <w:p w14:paraId="532D3C78"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9"/>
          <w:szCs w:val="19"/>
        </w:rPr>
      </w:pPr>
      <w:r w:rsidRPr="00082F7D">
        <w:rPr>
          <w:rFonts w:ascii="Book Antiqua" w:hAnsi="Book Antiqua"/>
          <w:sz w:val="19"/>
          <w:szCs w:val="19"/>
        </w:rPr>
        <w:t>Seção III</w:t>
      </w:r>
    </w:p>
    <w:p w14:paraId="04486843"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9"/>
          <w:szCs w:val="19"/>
        </w:rPr>
      </w:pPr>
      <w:r w:rsidRPr="00082F7D">
        <w:rPr>
          <w:rFonts w:ascii="Book Antiqua" w:hAnsi="Book Antiqua"/>
          <w:sz w:val="19"/>
          <w:szCs w:val="19"/>
        </w:rPr>
        <w:t>DISPOSIÇÕES REFERENTES AO DIVÓRCIO CONSENSUAL</w:t>
      </w:r>
    </w:p>
    <w:p w14:paraId="3CFBCAA4"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9"/>
          <w:szCs w:val="19"/>
        </w:rPr>
      </w:pPr>
      <w:r w:rsidRPr="00082F7D">
        <w:rPr>
          <w:rFonts w:ascii="Book Antiqua" w:hAnsi="Book Antiqua"/>
          <w:sz w:val="19"/>
          <w:szCs w:val="19"/>
        </w:rPr>
        <w:t>(redação dada pela Resolução n. 571, de 26.8.2024)</w:t>
      </w:r>
    </w:p>
    <w:p w14:paraId="31F589F4"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33. Para a lavratura da escritura pública de divórcio consensual, deverão ser apresentados: a) certidão de casamento; b) documento de identidade oficial e CPF/MF; c) pacto antenupcial, se houver; d) certidão de nascimento ou outro documento de identidade oficial dos filhos, se houver; e) certidão de propriedade de bens imóveis e direitos a eles relativos; e f) documentos necessários à comprovação da titularidade dos bens móveis e direitos, se houver. </w:t>
      </w:r>
      <w:hyperlink r:id="rId48" w:tgtFrame="_blank" w:history="1">
        <w:r w:rsidRPr="00082F7D">
          <w:rPr>
            <w:rStyle w:val="Hyperlink"/>
            <w:rFonts w:ascii="Book Antiqua" w:hAnsi="Book Antiqua"/>
            <w:sz w:val="16"/>
            <w:szCs w:val="16"/>
          </w:rPr>
          <w:t>(redação dada pela Resolução n. 571, de 26.8.2024)</w:t>
        </w:r>
      </w:hyperlink>
    </w:p>
    <w:p w14:paraId="33BA3181"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34. As partes devem declarar ao tabelião, no ato da lavratura da escritura, que não têm filhos comuns ou, havendo, indicar seus nomes, as datas de nascimento e se existem incapazes</w:t>
      </w:r>
      <w:r w:rsidRPr="00082F7D">
        <w:rPr>
          <w:rFonts w:ascii="Book Antiqua" w:hAnsi="Book Antiqua"/>
          <w:sz w:val="16"/>
          <w:szCs w:val="16"/>
        </w:rPr>
        <w:t>. </w:t>
      </w:r>
      <w:hyperlink r:id="rId49" w:tgtFrame="_blank" w:history="1">
        <w:r w:rsidRPr="00082F7D">
          <w:rPr>
            <w:rStyle w:val="Hyperlink"/>
            <w:rFonts w:ascii="Book Antiqua" w:hAnsi="Book Antiqua"/>
            <w:sz w:val="16"/>
            <w:szCs w:val="16"/>
          </w:rPr>
          <w:t>(redação dada pela Resolução n. 571, de 26.8.2024)</w:t>
        </w:r>
      </w:hyperlink>
    </w:p>
    <w:p w14:paraId="0909EFDE"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 1º As partes devem, ainda, declarar ao tabelião, na mesma ocasião, que o cônjuge virago não se encontra em estado gravídico, ou ao menos, que não tenha conhecimento sobre esta condição</w:t>
      </w:r>
      <w:r w:rsidRPr="00082F7D">
        <w:rPr>
          <w:rFonts w:ascii="Book Antiqua" w:hAnsi="Book Antiqua"/>
          <w:sz w:val="16"/>
          <w:szCs w:val="16"/>
        </w:rPr>
        <w:t>. </w:t>
      </w:r>
      <w:hyperlink r:id="rId50" w:tgtFrame="_blank" w:history="1">
        <w:r w:rsidRPr="00082F7D">
          <w:rPr>
            <w:rStyle w:val="Hyperlink"/>
            <w:rFonts w:ascii="Book Antiqua" w:hAnsi="Book Antiqua"/>
            <w:sz w:val="16"/>
            <w:szCs w:val="16"/>
          </w:rPr>
          <w:t>(redação dada pela Resolução n. 571, de 26.8.2024)</w:t>
        </w:r>
      </w:hyperlink>
    </w:p>
    <w:p w14:paraId="5D43CE7F"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 2º Havendo filhos comuns do casal menores ou incapazes, será permitida a lavratura da escritura pública de divórcio, desde que devidamente comprovada a prévia resolução judicial de todas as questões referentes à guarda, visitação e alimentos deles, o que deverá ficar consignado no corpo da escritura</w:t>
      </w:r>
      <w:r w:rsidRPr="00082F7D">
        <w:rPr>
          <w:rFonts w:ascii="Book Antiqua" w:hAnsi="Book Antiqua"/>
          <w:sz w:val="16"/>
          <w:szCs w:val="16"/>
        </w:rPr>
        <w:t>. </w:t>
      </w:r>
      <w:hyperlink r:id="rId51" w:tgtFrame="_blank" w:history="1">
        <w:r w:rsidRPr="00082F7D">
          <w:rPr>
            <w:rStyle w:val="Hyperlink"/>
            <w:rFonts w:ascii="Book Antiqua" w:hAnsi="Book Antiqua"/>
            <w:sz w:val="16"/>
            <w:szCs w:val="16"/>
          </w:rPr>
          <w:t>(redação dada pela Resolução n. 571, de 26.8.2024)</w:t>
        </w:r>
      </w:hyperlink>
    </w:p>
    <w:p w14:paraId="0D55B67B"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 3º Na dúvida quanto às questões de interesse do menor ou do incapaz, o tabelião submeterá a questão à apreciação do juiz prolator da decisão</w:t>
      </w:r>
      <w:r w:rsidRPr="00082F7D">
        <w:rPr>
          <w:rFonts w:ascii="Book Antiqua" w:hAnsi="Book Antiqua"/>
          <w:sz w:val="16"/>
          <w:szCs w:val="16"/>
        </w:rPr>
        <w:t>. </w:t>
      </w:r>
      <w:hyperlink r:id="rId52" w:tgtFrame="_blank" w:history="1">
        <w:r w:rsidRPr="00082F7D">
          <w:rPr>
            <w:rStyle w:val="Hyperlink"/>
            <w:rFonts w:ascii="Book Antiqua" w:hAnsi="Book Antiqua"/>
            <w:sz w:val="16"/>
            <w:szCs w:val="16"/>
          </w:rPr>
          <w:t>(redação dada pela Resolução n. 571, de 26.8.2024)</w:t>
        </w:r>
      </w:hyperlink>
    </w:p>
    <w:p w14:paraId="2C464615"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35. Da escritura, deve constar declaração das partes de que estão cientes das consequências do divórcio, firmes no propósito de pôr fim à sociedade conjugal ou ao vínculo matrimonial, respectivamente, sem hesitação, com recusa de reconciliação e concordância com a regulamentação da guarda, da convivência familiar e dos alimentos dos filhos menores e/ou incapazes realizada em juízo</w:t>
      </w:r>
      <w:r w:rsidRPr="00082F7D">
        <w:rPr>
          <w:rFonts w:ascii="Book Antiqua" w:hAnsi="Book Antiqua"/>
          <w:sz w:val="16"/>
          <w:szCs w:val="16"/>
        </w:rPr>
        <w:t>. </w:t>
      </w:r>
      <w:hyperlink r:id="rId53" w:tgtFrame="_blank" w:history="1">
        <w:r w:rsidRPr="00082F7D">
          <w:rPr>
            <w:rStyle w:val="Hyperlink"/>
            <w:rFonts w:ascii="Book Antiqua" w:hAnsi="Book Antiqua"/>
            <w:sz w:val="16"/>
            <w:szCs w:val="16"/>
          </w:rPr>
          <w:t>(redação dada pela Resolução n. 571, de 26.8.2024)</w:t>
        </w:r>
      </w:hyperlink>
    </w:p>
    <w:p w14:paraId="1EFB4C5A"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36. O comparecimento pessoal das partes é dispensável à lavratura de escritura pública de divórcio consensual, sendo admissível ao(s) divorciando(s) se fazer representar por mandatário constituído, desde que por instrumento público com poderes especiais, descrição das cláusulas essenciais e prazo de validade de trinta dias</w:t>
      </w:r>
      <w:r w:rsidRPr="00082F7D">
        <w:rPr>
          <w:rFonts w:ascii="Book Antiqua" w:hAnsi="Book Antiqua"/>
          <w:sz w:val="16"/>
          <w:szCs w:val="16"/>
        </w:rPr>
        <w:t>. </w:t>
      </w:r>
      <w:hyperlink r:id="rId54" w:tgtFrame="_blank" w:history="1">
        <w:r w:rsidRPr="00082F7D">
          <w:rPr>
            <w:rStyle w:val="Hyperlink"/>
            <w:rFonts w:ascii="Book Antiqua" w:hAnsi="Book Antiqua"/>
            <w:sz w:val="16"/>
            <w:szCs w:val="16"/>
          </w:rPr>
          <w:t>(redação dada pela Resolução n. 571, de 26.8.2024)</w:t>
        </w:r>
      </w:hyperlink>
    </w:p>
    <w:p w14:paraId="663B3317" w14:textId="77777777"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37. Havendo bens a serem partilhados na escritura, distinguir-se-á o que é do patrimônio individual de cada cônjuge, se houver, do que é do patrimônio comum do casal, conforme o regime de bens, constando isso do corpo da escritura.</w:t>
      </w:r>
    </w:p>
    <w:p w14:paraId="0823F4D7" w14:textId="1327DB40"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color w:val="FF0000"/>
          <w:sz w:val="16"/>
          <w:szCs w:val="16"/>
        </w:rPr>
      </w:pPr>
      <w:r w:rsidRPr="00FE3F94">
        <w:rPr>
          <w:rFonts w:ascii="Book Antiqua" w:hAnsi="Book Antiqua"/>
          <w:b/>
          <w:bCs/>
          <w:sz w:val="19"/>
          <w:szCs w:val="19"/>
          <w:highlight w:val="magenta"/>
        </w:rPr>
        <w:t>Art. 38</w:t>
      </w:r>
      <w:r w:rsidRPr="003F4CD0">
        <w:rPr>
          <w:rFonts w:ascii="Book Antiqua" w:hAnsi="Book Antiqua"/>
          <w:sz w:val="19"/>
          <w:szCs w:val="19"/>
        </w:rPr>
        <w:t xml:space="preserve">. </w:t>
      </w:r>
      <w:r w:rsidRPr="00FE3F94">
        <w:rPr>
          <w:rFonts w:ascii="Book Antiqua" w:hAnsi="Book Antiqua"/>
          <w:b/>
          <w:bCs/>
          <w:sz w:val="19"/>
          <w:szCs w:val="19"/>
        </w:rPr>
        <w:t xml:space="preserve">Na partilha em que houver transmissão de propriedade do patrimônio individual de um cônjuge ao outro, ou a </w:t>
      </w:r>
      <w:r w:rsidRPr="00FE3F94">
        <w:rPr>
          <w:rFonts w:ascii="Book Antiqua" w:hAnsi="Book Antiqua"/>
          <w:b/>
          <w:bCs/>
          <w:sz w:val="19"/>
          <w:szCs w:val="19"/>
          <w:highlight w:val="yellow"/>
        </w:rPr>
        <w:t>partilha desigual</w:t>
      </w:r>
      <w:r w:rsidRPr="00FE3F94">
        <w:rPr>
          <w:rFonts w:ascii="Book Antiqua" w:hAnsi="Book Antiqua"/>
          <w:b/>
          <w:bCs/>
          <w:sz w:val="19"/>
          <w:szCs w:val="19"/>
        </w:rPr>
        <w:t xml:space="preserve"> </w:t>
      </w:r>
      <w:r w:rsidRPr="00FE3F94">
        <w:rPr>
          <w:rFonts w:ascii="Book Antiqua" w:hAnsi="Book Antiqua"/>
          <w:b/>
          <w:bCs/>
          <w:sz w:val="19"/>
          <w:szCs w:val="19"/>
          <w:highlight w:val="cyan"/>
        </w:rPr>
        <w:t>do patrimônio comum</w:t>
      </w:r>
      <w:r w:rsidRPr="00FE3F94">
        <w:rPr>
          <w:rFonts w:ascii="Book Antiqua" w:hAnsi="Book Antiqua"/>
          <w:b/>
          <w:bCs/>
          <w:sz w:val="19"/>
          <w:szCs w:val="19"/>
        </w:rPr>
        <w:t xml:space="preserve">, </w:t>
      </w:r>
      <w:r w:rsidRPr="00245DAB">
        <w:rPr>
          <w:rFonts w:ascii="Book Antiqua" w:hAnsi="Book Antiqua"/>
          <w:b/>
          <w:bCs/>
          <w:caps/>
          <w:sz w:val="19"/>
          <w:szCs w:val="19"/>
          <w:highlight w:val="green"/>
        </w:rPr>
        <w:t>deverá ser comprovado</w:t>
      </w:r>
      <w:r w:rsidRPr="00FE3F94">
        <w:rPr>
          <w:rFonts w:ascii="Book Antiqua" w:hAnsi="Book Antiqua"/>
          <w:b/>
          <w:bCs/>
          <w:sz w:val="19"/>
          <w:szCs w:val="19"/>
        </w:rPr>
        <w:t xml:space="preserve"> </w:t>
      </w:r>
      <w:r w:rsidRPr="00FE3F94">
        <w:rPr>
          <w:rFonts w:ascii="Book Antiqua" w:hAnsi="Book Antiqua"/>
          <w:b/>
          <w:bCs/>
          <w:sz w:val="19"/>
          <w:szCs w:val="19"/>
        </w:rPr>
        <w:lastRenderedPageBreak/>
        <w:t>o recolhimento do tributo devido sobre a fração transferida</w:t>
      </w:r>
      <w:r w:rsidRPr="004E7DCF">
        <w:rPr>
          <w:rFonts w:ascii="Book Antiqua" w:hAnsi="Book Antiqua"/>
          <w:sz w:val="18"/>
          <w:szCs w:val="18"/>
        </w:rPr>
        <w:t>.</w:t>
      </w:r>
      <w:r w:rsidR="00245DAB" w:rsidRPr="004E7DCF">
        <w:rPr>
          <w:rFonts w:ascii="Book Antiqua" w:hAnsi="Book Antiqua"/>
          <w:sz w:val="18"/>
          <w:szCs w:val="18"/>
        </w:rPr>
        <w:t xml:space="preserve"> </w:t>
      </w:r>
      <w:bookmarkStart w:id="2" w:name="_Hlk132457385"/>
      <w:r w:rsidR="00245DAB" w:rsidRPr="004E7DCF">
        <w:rPr>
          <w:rFonts w:ascii="Book Antiqua" w:hAnsi="Book Antiqua"/>
          <w:b/>
          <w:bCs/>
          <w:color w:val="FF0000"/>
          <w:sz w:val="16"/>
          <w:szCs w:val="16"/>
          <w:u w:val="single"/>
        </w:rPr>
        <w:t>(Cartórios/TJPI-2013)</w:t>
      </w:r>
      <w:bookmarkEnd w:id="2"/>
      <w:r w:rsidR="00CE53AC" w:rsidRPr="004E7DCF">
        <w:rPr>
          <w:rFonts w:ascii="Book Antiqua" w:hAnsi="Book Antiqua"/>
          <w:b/>
          <w:bCs/>
          <w:color w:val="FF0000"/>
          <w:sz w:val="16"/>
          <w:szCs w:val="16"/>
        </w:rPr>
        <w:t xml:space="preserve"> </w:t>
      </w:r>
      <w:r w:rsidR="00CE53AC" w:rsidRPr="004E7DCF">
        <w:rPr>
          <w:rFonts w:ascii="Book Antiqua" w:hAnsi="Book Antiqua"/>
          <w:b/>
          <w:bCs/>
          <w:color w:val="FF0000"/>
          <w:sz w:val="16"/>
          <w:szCs w:val="16"/>
          <w:u w:val="single"/>
        </w:rPr>
        <w:t>(Cartórios/TJSP-2014)</w:t>
      </w:r>
      <w:r w:rsidR="00E1445E" w:rsidRPr="004E7DCF">
        <w:rPr>
          <w:rFonts w:ascii="Book Antiqua" w:hAnsi="Book Antiqua"/>
          <w:b/>
          <w:bCs/>
          <w:color w:val="FF0000"/>
          <w:sz w:val="16"/>
          <w:szCs w:val="16"/>
        </w:rPr>
        <w:t xml:space="preserve"> </w:t>
      </w:r>
      <w:r w:rsidR="00E1445E" w:rsidRPr="004E7DCF">
        <w:rPr>
          <w:rFonts w:ascii="Book Antiqua" w:hAnsi="Book Antiqua"/>
          <w:b/>
          <w:bCs/>
          <w:color w:val="FF0000"/>
          <w:sz w:val="16"/>
          <w:szCs w:val="16"/>
          <w:u w:val="single"/>
        </w:rPr>
        <w:t>(Cartórios/TJMG-2015)</w:t>
      </w:r>
      <w:r w:rsidR="00FE3F94" w:rsidRPr="004E7DCF">
        <w:rPr>
          <w:rFonts w:ascii="Book Antiqua" w:hAnsi="Book Antiqua"/>
          <w:sz w:val="18"/>
          <w:szCs w:val="18"/>
        </w:rPr>
        <w:t xml:space="preserve"> </w:t>
      </w:r>
      <w:r w:rsidR="00FE3F94" w:rsidRPr="004E7DCF">
        <w:rPr>
          <w:rFonts w:ascii="Book Antiqua" w:hAnsi="Book Antiqua"/>
          <w:b/>
          <w:color w:val="FF0000"/>
          <w:sz w:val="16"/>
          <w:szCs w:val="16"/>
          <w:u w:val="single"/>
        </w:rPr>
        <w:t>(TJSP-2021)</w:t>
      </w:r>
    </w:p>
    <w:tbl>
      <w:tblPr>
        <w:tblStyle w:val="Tabelacomgrade"/>
        <w:tblW w:w="0" w:type="auto"/>
        <w:tblLook w:val="04A0" w:firstRow="1" w:lastRow="0" w:firstColumn="1" w:lastColumn="0" w:noHBand="0" w:noVBand="1"/>
      </w:tblPr>
      <w:tblGrid>
        <w:gridCol w:w="8494"/>
      </w:tblGrid>
      <w:tr w:rsidR="00245DAB" w14:paraId="7714F2E6" w14:textId="77777777" w:rsidTr="007E51B5">
        <w:tc>
          <w:tcPr>
            <w:tcW w:w="8494" w:type="dxa"/>
            <w:shd w:val="clear" w:color="auto" w:fill="CCFFFF"/>
          </w:tcPr>
          <w:p w14:paraId="4E539200" w14:textId="39496CCB" w:rsidR="00245DAB" w:rsidRPr="003F4CD0" w:rsidRDefault="00245DAB" w:rsidP="00245DAB">
            <w:pPr>
              <w:tabs>
                <w:tab w:val="center" w:pos="4252"/>
              </w:tabs>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Cartórios/TJPI-2013-CESPE</w:t>
            </w:r>
            <w:r>
              <w:rPr>
                <w:rFonts w:ascii="Book Antiqua" w:hAnsi="Book Antiqua"/>
                <w:b/>
                <w:bCs/>
                <w:sz w:val="19"/>
                <w:szCs w:val="19"/>
              </w:rPr>
              <w:t>)</w:t>
            </w:r>
            <w:r>
              <w:rPr>
                <w:rFonts w:ascii="Book Antiqua" w:hAnsi="Book Antiqua"/>
                <w:sz w:val="19"/>
                <w:szCs w:val="19"/>
              </w:rPr>
              <w:t xml:space="preserve">: </w:t>
            </w:r>
            <w:r w:rsidRPr="00245DAB">
              <w:rPr>
                <w:rFonts w:ascii="Book Antiqua" w:hAnsi="Book Antiqua"/>
                <w:sz w:val="19"/>
                <w:szCs w:val="19"/>
              </w:rPr>
              <w:t>Acerca do divórcio consensual no tabelionato de notas, assinale a opção correta</w:t>
            </w:r>
            <w:r>
              <w:rPr>
                <w:rFonts w:ascii="Book Antiqua" w:hAnsi="Book Antiqua"/>
                <w:sz w:val="19"/>
                <w:szCs w:val="19"/>
              </w:rPr>
              <w:t xml:space="preserve">: </w:t>
            </w:r>
            <w:r w:rsidRPr="00245DAB">
              <w:rPr>
                <w:rFonts w:ascii="Book Antiqua" w:hAnsi="Book Antiqua"/>
                <w:sz w:val="19"/>
                <w:szCs w:val="19"/>
              </w:rPr>
              <w:t>Quando, na partilha, houver transmissão de propriedade do patrimônio individual de um cônjuge ao outro, deverá ser comprovado o recolhimento do tributo devido sobre a fração transferida.</w:t>
            </w:r>
            <w:r>
              <w:rPr>
                <w:rFonts w:ascii="Book Antiqua" w:hAnsi="Book Antiqua"/>
                <w:sz w:val="19"/>
                <w:szCs w:val="19"/>
              </w:rPr>
              <w:t xml:space="preserve"> </w:t>
            </w:r>
            <w:r>
              <w:rPr>
                <w:rFonts w:ascii="Book Antiqua" w:hAnsi="Book Antiqua"/>
                <w:b/>
                <w:bCs/>
                <w:sz w:val="19"/>
                <w:szCs w:val="19"/>
              </w:rPr>
              <w:t>BL: art. 38, Res. 35/07.</w:t>
            </w:r>
          </w:p>
        </w:tc>
      </w:tr>
    </w:tbl>
    <w:p w14:paraId="231A9C40"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39. A partilha em escritura pública de divórcio consensual far-se-á conforme as regras da partilha em inventário extrajudicial, no que couber</w:t>
      </w:r>
      <w:r w:rsidRPr="00082F7D">
        <w:rPr>
          <w:rFonts w:ascii="Book Antiqua" w:hAnsi="Book Antiqua"/>
          <w:sz w:val="16"/>
          <w:szCs w:val="16"/>
        </w:rPr>
        <w:t>. </w:t>
      </w:r>
      <w:hyperlink r:id="rId55" w:tgtFrame="_blank" w:history="1">
        <w:r w:rsidRPr="00082F7D">
          <w:rPr>
            <w:rStyle w:val="Hyperlink"/>
            <w:rFonts w:ascii="Book Antiqua" w:hAnsi="Book Antiqua"/>
            <w:sz w:val="16"/>
            <w:szCs w:val="16"/>
          </w:rPr>
          <w:t>(redação dada pela Resolução n. 571, de 26.8.2024)</w:t>
        </w:r>
      </w:hyperlink>
    </w:p>
    <w:p w14:paraId="4EE9099B"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40. O traslado da escritura pública de divórcio consensual será apresentado ao Oficial de Registro Civil do respectivo assento de casamento, para a averbação necessária, independente de autorização judicial e de audiência do Ministério Público</w:t>
      </w:r>
      <w:r w:rsidRPr="00082F7D">
        <w:rPr>
          <w:rFonts w:ascii="Book Antiqua" w:hAnsi="Book Antiqua"/>
          <w:sz w:val="16"/>
          <w:szCs w:val="16"/>
        </w:rPr>
        <w:t>. </w:t>
      </w:r>
      <w:hyperlink r:id="rId56" w:tgtFrame="_blank" w:history="1">
        <w:r w:rsidRPr="00082F7D">
          <w:rPr>
            <w:rStyle w:val="Hyperlink"/>
            <w:rFonts w:ascii="Book Antiqua" w:hAnsi="Book Antiqua"/>
            <w:sz w:val="16"/>
            <w:szCs w:val="16"/>
          </w:rPr>
          <w:t>(redação dada pela Resolução n. 571, de 26.8.2024)</w:t>
        </w:r>
      </w:hyperlink>
    </w:p>
    <w:p w14:paraId="5D226EA7"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41. Havendo alteração do nome de algum cônjuge em razão de escritura de restabelecimento da sociedade conjugal ou do divórcio consensual, o Oficial de Registro Civil que averbar o ato no assento de casamento também anotará a alteração no respectivo assento de nascimento, se de sua unidade, ou, se de outra, comunicará ao Oficial competente para a necessária anotação</w:t>
      </w:r>
      <w:r w:rsidRPr="00082F7D">
        <w:rPr>
          <w:rFonts w:ascii="Book Antiqua" w:hAnsi="Book Antiqua"/>
          <w:sz w:val="16"/>
          <w:szCs w:val="16"/>
        </w:rPr>
        <w:t>. </w:t>
      </w:r>
      <w:hyperlink r:id="rId57" w:tgtFrame="_blank" w:history="1">
        <w:r w:rsidRPr="00082F7D">
          <w:rPr>
            <w:rStyle w:val="Hyperlink"/>
            <w:rFonts w:ascii="Book Antiqua" w:hAnsi="Book Antiqua"/>
            <w:sz w:val="16"/>
            <w:szCs w:val="16"/>
          </w:rPr>
          <w:t>(redação dada pela Resolução n. 571, de 26.8.2024)</w:t>
        </w:r>
      </w:hyperlink>
    </w:p>
    <w:p w14:paraId="0CFBD35D"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42. Não há sigilo na escritura pública de divórcio consensual</w:t>
      </w:r>
      <w:r w:rsidRPr="00082F7D">
        <w:rPr>
          <w:rFonts w:ascii="Book Antiqua" w:hAnsi="Book Antiqua"/>
          <w:sz w:val="16"/>
          <w:szCs w:val="16"/>
        </w:rPr>
        <w:t>. </w:t>
      </w:r>
      <w:hyperlink r:id="rId58" w:tgtFrame="_blank" w:history="1">
        <w:r w:rsidRPr="00082F7D">
          <w:rPr>
            <w:rStyle w:val="Hyperlink"/>
            <w:rFonts w:ascii="Book Antiqua" w:hAnsi="Book Antiqua"/>
            <w:sz w:val="16"/>
            <w:szCs w:val="16"/>
          </w:rPr>
          <w:t>(redação dada pela Resolução n. 571, de 26.8.2024)</w:t>
        </w:r>
      </w:hyperlink>
    </w:p>
    <w:p w14:paraId="6EF68B48" w14:textId="77777777" w:rsid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Art. 43. Na escritura pública deve constar que as partes foram orientadas sobre a necessidade de apresentação de seu traslado no registro civil do assento de casamento, para a averbação devida.</w:t>
      </w:r>
    </w:p>
    <w:p w14:paraId="4363E83C" w14:textId="11E9D86D" w:rsidR="00082F7D" w:rsidRPr="00082F7D" w:rsidRDefault="00082F7D" w:rsidP="003F4CD0">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44. É admissível, por consenso das partes, escritura pública de retificação das cláusulas de obrigações alimentares ajustadas no divórcio consensual. </w:t>
      </w:r>
      <w:hyperlink r:id="rId59" w:tgtFrame="_blank" w:history="1">
        <w:r w:rsidRPr="00082F7D">
          <w:rPr>
            <w:rStyle w:val="Hyperlink"/>
            <w:rFonts w:ascii="Book Antiqua" w:hAnsi="Book Antiqua"/>
            <w:sz w:val="16"/>
            <w:szCs w:val="16"/>
          </w:rPr>
          <w:t>(redação dada pela Resolução n. 571, de 26.8.2024)</w:t>
        </w:r>
      </w:hyperlink>
    </w:p>
    <w:p w14:paraId="669D0B1E" w14:textId="77777777" w:rsidR="00082F7D" w:rsidRPr="00082F7D" w:rsidRDefault="003F4CD0" w:rsidP="003F4CD0">
      <w:pPr>
        <w:tabs>
          <w:tab w:val="center" w:pos="4252"/>
        </w:tabs>
        <w:spacing w:before="100" w:beforeAutospacing="1" w:after="100" w:afterAutospacing="1" w:line="240" w:lineRule="auto"/>
        <w:ind w:firstLine="567"/>
        <w:jc w:val="both"/>
        <w:rPr>
          <w:rFonts w:ascii="Book Antiqua" w:hAnsi="Book Antiqua"/>
          <w:sz w:val="14"/>
          <w:szCs w:val="14"/>
        </w:rPr>
      </w:pPr>
      <w:r w:rsidRPr="00082F7D">
        <w:rPr>
          <w:rFonts w:ascii="Book Antiqua" w:hAnsi="Book Antiqua"/>
          <w:sz w:val="16"/>
          <w:szCs w:val="16"/>
        </w:rPr>
        <w:t xml:space="preserve">Art. 45. </w:t>
      </w:r>
      <w:hyperlink r:id="rId60" w:tgtFrame="_blank" w:history="1">
        <w:r w:rsidR="00082F7D" w:rsidRPr="00082F7D">
          <w:rPr>
            <w:rStyle w:val="Hyperlink"/>
            <w:rFonts w:ascii="Book Antiqua" w:hAnsi="Book Antiqua"/>
            <w:sz w:val="16"/>
            <w:szCs w:val="16"/>
          </w:rPr>
          <w:t>(revogado pela Resolução n. 571, de 26.8.2024)</w:t>
        </w:r>
      </w:hyperlink>
      <w:r w:rsidRPr="00082F7D">
        <w:rPr>
          <w:rFonts w:ascii="Book Antiqua" w:hAnsi="Book Antiqua"/>
          <w:sz w:val="14"/>
          <w:szCs w:val="14"/>
        </w:rPr>
        <w:t>.</w:t>
      </w:r>
    </w:p>
    <w:p w14:paraId="40EB6320"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8"/>
          <w:szCs w:val="18"/>
        </w:rPr>
        <w:t>Art. 46. O tabelião poderá se negar a lavrar a escritura de divórcio se houver fundados indícios de prejuízo a um dos cônjuges ou em caso de dúvidas sobre a declaração de vontade, fundamentando a recusa por escrito</w:t>
      </w:r>
      <w:r w:rsidRPr="00082F7D">
        <w:rPr>
          <w:rFonts w:ascii="Book Antiqua" w:hAnsi="Book Antiqua"/>
          <w:sz w:val="16"/>
          <w:szCs w:val="16"/>
        </w:rPr>
        <w:t>. </w:t>
      </w:r>
      <w:hyperlink r:id="rId61" w:tgtFrame="_blank" w:history="1">
        <w:r w:rsidRPr="00082F7D">
          <w:rPr>
            <w:rStyle w:val="Hyperlink"/>
            <w:rFonts w:ascii="Book Antiqua" w:hAnsi="Book Antiqua"/>
            <w:sz w:val="16"/>
            <w:szCs w:val="16"/>
          </w:rPr>
          <w:t>(redação dada pela Resolução n. 571, de 26.8.2024)</w:t>
        </w:r>
      </w:hyperlink>
    </w:p>
    <w:p w14:paraId="21469486"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8"/>
          <w:szCs w:val="18"/>
        </w:rPr>
        <w:t>Art. 46-A. As disposições desta Seção aplicam-se, no que couber, à extinção consensual da união estável</w:t>
      </w:r>
      <w:r w:rsidRPr="00082F7D">
        <w:rPr>
          <w:rFonts w:ascii="Book Antiqua" w:hAnsi="Book Antiqua"/>
          <w:sz w:val="16"/>
          <w:szCs w:val="16"/>
        </w:rPr>
        <w:t>. </w:t>
      </w:r>
      <w:hyperlink r:id="rId62"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5DBC96A5"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Seção IV</w:t>
      </w:r>
    </w:p>
    <w:p w14:paraId="26EC1BF9"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DISPOSIÇÕES REFERENTES À SEPARAÇÃO CONSENSUAL</w:t>
      </w:r>
    </w:p>
    <w:p w14:paraId="6FEF6C08" w14:textId="24315058" w:rsidR="003F4CD0" w:rsidRPr="00082F7D" w:rsidRDefault="003F4CD0" w:rsidP="003F4CD0">
      <w:pPr>
        <w:tabs>
          <w:tab w:val="center" w:pos="4252"/>
        </w:tabs>
        <w:spacing w:before="100" w:beforeAutospacing="1" w:after="100" w:afterAutospacing="1" w:line="240" w:lineRule="auto"/>
        <w:ind w:firstLine="567"/>
        <w:jc w:val="both"/>
        <w:rPr>
          <w:rFonts w:ascii="Book Antiqua" w:hAnsi="Book Antiqua"/>
          <w:sz w:val="14"/>
          <w:szCs w:val="14"/>
        </w:rPr>
      </w:pPr>
      <w:r w:rsidRPr="00082F7D">
        <w:rPr>
          <w:rFonts w:ascii="Book Antiqua" w:hAnsi="Book Antiqua"/>
          <w:sz w:val="16"/>
          <w:szCs w:val="16"/>
        </w:rPr>
        <w:t xml:space="preserve">Art. 47. </w:t>
      </w:r>
      <w:hyperlink r:id="rId63" w:tgtFrame="_blank" w:history="1">
        <w:r w:rsidR="00082F7D" w:rsidRPr="00082F7D">
          <w:rPr>
            <w:rStyle w:val="Hyperlink"/>
            <w:rFonts w:ascii="Book Antiqua" w:hAnsi="Book Antiqua"/>
            <w:sz w:val="16"/>
            <w:szCs w:val="16"/>
          </w:rPr>
          <w:t>(revogado pela Resolução n. 571, de 26.8.2024)</w:t>
        </w:r>
      </w:hyperlink>
      <w:r w:rsidRPr="00082F7D">
        <w:rPr>
          <w:rFonts w:ascii="Book Antiqua" w:hAnsi="Book Antiqua"/>
          <w:sz w:val="14"/>
          <w:szCs w:val="14"/>
        </w:rPr>
        <w:t xml:space="preserve">. </w:t>
      </w:r>
    </w:p>
    <w:p w14:paraId="4F107015" w14:textId="24909422"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bCs/>
          <w:sz w:val="18"/>
          <w:szCs w:val="18"/>
        </w:rPr>
      </w:pPr>
      <w:r w:rsidRPr="00FF2DAE">
        <w:rPr>
          <w:rFonts w:ascii="Book Antiqua" w:hAnsi="Book Antiqua"/>
          <w:b/>
          <w:bCs/>
          <w:sz w:val="19"/>
          <w:szCs w:val="19"/>
          <w:highlight w:val="magenta"/>
        </w:rPr>
        <w:t>Art. 48</w:t>
      </w:r>
      <w:r w:rsidRPr="003F4CD0">
        <w:rPr>
          <w:rFonts w:ascii="Book Antiqua" w:hAnsi="Book Antiqua"/>
          <w:sz w:val="19"/>
          <w:szCs w:val="19"/>
        </w:rPr>
        <w:t xml:space="preserve">. </w:t>
      </w:r>
      <w:r w:rsidRPr="00DB771C">
        <w:rPr>
          <w:rFonts w:ascii="Book Antiqua" w:hAnsi="Book Antiqua"/>
          <w:b/>
          <w:bCs/>
          <w:sz w:val="19"/>
          <w:szCs w:val="19"/>
        </w:rPr>
        <w:t>O restabelecimento de sociedade conjugal pode ser feito por escritura pública, ainda que a separação tenha sido judicial. Neste caso, é necessária e suficiente a apresentação de certidão da sentença de separação ou da averbação da separação no assento de casamento</w:t>
      </w:r>
      <w:r w:rsidRPr="004E7DCF">
        <w:rPr>
          <w:rFonts w:ascii="Book Antiqua" w:hAnsi="Book Antiqua"/>
          <w:sz w:val="18"/>
          <w:szCs w:val="18"/>
        </w:rPr>
        <w:t>.</w:t>
      </w:r>
      <w:r w:rsidR="00FF2DAE" w:rsidRPr="004E7DCF">
        <w:rPr>
          <w:rFonts w:ascii="Book Antiqua" w:hAnsi="Book Antiqua"/>
          <w:sz w:val="16"/>
          <w:szCs w:val="16"/>
        </w:rPr>
        <w:t xml:space="preserve"> </w:t>
      </w:r>
      <w:bookmarkStart w:id="3" w:name="_Hlk95413807"/>
      <w:r w:rsidR="00FF2DAE" w:rsidRPr="004E7DCF">
        <w:rPr>
          <w:rFonts w:ascii="Book Antiqua" w:hAnsi="Book Antiqua"/>
          <w:b/>
          <w:bCs/>
          <w:color w:val="FF0000"/>
          <w:sz w:val="16"/>
          <w:szCs w:val="16"/>
          <w:u w:val="single"/>
        </w:rPr>
        <w:t>(Cartórios/TJSP-2011)</w:t>
      </w:r>
      <w:bookmarkEnd w:id="3"/>
      <w:r w:rsidR="00DB771C" w:rsidRPr="004E7DCF">
        <w:rPr>
          <w:rFonts w:ascii="Book Antiqua" w:hAnsi="Book Antiqua"/>
          <w:b/>
          <w:bCs/>
          <w:color w:val="FF0000"/>
          <w:sz w:val="16"/>
          <w:szCs w:val="16"/>
        </w:rPr>
        <w:t xml:space="preserve"> </w:t>
      </w:r>
      <w:r w:rsidR="00DB771C" w:rsidRPr="004E7DCF">
        <w:rPr>
          <w:rFonts w:ascii="Book Antiqua" w:eastAsia="Times New Roman" w:hAnsi="Book Antiqua" w:cs="Times New Roman"/>
          <w:b/>
          <w:color w:val="FF0000"/>
          <w:sz w:val="16"/>
          <w:szCs w:val="16"/>
          <w:u w:val="single"/>
          <w:lang w:eastAsia="pt-BR"/>
        </w:rPr>
        <w:t>(Cartórios/TJMG-2016)</w:t>
      </w:r>
      <w:r w:rsidR="00E20120" w:rsidRPr="004E7DCF">
        <w:rPr>
          <w:rFonts w:ascii="Book Antiqua" w:eastAsia="Times New Roman" w:hAnsi="Book Antiqua" w:cs="Times New Roman"/>
          <w:b/>
          <w:color w:val="FF0000"/>
          <w:sz w:val="16"/>
          <w:szCs w:val="16"/>
          <w:lang w:eastAsia="pt-BR"/>
        </w:rPr>
        <w:t xml:space="preserve"> </w:t>
      </w:r>
      <w:bookmarkStart w:id="4" w:name="_Hlk133063069"/>
      <w:r w:rsidR="00E20120" w:rsidRPr="004E7DCF">
        <w:rPr>
          <w:rFonts w:ascii="Book Antiqua" w:eastAsia="Times New Roman" w:hAnsi="Book Antiqua" w:cs="Times New Roman"/>
          <w:b/>
          <w:bCs/>
          <w:color w:val="FF0000"/>
          <w:sz w:val="16"/>
          <w:szCs w:val="16"/>
          <w:u w:val="single"/>
          <w:lang w:eastAsia="pt-BR"/>
        </w:rPr>
        <w:t>(Cartórios/TJGO-2021)</w:t>
      </w:r>
      <w:bookmarkEnd w:id="4"/>
    </w:p>
    <w:tbl>
      <w:tblPr>
        <w:tblStyle w:val="Tabelacomgrade"/>
        <w:tblW w:w="0" w:type="auto"/>
        <w:tblLook w:val="04A0" w:firstRow="1" w:lastRow="0" w:firstColumn="1" w:lastColumn="0" w:noHBand="0" w:noVBand="1"/>
      </w:tblPr>
      <w:tblGrid>
        <w:gridCol w:w="8494"/>
      </w:tblGrid>
      <w:tr w:rsidR="00E20120" w14:paraId="6B375056" w14:textId="77777777" w:rsidTr="00E20120">
        <w:tc>
          <w:tcPr>
            <w:tcW w:w="8494" w:type="dxa"/>
            <w:shd w:val="clear" w:color="auto" w:fill="CCFFFF"/>
          </w:tcPr>
          <w:p w14:paraId="3B815219" w14:textId="54F5EE89" w:rsidR="00E20120" w:rsidRPr="00E20120" w:rsidRDefault="00E20120" w:rsidP="00E20120">
            <w:pPr>
              <w:tabs>
                <w:tab w:val="center" w:pos="4252"/>
              </w:tabs>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20120">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E20120">
              <w:rPr>
                <w:rFonts w:ascii="Book Antiqua" w:hAnsi="Book Antiqua"/>
                <w:sz w:val="19"/>
                <w:szCs w:val="19"/>
              </w:rPr>
              <w:t>Com relação às escrituras de separação e divórcio, é correto afirmar que</w:t>
            </w:r>
            <w:r>
              <w:rPr>
                <w:rFonts w:ascii="Book Antiqua" w:hAnsi="Book Antiqua"/>
                <w:sz w:val="19"/>
                <w:szCs w:val="19"/>
              </w:rPr>
              <w:t xml:space="preserve"> </w:t>
            </w:r>
            <w:r w:rsidRPr="00E20120">
              <w:rPr>
                <w:rFonts w:ascii="Book Antiqua" w:hAnsi="Book Antiqua"/>
                <w:sz w:val="19"/>
                <w:szCs w:val="19"/>
              </w:rPr>
              <w:t>é possível o restabelecimento da sociedade conjugal por escritura pública, ainda que a separação tenha sido judicial.</w:t>
            </w:r>
            <w:r>
              <w:rPr>
                <w:rFonts w:ascii="Book Antiqua" w:hAnsi="Book Antiqua"/>
                <w:sz w:val="19"/>
                <w:szCs w:val="19"/>
              </w:rPr>
              <w:t xml:space="preserve"> </w:t>
            </w:r>
            <w:r>
              <w:rPr>
                <w:rFonts w:ascii="Book Antiqua" w:hAnsi="Book Antiqua"/>
                <w:b/>
                <w:bCs/>
                <w:sz w:val="19"/>
                <w:szCs w:val="19"/>
              </w:rPr>
              <w:t>BL: art. 48, Res. 35/07, CNJ.</w:t>
            </w:r>
          </w:p>
        </w:tc>
      </w:tr>
    </w:tbl>
    <w:p w14:paraId="44A8B52A" w14:textId="598FA45B" w:rsidR="003F4CD0" w:rsidRPr="003F4CD0" w:rsidRDefault="003F4CD0" w:rsidP="003F4CD0">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 xml:space="preserve">Art. 49. Em escritura pública de restabelecimento de sociedade conjugal, o tabelião deve: a) fazer constar que as partes foram orientadas sobre a necessidade de apresentação de seu traslado no registro civil do assento de casamento, para a averbação devida; b) anotar o restabelecimento à margem da escritura pública de separação consensual, quando esta for de sua serventia, ou, quando </w:t>
      </w:r>
      <w:r w:rsidRPr="003F4CD0">
        <w:rPr>
          <w:rFonts w:ascii="Book Antiqua" w:hAnsi="Book Antiqua"/>
          <w:sz w:val="19"/>
          <w:szCs w:val="19"/>
        </w:rPr>
        <w:lastRenderedPageBreak/>
        <w:t>de outra, comunicar o restabelecimento, para a anotação necessária na serventia competente; e c) comunicar o restabelecimento ao juízo da separação judicial, se for o caso.</w:t>
      </w:r>
    </w:p>
    <w:p w14:paraId="173AD671" w14:textId="2AA06583"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b/>
          <w:bCs/>
          <w:sz w:val="18"/>
          <w:szCs w:val="18"/>
        </w:rPr>
      </w:pPr>
      <w:r w:rsidRPr="00761856">
        <w:rPr>
          <w:rFonts w:ascii="Book Antiqua" w:hAnsi="Book Antiqua"/>
          <w:b/>
          <w:bCs/>
          <w:sz w:val="19"/>
          <w:szCs w:val="19"/>
          <w:highlight w:val="magenta"/>
        </w:rPr>
        <w:t>Art. 50</w:t>
      </w:r>
      <w:r w:rsidRPr="00761856">
        <w:rPr>
          <w:rFonts w:ascii="Book Antiqua" w:hAnsi="Book Antiqua"/>
          <w:b/>
          <w:bCs/>
          <w:sz w:val="19"/>
          <w:szCs w:val="19"/>
        </w:rPr>
        <w:t>. A sociedade conjugal não pode ser restabelecida com modificações</w:t>
      </w:r>
      <w:r w:rsidRPr="004E7DCF">
        <w:rPr>
          <w:rFonts w:ascii="Book Antiqua" w:hAnsi="Book Antiqua"/>
          <w:b/>
          <w:bCs/>
          <w:sz w:val="18"/>
          <w:szCs w:val="18"/>
        </w:rPr>
        <w:t>.</w:t>
      </w:r>
      <w:r w:rsidR="00761856" w:rsidRPr="004E7DCF">
        <w:rPr>
          <w:rFonts w:ascii="Book Antiqua" w:hAnsi="Book Antiqua"/>
          <w:b/>
          <w:bCs/>
          <w:sz w:val="18"/>
          <w:szCs w:val="18"/>
        </w:rPr>
        <w:t xml:space="preserve"> </w:t>
      </w:r>
      <w:r w:rsidR="00761856" w:rsidRPr="004E7DCF">
        <w:rPr>
          <w:rFonts w:ascii="Book Antiqua" w:hAnsi="Book Antiqua"/>
          <w:b/>
          <w:bCs/>
          <w:color w:val="FF0000"/>
          <w:sz w:val="16"/>
          <w:szCs w:val="16"/>
          <w:u w:val="single"/>
        </w:rPr>
        <w:t>(Cartórios/TJMG-2017)</w:t>
      </w:r>
    </w:p>
    <w:p w14:paraId="474159C8" w14:textId="0D981925"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8"/>
          <w:szCs w:val="18"/>
        </w:rPr>
      </w:pPr>
      <w:r w:rsidRPr="00761856">
        <w:rPr>
          <w:rFonts w:ascii="Book Antiqua" w:hAnsi="Book Antiqua"/>
          <w:b/>
          <w:bCs/>
          <w:sz w:val="19"/>
          <w:szCs w:val="19"/>
          <w:highlight w:val="magenta"/>
        </w:rPr>
        <w:t>Art. 51</w:t>
      </w:r>
      <w:r w:rsidRPr="00761856">
        <w:rPr>
          <w:rFonts w:ascii="Book Antiqua" w:hAnsi="Book Antiqua"/>
          <w:b/>
          <w:bCs/>
          <w:sz w:val="19"/>
          <w:szCs w:val="19"/>
        </w:rPr>
        <w:t>. A averbação do restabelecimento da sociedade conjugal somente poderá ser efetivada depois da averbação da separação no registro civil, podendo ser simultâneas</w:t>
      </w:r>
      <w:r w:rsidRPr="004E7DCF">
        <w:rPr>
          <w:rFonts w:ascii="Book Antiqua" w:hAnsi="Book Antiqua"/>
          <w:sz w:val="18"/>
          <w:szCs w:val="18"/>
        </w:rPr>
        <w:t>.</w:t>
      </w:r>
      <w:r w:rsidR="00761856" w:rsidRPr="004E7DCF">
        <w:rPr>
          <w:rFonts w:ascii="Book Antiqua" w:hAnsi="Book Antiqua"/>
          <w:sz w:val="18"/>
          <w:szCs w:val="18"/>
        </w:rPr>
        <w:t xml:space="preserve"> </w:t>
      </w:r>
      <w:r w:rsidR="00761856" w:rsidRPr="004E7DCF">
        <w:rPr>
          <w:rFonts w:ascii="Book Antiqua" w:hAnsi="Book Antiqua"/>
          <w:b/>
          <w:color w:val="FF0000"/>
          <w:sz w:val="16"/>
          <w:szCs w:val="16"/>
          <w:u w:val="single"/>
        </w:rPr>
        <w:t>(Cartórios/TJMG-2017)</w:t>
      </w:r>
    </w:p>
    <w:p w14:paraId="311E385B" w14:textId="77777777" w:rsidR="003F4CD0" w:rsidRPr="003F4CD0" w:rsidRDefault="003F4CD0" w:rsidP="003F4CD0">
      <w:pPr>
        <w:tabs>
          <w:tab w:val="center" w:pos="4252"/>
        </w:tabs>
        <w:spacing w:before="100" w:beforeAutospacing="1" w:after="100" w:afterAutospacing="1" w:line="240" w:lineRule="auto"/>
        <w:jc w:val="center"/>
        <w:rPr>
          <w:rFonts w:ascii="Book Antiqua" w:hAnsi="Book Antiqua"/>
          <w:sz w:val="19"/>
          <w:szCs w:val="19"/>
        </w:rPr>
      </w:pPr>
      <w:r w:rsidRPr="003F4CD0">
        <w:rPr>
          <w:rFonts w:ascii="Book Antiqua" w:hAnsi="Book Antiqua"/>
          <w:sz w:val="19"/>
          <w:szCs w:val="19"/>
        </w:rPr>
        <w:t>Seção V</w:t>
      </w:r>
    </w:p>
    <w:p w14:paraId="6F64C7B5" w14:textId="2F34FAA8" w:rsidR="003F4CD0" w:rsidRPr="003F4CD0" w:rsidRDefault="003F4CD0" w:rsidP="003F4CD0">
      <w:pPr>
        <w:tabs>
          <w:tab w:val="left" w:pos="591"/>
          <w:tab w:val="center" w:pos="4252"/>
        </w:tabs>
        <w:spacing w:before="100" w:beforeAutospacing="1" w:after="100" w:afterAutospacing="1" w:line="240" w:lineRule="auto"/>
        <w:rPr>
          <w:rFonts w:ascii="Book Antiqua" w:hAnsi="Book Antiqua"/>
          <w:sz w:val="19"/>
          <w:szCs w:val="19"/>
        </w:rPr>
      </w:pPr>
      <w:r>
        <w:rPr>
          <w:rFonts w:ascii="Book Antiqua" w:hAnsi="Book Antiqua"/>
          <w:sz w:val="19"/>
          <w:szCs w:val="19"/>
        </w:rPr>
        <w:tab/>
      </w:r>
      <w:r>
        <w:rPr>
          <w:rFonts w:ascii="Book Antiqua" w:hAnsi="Book Antiqua"/>
          <w:sz w:val="19"/>
          <w:szCs w:val="19"/>
        </w:rPr>
        <w:tab/>
      </w:r>
      <w:r w:rsidRPr="003F4CD0">
        <w:rPr>
          <w:rFonts w:ascii="Book Antiqua" w:hAnsi="Book Antiqua"/>
          <w:sz w:val="19"/>
          <w:szCs w:val="19"/>
        </w:rPr>
        <w:t>DISPOSIÇÕES REFERENTES AO DIVÓRCIO CONSENSUAL</w:t>
      </w:r>
    </w:p>
    <w:p w14:paraId="425EB6DA" w14:textId="40A9BDFB" w:rsidR="003F4CD0" w:rsidRPr="004E7DCF" w:rsidRDefault="003F4CD0" w:rsidP="003F4CD0">
      <w:pPr>
        <w:tabs>
          <w:tab w:val="center" w:pos="4252"/>
        </w:tabs>
        <w:spacing w:before="100" w:beforeAutospacing="1" w:after="100" w:afterAutospacing="1" w:line="240" w:lineRule="auto"/>
        <w:ind w:firstLine="567"/>
        <w:jc w:val="both"/>
        <w:rPr>
          <w:rFonts w:ascii="Book Antiqua" w:hAnsi="Book Antiqua"/>
          <w:sz w:val="16"/>
          <w:szCs w:val="16"/>
          <w:u w:val="single"/>
        </w:rPr>
      </w:pPr>
      <w:r w:rsidRPr="00E20120">
        <w:rPr>
          <w:rFonts w:ascii="Book Antiqua" w:hAnsi="Book Antiqua"/>
          <w:b/>
          <w:bCs/>
          <w:sz w:val="19"/>
          <w:szCs w:val="19"/>
          <w:highlight w:val="magenta"/>
        </w:rPr>
        <w:t>Art. 52</w:t>
      </w:r>
      <w:r w:rsidRPr="00E20120">
        <w:rPr>
          <w:rFonts w:ascii="Book Antiqua" w:hAnsi="Book Antiqua"/>
          <w:b/>
          <w:bCs/>
          <w:sz w:val="19"/>
          <w:szCs w:val="19"/>
        </w:rPr>
        <w:t>. Os cônjuges separados judicialmente, podem, mediante escritura pública, converter a separação judicial ou extrajudicial em divórcio, mantendo as mesmas condições ou alterando-as. Nesse caso, é dispensável a apresentação de certidão atualizada do processo judicial, bastando a certidão da averbação da separação no assento do casamento</w:t>
      </w:r>
      <w:r w:rsidRPr="004E7DCF">
        <w:rPr>
          <w:rFonts w:ascii="Book Antiqua" w:hAnsi="Book Antiqua"/>
          <w:sz w:val="16"/>
          <w:szCs w:val="16"/>
        </w:rPr>
        <w:t xml:space="preserve">. </w:t>
      </w:r>
      <w:r w:rsidRPr="004E7DCF">
        <w:rPr>
          <w:rFonts w:ascii="Book Antiqua" w:hAnsi="Book Antiqua"/>
          <w:color w:val="3333FF"/>
          <w:sz w:val="16"/>
          <w:szCs w:val="16"/>
        </w:rPr>
        <w:t>(</w:t>
      </w:r>
      <w:hyperlink r:id="rId64" w:tgtFrame="_blank" w:history="1">
        <w:r w:rsidRPr="004E7DCF">
          <w:rPr>
            <w:rStyle w:val="Hyperlink"/>
            <w:rFonts w:ascii="Book Antiqua" w:hAnsi="Book Antiqua"/>
            <w:color w:val="3333FF"/>
            <w:sz w:val="16"/>
            <w:szCs w:val="16"/>
          </w:rPr>
          <w:t>Redação dada pela Resolução nº 120, de 30.09.2010</w:t>
        </w:r>
      </w:hyperlink>
      <w:r w:rsidRPr="004E7DCF">
        <w:rPr>
          <w:rFonts w:ascii="Book Antiqua" w:hAnsi="Book Antiqua"/>
          <w:color w:val="3333FF"/>
          <w:sz w:val="16"/>
          <w:szCs w:val="16"/>
        </w:rPr>
        <w:t>)</w:t>
      </w:r>
      <w:r w:rsidR="00E20120" w:rsidRPr="004E7DCF">
        <w:rPr>
          <w:rFonts w:ascii="Book Antiqua" w:hAnsi="Book Antiqua"/>
          <w:color w:val="3333FF"/>
          <w:sz w:val="16"/>
          <w:szCs w:val="16"/>
          <w:u w:val="single"/>
        </w:rPr>
        <w:t xml:space="preserve"> </w:t>
      </w:r>
      <w:r w:rsidR="00E20120" w:rsidRPr="004E7DCF">
        <w:rPr>
          <w:rFonts w:ascii="Book Antiqua" w:eastAsia="Times New Roman" w:hAnsi="Book Antiqua" w:cs="Times New Roman"/>
          <w:b/>
          <w:bCs/>
          <w:color w:val="FF0000"/>
          <w:sz w:val="16"/>
          <w:szCs w:val="16"/>
          <w:u w:val="single"/>
          <w:lang w:eastAsia="pt-BR"/>
        </w:rPr>
        <w:t>(Cartórios/TJGO-2021)</w:t>
      </w:r>
    </w:p>
    <w:p w14:paraId="4E7AEDA4"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9"/>
          <w:szCs w:val="19"/>
        </w:rPr>
      </w:pPr>
      <w:r w:rsidRPr="00082F7D">
        <w:rPr>
          <w:rFonts w:ascii="Book Antiqua" w:hAnsi="Book Antiqua"/>
          <w:sz w:val="19"/>
          <w:szCs w:val="19"/>
        </w:rPr>
        <w:t>Seção V</w:t>
      </w:r>
    </w:p>
    <w:p w14:paraId="5CFB7DA6"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9"/>
          <w:szCs w:val="19"/>
        </w:rPr>
      </w:pPr>
      <w:r w:rsidRPr="00082F7D">
        <w:rPr>
          <w:rFonts w:ascii="Book Antiqua" w:hAnsi="Book Antiqua"/>
          <w:sz w:val="19"/>
          <w:szCs w:val="19"/>
        </w:rPr>
        <w:t>DISPOSIÇÕES REFERENTES À SEPARAÇÃO DE FATO</w:t>
      </w:r>
    </w:p>
    <w:p w14:paraId="371037AD" w14:textId="77777777" w:rsidR="00082F7D" w:rsidRPr="00082F7D" w:rsidRDefault="00082F7D" w:rsidP="00082F7D">
      <w:pPr>
        <w:tabs>
          <w:tab w:val="center" w:pos="4252"/>
        </w:tabs>
        <w:spacing w:before="100" w:beforeAutospacing="1" w:after="100" w:afterAutospacing="1" w:line="240" w:lineRule="auto"/>
        <w:jc w:val="center"/>
        <w:rPr>
          <w:rFonts w:ascii="Book Antiqua" w:hAnsi="Book Antiqua"/>
          <w:sz w:val="16"/>
          <w:szCs w:val="16"/>
        </w:rPr>
      </w:pPr>
      <w:hyperlink r:id="rId65"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0434B0AF"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52-A. A escritura pública de declaração de separação de fato consensual deverá se ater exclusivamente ao fato de que cessou a comunhão plena de vida entre o casal</w:t>
      </w:r>
      <w:r w:rsidRPr="00082F7D">
        <w:rPr>
          <w:rFonts w:ascii="Book Antiqua" w:hAnsi="Book Antiqua"/>
          <w:sz w:val="16"/>
          <w:szCs w:val="16"/>
        </w:rPr>
        <w:t>. </w:t>
      </w:r>
      <w:hyperlink r:id="rId66"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746ACBF7"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52-B. Para a lavratura da escritura pública de declaração de separação de fato consensual, deverão ser apresentados: a) certidão de casamento; b) documento de identidade oficial e CPF/MF; c) manifestação de vontade espontânea e isenta de vícios de não mais manter a convivência marital e de desejar a separação de fato; d)pacto antenupcial, se houver; e) certidão de nascimento ou outro documento de identidade oficial dos filhos, se houver; f) certidão de propriedade de bens imóveis e direitos a eles relativos; g) documentos necessários à comprovação da titularidade dos bens móveis e direitos, se houver; h)inexistência de gravidez do cônjuge virago ou desconhecimento acerca desta circunstância</w:t>
      </w:r>
      <w:r w:rsidRPr="00082F7D">
        <w:rPr>
          <w:rFonts w:ascii="Book Antiqua" w:hAnsi="Book Antiqua"/>
          <w:sz w:val="16"/>
          <w:szCs w:val="16"/>
        </w:rPr>
        <w:t>. </w:t>
      </w:r>
      <w:hyperlink r:id="rId67"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401FAAE2"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52-C. O restabelecimento da comunhão plena de vida entre o casal pode ser feito por escritura pública, ainda que a separação de fato tenha sido judicial</w:t>
      </w:r>
      <w:r w:rsidRPr="00082F7D">
        <w:rPr>
          <w:rFonts w:ascii="Book Antiqua" w:hAnsi="Book Antiqua"/>
          <w:sz w:val="16"/>
          <w:szCs w:val="16"/>
        </w:rPr>
        <w:t>. </w:t>
      </w:r>
      <w:hyperlink r:id="rId68"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19EB662A"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52-D. Na escritura pública de restabelecimento da comunhão plena de vida entre o casal, o tabelião deve: a) anotar o restabelecimento à margem da escritura pública de separação de fato consensual, quando esta for de sua serventia, ou, quando de outra, comunicar o restabelecimento, para a anotação necessária na serventia competente; e b) comunicar o restabelecimento ao juízo da separação de fato judicial, se for o caso. </w:t>
      </w:r>
      <w:hyperlink r:id="rId69"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76BB065D"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9"/>
          <w:szCs w:val="19"/>
        </w:rPr>
        <w:t>Art. 52-E. O retorno da comunhão plena de vida entre o casal não altera os termos da sociedade conjugal, que se reestabelece sem modificações. </w:t>
      </w:r>
      <w:hyperlink r:id="rId70" w:tgtFrame="_blank" w:history="1">
        <w:r w:rsidRPr="00082F7D">
          <w:rPr>
            <w:rStyle w:val="Hyperlink"/>
            <w:rFonts w:ascii="Book Antiqua" w:hAnsi="Book Antiqua"/>
            <w:sz w:val="16"/>
            <w:szCs w:val="16"/>
          </w:rPr>
          <w:t>(</w:t>
        </w:r>
        <w:proofErr w:type="spellStart"/>
        <w:r w:rsidRPr="00082F7D">
          <w:rPr>
            <w:rStyle w:val="Hyperlink"/>
            <w:rFonts w:ascii="Book Antiqua" w:hAnsi="Book Antiqua"/>
            <w:sz w:val="16"/>
            <w:szCs w:val="16"/>
          </w:rPr>
          <w:t>incluido</w:t>
        </w:r>
        <w:proofErr w:type="spellEnd"/>
        <w:r w:rsidRPr="00082F7D">
          <w:rPr>
            <w:rStyle w:val="Hyperlink"/>
            <w:rFonts w:ascii="Book Antiqua" w:hAnsi="Book Antiqua"/>
            <w:sz w:val="16"/>
            <w:szCs w:val="16"/>
          </w:rPr>
          <w:t xml:space="preserve"> pela Resolução n. 571, de 26.8.2024)</w:t>
        </w:r>
      </w:hyperlink>
    </w:p>
    <w:p w14:paraId="7FF004F5" w14:textId="45C233CE"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6"/>
          <w:szCs w:val="16"/>
        </w:rPr>
      </w:pPr>
      <w:r w:rsidRPr="00082F7D">
        <w:rPr>
          <w:rFonts w:ascii="Book Antiqua" w:hAnsi="Book Antiqua"/>
          <w:sz w:val="16"/>
          <w:szCs w:val="16"/>
        </w:rPr>
        <w:t>Art. 53. (</w:t>
      </w:r>
      <w:hyperlink r:id="rId71" w:tgtFrame="_blank" w:history="1">
        <w:r w:rsidRPr="00082F7D">
          <w:rPr>
            <w:rStyle w:val="Hyperlink"/>
            <w:rFonts w:ascii="Book Antiqua" w:hAnsi="Book Antiqua"/>
            <w:sz w:val="16"/>
            <w:szCs w:val="16"/>
          </w:rPr>
          <w:t>Revogado pela Resolução nº 120, de 30.09.2010</w:t>
        </w:r>
      </w:hyperlink>
      <w:r w:rsidRPr="00082F7D">
        <w:rPr>
          <w:rFonts w:ascii="Book Antiqua" w:hAnsi="Book Antiqua"/>
          <w:sz w:val="16"/>
          <w:szCs w:val="16"/>
        </w:rPr>
        <w:t>)</w:t>
      </w:r>
    </w:p>
    <w:p w14:paraId="35FB2FDA" w14:textId="77777777" w:rsidR="00082F7D" w:rsidRPr="00082F7D" w:rsidRDefault="00082F7D" w:rsidP="00082F7D">
      <w:pPr>
        <w:tabs>
          <w:tab w:val="center" w:pos="4252"/>
        </w:tabs>
        <w:spacing w:before="100" w:beforeAutospacing="1" w:after="100" w:afterAutospacing="1" w:line="240" w:lineRule="auto"/>
        <w:ind w:firstLine="567"/>
        <w:jc w:val="both"/>
        <w:rPr>
          <w:rFonts w:ascii="Book Antiqua" w:hAnsi="Book Antiqua"/>
          <w:sz w:val="19"/>
          <w:szCs w:val="19"/>
        </w:rPr>
      </w:pPr>
      <w:r w:rsidRPr="00082F7D">
        <w:rPr>
          <w:rFonts w:ascii="Book Antiqua" w:hAnsi="Book Antiqua"/>
          <w:sz w:val="19"/>
          <w:szCs w:val="19"/>
        </w:rPr>
        <w:t>Art. 54. Esta Resolução entra em vigor na data de sua publicação.</w:t>
      </w:r>
    </w:p>
    <w:p w14:paraId="50F60BF1" w14:textId="77777777" w:rsidR="00082F7D" w:rsidRPr="00082F7D" w:rsidRDefault="00082F7D" w:rsidP="003F4CD0">
      <w:pPr>
        <w:tabs>
          <w:tab w:val="center" w:pos="4252"/>
        </w:tabs>
        <w:spacing w:before="100" w:beforeAutospacing="1" w:after="100" w:afterAutospacing="1" w:line="240" w:lineRule="auto"/>
        <w:ind w:firstLine="567"/>
        <w:jc w:val="both"/>
        <w:rPr>
          <w:rFonts w:ascii="Book Antiqua" w:hAnsi="Book Antiqua"/>
          <w:sz w:val="19"/>
          <w:szCs w:val="19"/>
        </w:rPr>
      </w:pPr>
    </w:p>
    <w:p w14:paraId="5CD6E6BF" w14:textId="443D18E3" w:rsidR="003F4CD0" w:rsidRPr="003F4CD0" w:rsidRDefault="003F4CD0" w:rsidP="009D55A3">
      <w:pPr>
        <w:tabs>
          <w:tab w:val="center" w:pos="4252"/>
        </w:tabs>
        <w:spacing w:before="100" w:beforeAutospacing="1" w:after="100" w:afterAutospacing="1" w:line="240" w:lineRule="auto"/>
        <w:ind w:firstLine="567"/>
        <w:jc w:val="both"/>
        <w:rPr>
          <w:rFonts w:ascii="Book Antiqua" w:hAnsi="Book Antiqua"/>
          <w:sz w:val="19"/>
          <w:szCs w:val="19"/>
        </w:rPr>
      </w:pPr>
      <w:r w:rsidRPr="003F4CD0">
        <w:rPr>
          <w:rFonts w:ascii="Book Antiqua" w:hAnsi="Book Antiqua"/>
          <w:sz w:val="19"/>
          <w:szCs w:val="19"/>
        </w:rPr>
        <w:t> </w:t>
      </w:r>
      <w:r w:rsidRPr="003F4CD0">
        <w:rPr>
          <w:rFonts w:ascii="Book Antiqua" w:hAnsi="Book Antiqua"/>
          <w:b/>
          <w:bCs/>
          <w:sz w:val="19"/>
          <w:szCs w:val="19"/>
        </w:rPr>
        <w:t>Ministra ELLEN GRACIE</w:t>
      </w:r>
    </w:p>
    <w:sectPr w:rsidR="003F4CD0" w:rsidRPr="003F4CD0" w:rsidSect="00CA2F6B">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F1"/>
    <w:rsid w:val="00045C47"/>
    <w:rsid w:val="0006789E"/>
    <w:rsid w:val="00077F28"/>
    <w:rsid w:val="00082F7D"/>
    <w:rsid w:val="00091AA9"/>
    <w:rsid w:val="000B48B8"/>
    <w:rsid w:val="000B5A40"/>
    <w:rsid w:val="001E2CD5"/>
    <w:rsid w:val="00232A1A"/>
    <w:rsid w:val="00245DAB"/>
    <w:rsid w:val="002A62FB"/>
    <w:rsid w:val="002C1F92"/>
    <w:rsid w:val="003D0A24"/>
    <w:rsid w:val="003E7500"/>
    <w:rsid w:val="003F371E"/>
    <w:rsid w:val="003F4CD0"/>
    <w:rsid w:val="003F7BD3"/>
    <w:rsid w:val="00400817"/>
    <w:rsid w:val="004043F2"/>
    <w:rsid w:val="00411782"/>
    <w:rsid w:val="0046394C"/>
    <w:rsid w:val="004861CE"/>
    <w:rsid w:val="00486D5C"/>
    <w:rsid w:val="004E7DCF"/>
    <w:rsid w:val="00503D56"/>
    <w:rsid w:val="005F10DF"/>
    <w:rsid w:val="00697120"/>
    <w:rsid w:val="00761856"/>
    <w:rsid w:val="00837B5A"/>
    <w:rsid w:val="00861D1B"/>
    <w:rsid w:val="00885F14"/>
    <w:rsid w:val="0089086E"/>
    <w:rsid w:val="008A65BD"/>
    <w:rsid w:val="008B2F23"/>
    <w:rsid w:val="008C17AB"/>
    <w:rsid w:val="00934A9B"/>
    <w:rsid w:val="009D55A3"/>
    <w:rsid w:val="00A06A73"/>
    <w:rsid w:val="00AA0AA2"/>
    <w:rsid w:val="00AE3169"/>
    <w:rsid w:val="00B11E47"/>
    <w:rsid w:val="00B47A0B"/>
    <w:rsid w:val="00BF3955"/>
    <w:rsid w:val="00C01D0E"/>
    <w:rsid w:val="00C02F1D"/>
    <w:rsid w:val="00C36325"/>
    <w:rsid w:val="00C45218"/>
    <w:rsid w:val="00C458C5"/>
    <w:rsid w:val="00C46B8F"/>
    <w:rsid w:val="00C53A46"/>
    <w:rsid w:val="00C73C52"/>
    <w:rsid w:val="00C93CD3"/>
    <w:rsid w:val="00CA2F6B"/>
    <w:rsid w:val="00CE53AC"/>
    <w:rsid w:val="00D4459B"/>
    <w:rsid w:val="00D558F1"/>
    <w:rsid w:val="00D642AC"/>
    <w:rsid w:val="00D805C4"/>
    <w:rsid w:val="00DB771C"/>
    <w:rsid w:val="00DD5FAB"/>
    <w:rsid w:val="00E1445E"/>
    <w:rsid w:val="00E20120"/>
    <w:rsid w:val="00E36275"/>
    <w:rsid w:val="00E37E03"/>
    <w:rsid w:val="00E82B9F"/>
    <w:rsid w:val="00E920C7"/>
    <w:rsid w:val="00E941E7"/>
    <w:rsid w:val="00EF475F"/>
    <w:rsid w:val="00F324C4"/>
    <w:rsid w:val="00F77D36"/>
    <w:rsid w:val="00F8707D"/>
    <w:rsid w:val="00FA32FB"/>
    <w:rsid w:val="00FB476C"/>
    <w:rsid w:val="00FC4BCA"/>
    <w:rsid w:val="00FE3F94"/>
    <w:rsid w:val="00FF2D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0E72"/>
  <w15:chartTrackingRefBased/>
  <w15:docId w15:val="{73D8B7F8-1374-46E8-995B-DE5697ED1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3F4CD0"/>
    <w:rPr>
      <w:color w:val="0563C1" w:themeColor="hyperlink"/>
      <w:u w:val="single"/>
    </w:rPr>
  </w:style>
  <w:style w:type="character" w:styleId="MenoPendente">
    <w:name w:val="Unresolved Mention"/>
    <w:basedOn w:val="Fontepargpadro"/>
    <w:uiPriority w:val="99"/>
    <w:semiHidden/>
    <w:unhideWhenUsed/>
    <w:rsid w:val="003F4CD0"/>
    <w:rPr>
      <w:color w:val="605E5C"/>
      <w:shd w:val="clear" w:color="auto" w:fill="E1DFDD"/>
    </w:rPr>
  </w:style>
  <w:style w:type="table" w:styleId="Tabelacomgrade">
    <w:name w:val="Table Grid"/>
    <w:basedOn w:val="Tabelanormal"/>
    <w:uiPriority w:val="39"/>
    <w:rsid w:val="003F4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98080">
      <w:bodyDiv w:val="1"/>
      <w:marLeft w:val="0"/>
      <w:marRight w:val="0"/>
      <w:marTop w:val="0"/>
      <w:marBottom w:val="0"/>
      <w:divBdr>
        <w:top w:val="none" w:sz="0" w:space="0" w:color="auto"/>
        <w:left w:val="none" w:sz="0" w:space="0" w:color="auto"/>
        <w:bottom w:val="none" w:sz="0" w:space="0" w:color="auto"/>
        <w:right w:val="none" w:sz="0" w:space="0" w:color="auto"/>
      </w:divBdr>
    </w:div>
    <w:div w:id="160464605">
      <w:bodyDiv w:val="1"/>
      <w:marLeft w:val="0"/>
      <w:marRight w:val="0"/>
      <w:marTop w:val="0"/>
      <w:marBottom w:val="0"/>
      <w:divBdr>
        <w:top w:val="none" w:sz="0" w:space="0" w:color="auto"/>
        <w:left w:val="none" w:sz="0" w:space="0" w:color="auto"/>
        <w:bottom w:val="none" w:sz="0" w:space="0" w:color="auto"/>
        <w:right w:val="none" w:sz="0" w:space="0" w:color="auto"/>
      </w:divBdr>
    </w:div>
    <w:div w:id="200241617">
      <w:bodyDiv w:val="1"/>
      <w:marLeft w:val="0"/>
      <w:marRight w:val="0"/>
      <w:marTop w:val="0"/>
      <w:marBottom w:val="0"/>
      <w:divBdr>
        <w:top w:val="none" w:sz="0" w:space="0" w:color="auto"/>
        <w:left w:val="none" w:sz="0" w:space="0" w:color="auto"/>
        <w:bottom w:val="none" w:sz="0" w:space="0" w:color="auto"/>
        <w:right w:val="none" w:sz="0" w:space="0" w:color="auto"/>
      </w:divBdr>
    </w:div>
    <w:div w:id="217397076">
      <w:bodyDiv w:val="1"/>
      <w:marLeft w:val="0"/>
      <w:marRight w:val="0"/>
      <w:marTop w:val="0"/>
      <w:marBottom w:val="0"/>
      <w:divBdr>
        <w:top w:val="none" w:sz="0" w:space="0" w:color="auto"/>
        <w:left w:val="none" w:sz="0" w:space="0" w:color="auto"/>
        <w:bottom w:val="none" w:sz="0" w:space="0" w:color="auto"/>
        <w:right w:val="none" w:sz="0" w:space="0" w:color="auto"/>
      </w:divBdr>
    </w:div>
    <w:div w:id="654603094">
      <w:bodyDiv w:val="1"/>
      <w:marLeft w:val="0"/>
      <w:marRight w:val="0"/>
      <w:marTop w:val="0"/>
      <w:marBottom w:val="0"/>
      <w:divBdr>
        <w:top w:val="none" w:sz="0" w:space="0" w:color="auto"/>
        <w:left w:val="none" w:sz="0" w:space="0" w:color="auto"/>
        <w:bottom w:val="none" w:sz="0" w:space="0" w:color="auto"/>
        <w:right w:val="none" w:sz="0" w:space="0" w:color="auto"/>
      </w:divBdr>
    </w:div>
    <w:div w:id="803935830">
      <w:bodyDiv w:val="1"/>
      <w:marLeft w:val="0"/>
      <w:marRight w:val="0"/>
      <w:marTop w:val="0"/>
      <w:marBottom w:val="0"/>
      <w:divBdr>
        <w:top w:val="none" w:sz="0" w:space="0" w:color="auto"/>
        <w:left w:val="none" w:sz="0" w:space="0" w:color="auto"/>
        <w:bottom w:val="none" w:sz="0" w:space="0" w:color="auto"/>
        <w:right w:val="none" w:sz="0" w:space="0" w:color="auto"/>
      </w:divBdr>
    </w:div>
    <w:div w:id="910694566">
      <w:bodyDiv w:val="1"/>
      <w:marLeft w:val="0"/>
      <w:marRight w:val="0"/>
      <w:marTop w:val="0"/>
      <w:marBottom w:val="0"/>
      <w:divBdr>
        <w:top w:val="none" w:sz="0" w:space="0" w:color="auto"/>
        <w:left w:val="none" w:sz="0" w:space="0" w:color="auto"/>
        <w:bottom w:val="none" w:sz="0" w:space="0" w:color="auto"/>
        <w:right w:val="none" w:sz="0" w:space="0" w:color="auto"/>
      </w:divBdr>
    </w:div>
    <w:div w:id="1149830861">
      <w:bodyDiv w:val="1"/>
      <w:marLeft w:val="0"/>
      <w:marRight w:val="0"/>
      <w:marTop w:val="0"/>
      <w:marBottom w:val="0"/>
      <w:divBdr>
        <w:top w:val="none" w:sz="0" w:space="0" w:color="auto"/>
        <w:left w:val="none" w:sz="0" w:space="0" w:color="auto"/>
        <w:bottom w:val="none" w:sz="0" w:space="0" w:color="auto"/>
        <w:right w:val="none" w:sz="0" w:space="0" w:color="auto"/>
      </w:divBdr>
    </w:div>
    <w:div w:id="1238397284">
      <w:bodyDiv w:val="1"/>
      <w:marLeft w:val="0"/>
      <w:marRight w:val="0"/>
      <w:marTop w:val="0"/>
      <w:marBottom w:val="0"/>
      <w:divBdr>
        <w:top w:val="none" w:sz="0" w:space="0" w:color="auto"/>
        <w:left w:val="none" w:sz="0" w:space="0" w:color="auto"/>
        <w:bottom w:val="none" w:sz="0" w:space="0" w:color="auto"/>
        <w:right w:val="none" w:sz="0" w:space="0" w:color="auto"/>
      </w:divBdr>
    </w:div>
    <w:div w:id="1887327261">
      <w:bodyDiv w:val="1"/>
      <w:marLeft w:val="0"/>
      <w:marRight w:val="0"/>
      <w:marTop w:val="0"/>
      <w:marBottom w:val="0"/>
      <w:divBdr>
        <w:top w:val="none" w:sz="0" w:space="0" w:color="auto"/>
        <w:left w:val="none" w:sz="0" w:space="0" w:color="auto"/>
        <w:bottom w:val="none" w:sz="0" w:space="0" w:color="auto"/>
        <w:right w:val="none" w:sz="0" w:space="0" w:color="auto"/>
      </w:divBdr>
    </w:div>
    <w:div w:id="202755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tos.cnj.jus.br/atos/detalhar/5705" TargetMode="External"/><Relationship Id="rId21" Type="http://schemas.openxmlformats.org/officeDocument/2006/relationships/hyperlink" Target="https://atos.cnj.jus.br/atos/detalhar/5705" TargetMode="External"/><Relationship Id="rId42" Type="http://schemas.openxmlformats.org/officeDocument/2006/relationships/hyperlink" Target="https://atos.cnj.jus.br/atos/detalhar/5705" TargetMode="External"/><Relationship Id="rId47" Type="http://schemas.openxmlformats.org/officeDocument/2006/relationships/hyperlink" Target="https://atos.cnj.jus.br/atos/detalhar/5705" TargetMode="External"/><Relationship Id="rId63" Type="http://schemas.openxmlformats.org/officeDocument/2006/relationships/hyperlink" Target="https://atos.cnj.jus.br/atos/detalhar/5705" TargetMode="External"/><Relationship Id="rId68" Type="http://schemas.openxmlformats.org/officeDocument/2006/relationships/hyperlink" Target="https://atos.cnj.jus.br/atos/detalhar/5705" TargetMode="External"/><Relationship Id="rId2" Type="http://schemas.openxmlformats.org/officeDocument/2006/relationships/settings" Target="settings.xml"/><Relationship Id="rId16" Type="http://schemas.openxmlformats.org/officeDocument/2006/relationships/hyperlink" Target="https://atos.cnj.jus.br/atos/detalhar/4503" TargetMode="External"/><Relationship Id="rId29" Type="http://schemas.openxmlformats.org/officeDocument/2006/relationships/hyperlink" Target="https://atos.cnj.jus.br/atos/detalhar/5705" TargetMode="External"/><Relationship Id="rId11" Type="http://schemas.openxmlformats.org/officeDocument/2006/relationships/hyperlink" Target="https://atos.cnj.jus.br/atos/detalhar/3366" TargetMode="External"/><Relationship Id="rId24" Type="http://schemas.openxmlformats.org/officeDocument/2006/relationships/hyperlink" Target="https://atos.cnj.jus.br/atos/detalhar/5705" TargetMode="External"/><Relationship Id="rId32" Type="http://schemas.openxmlformats.org/officeDocument/2006/relationships/hyperlink" Target="https://atos.cnj.jus.br/atos/detalhar/5705" TargetMode="External"/><Relationship Id="rId37" Type="http://schemas.openxmlformats.org/officeDocument/2006/relationships/hyperlink" Target="https://atos.cnj.jus.br/atos/detalhar/5705" TargetMode="External"/><Relationship Id="rId40" Type="http://schemas.openxmlformats.org/officeDocument/2006/relationships/hyperlink" Target="https://atos.cnj.jus.br/atos/detalhar/5705" TargetMode="External"/><Relationship Id="rId45" Type="http://schemas.openxmlformats.org/officeDocument/2006/relationships/hyperlink" Target="https://atos.cnj.jus.br/atos/detalhar/5705" TargetMode="External"/><Relationship Id="rId53" Type="http://schemas.openxmlformats.org/officeDocument/2006/relationships/hyperlink" Target="https://atos.cnj.jus.br/atos/detalhar/5705" TargetMode="External"/><Relationship Id="rId58" Type="http://schemas.openxmlformats.org/officeDocument/2006/relationships/hyperlink" Target="https://atos.cnj.jus.br/atos/detalhar/5705" TargetMode="External"/><Relationship Id="rId66" Type="http://schemas.openxmlformats.org/officeDocument/2006/relationships/hyperlink" Target="https://atos.cnj.jus.br/atos/detalhar/5705" TargetMode="External"/><Relationship Id="rId5" Type="http://schemas.openxmlformats.org/officeDocument/2006/relationships/hyperlink" Target="https://atos.cnj.jus.br/atos/detalhar/5705" TargetMode="External"/><Relationship Id="rId61" Type="http://schemas.openxmlformats.org/officeDocument/2006/relationships/hyperlink" Target="https://atos.cnj.jus.br/atos/detalhar/5705" TargetMode="External"/><Relationship Id="rId19" Type="http://schemas.openxmlformats.org/officeDocument/2006/relationships/hyperlink" Target="https://atos.cnj.jus.br/atos/detalhar/5705" TargetMode="External"/><Relationship Id="rId14" Type="http://schemas.openxmlformats.org/officeDocument/2006/relationships/hyperlink" Target="https://atos.cnj.jus.br/atos/detalhar/4503" TargetMode="External"/><Relationship Id="rId22" Type="http://schemas.openxmlformats.org/officeDocument/2006/relationships/hyperlink" Target="https://atos.cnj.jus.br/atos/detalhar/5705" TargetMode="External"/><Relationship Id="rId27" Type="http://schemas.openxmlformats.org/officeDocument/2006/relationships/hyperlink" Target="https://atos.cnj.jus.br/atos/detalhar/atos-normativos?documento=1855" TargetMode="External"/><Relationship Id="rId30" Type="http://schemas.openxmlformats.org/officeDocument/2006/relationships/hyperlink" Target="https://atos.cnj.jus.br/atos/detalhar/5705" TargetMode="External"/><Relationship Id="rId35" Type="http://schemas.openxmlformats.org/officeDocument/2006/relationships/hyperlink" Target="https://atos.cnj.jus.br/atos/detalhar/5705" TargetMode="External"/><Relationship Id="rId43" Type="http://schemas.openxmlformats.org/officeDocument/2006/relationships/hyperlink" Target="https://atos.cnj.jus.br/atos/detalhar/5705" TargetMode="External"/><Relationship Id="rId48" Type="http://schemas.openxmlformats.org/officeDocument/2006/relationships/hyperlink" Target="https://atos.cnj.jus.br/atos/detalhar/5705" TargetMode="External"/><Relationship Id="rId56" Type="http://schemas.openxmlformats.org/officeDocument/2006/relationships/hyperlink" Target="https://atos.cnj.jus.br/atos/detalhar/5705" TargetMode="External"/><Relationship Id="rId64" Type="http://schemas.openxmlformats.org/officeDocument/2006/relationships/hyperlink" Target="https://atos.cnj.jus.br/atos/detalhar/atos-normativos?documento=170" TargetMode="External"/><Relationship Id="rId69" Type="http://schemas.openxmlformats.org/officeDocument/2006/relationships/hyperlink" Target="https://atos.cnj.jus.br/atos/detalhar/5705" TargetMode="External"/><Relationship Id="rId8" Type="http://schemas.openxmlformats.org/officeDocument/2006/relationships/hyperlink" Target="https://atos.cnj.jus.br/atos/detalhar/5705" TargetMode="External"/><Relationship Id="rId51" Type="http://schemas.openxmlformats.org/officeDocument/2006/relationships/hyperlink" Target="https://atos.cnj.jus.br/atos/detalhar/5705" TargetMode="External"/><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www.planalto.gov.br/ccivil_03/leis/L5869compilada.htm" TargetMode="External"/><Relationship Id="rId17" Type="http://schemas.openxmlformats.org/officeDocument/2006/relationships/hyperlink" Target="https://atos.cnj.jus.br/atos/detalhar/5705" TargetMode="External"/><Relationship Id="rId25" Type="http://schemas.openxmlformats.org/officeDocument/2006/relationships/hyperlink" Target="https://atos.cnj.jus.br/atos/detalhar/5705" TargetMode="External"/><Relationship Id="rId33" Type="http://schemas.openxmlformats.org/officeDocument/2006/relationships/hyperlink" Target="https://atos.cnj.jus.br/atos/detalhar/5705" TargetMode="External"/><Relationship Id="rId38" Type="http://schemas.openxmlformats.org/officeDocument/2006/relationships/hyperlink" Target="https://atos.cnj.jus.br/atos/detalhar/5705" TargetMode="External"/><Relationship Id="rId46" Type="http://schemas.openxmlformats.org/officeDocument/2006/relationships/hyperlink" Target="https://atos.cnj.jus.br/atos/detalhar/5705" TargetMode="External"/><Relationship Id="rId59" Type="http://schemas.openxmlformats.org/officeDocument/2006/relationships/hyperlink" Target="https://atos.cnj.jus.br/atos/detalhar/5705" TargetMode="External"/><Relationship Id="rId67" Type="http://schemas.openxmlformats.org/officeDocument/2006/relationships/hyperlink" Target="https://atos.cnj.jus.br/atos/detalhar/5705" TargetMode="External"/><Relationship Id="rId20" Type="http://schemas.openxmlformats.org/officeDocument/2006/relationships/hyperlink" Target="https://atos.cnj.jus.br/atos/detalhar/5705" TargetMode="External"/><Relationship Id="rId41" Type="http://schemas.openxmlformats.org/officeDocument/2006/relationships/hyperlink" Target="http://www.planalto.gov.br/ccivil_03/leis/L6858.htm" TargetMode="External"/><Relationship Id="rId54" Type="http://schemas.openxmlformats.org/officeDocument/2006/relationships/hyperlink" Target="https://atos.cnj.jus.br/atos/detalhar/5705" TargetMode="External"/><Relationship Id="rId62" Type="http://schemas.openxmlformats.org/officeDocument/2006/relationships/hyperlink" Target="https://atos.cnj.jus.br/atos/detalhar/5705" TargetMode="External"/><Relationship Id="rId70" Type="http://schemas.openxmlformats.org/officeDocument/2006/relationships/hyperlink" Target="https://atos.cnj.jus.br/atos/detalhar/5705" TargetMode="External"/><Relationship Id="rId1" Type="http://schemas.openxmlformats.org/officeDocument/2006/relationships/styles" Target="styles.xml"/><Relationship Id="rId6" Type="http://schemas.openxmlformats.org/officeDocument/2006/relationships/hyperlink" Target="https://atos.cnj.jus.br/atos/detalhar/5705" TargetMode="External"/><Relationship Id="rId15" Type="http://schemas.openxmlformats.org/officeDocument/2006/relationships/hyperlink" Target="https://atos.cnj.jus.br/atos/detalhar/5705" TargetMode="External"/><Relationship Id="rId23" Type="http://schemas.openxmlformats.org/officeDocument/2006/relationships/hyperlink" Target="https://atos.cnj.jus.br/atos/detalhar/5705" TargetMode="External"/><Relationship Id="rId28" Type="http://schemas.openxmlformats.org/officeDocument/2006/relationships/hyperlink" Target="https://atos.cnj.jus.br/atos/detalhar/5705" TargetMode="External"/><Relationship Id="rId36" Type="http://schemas.openxmlformats.org/officeDocument/2006/relationships/hyperlink" Target="https://atos.cnj.jus.br/atos/detalhar/5705" TargetMode="External"/><Relationship Id="rId49" Type="http://schemas.openxmlformats.org/officeDocument/2006/relationships/hyperlink" Target="https://atos.cnj.jus.br/atos/detalhar/5705" TargetMode="External"/><Relationship Id="rId57" Type="http://schemas.openxmlformats.org/officeDocument/2006/relationships/hyperlink" Target="https://atos.cnj.jus.br/atos/detalhar/5705" TargetMode="External"/><Relationship Id="rId10" Type="http://schemas.openxmlformats.org/officeDocument/2006/relationships/hyperlink" Target="https://atos.cnj.jus.br/atos/detalhar/3366" TargetMode="External"/><Relationship Id="rId31" Type="http://schemas.openxmlformats.org/officeDocument/2006/relationships/hyperlink" Target="https://atos.cnj.jus.br/atos/detalhar/5705" TargetMode="External"/><Relationship Id="rId44" Type="http://schemas.openxmlformats.org/officeDocument/2006/relationships/hyperlink" Target="https://atos.cnj.jus.br/atos/detalhar/5705" TargetMode="External"/><Relationship Id="rId52" Type="http://schemas.openxmlformats.org/officeDocument/2006/relationships/hyperlink" Target="https://atos.cnj.jus.br/atos/detalhar/5705" TargetMode="External"/><Relationship Id="rId60" Type="http://schemas.openxmlformats.org/officeDocument/2006/relationships/hyperlink" Target="https://atos.cnj.jus.br/atos/detalhar/5705" TargetMode="External"/><Relationship Id="rId65" Type="http://schemas.openxmlformats.org/officeDocument/2006/relationships/hyperlink" Target="https://atos.cnj.jus.br/atos/detalhar/5705" TargetMode="External"/><Relationship Id="rId73" Type="http://schemas.openxmlformats.org/officeDocument/2006/relationships/theme" Target="theme/theme1.xml"/><Relationship Id="rId4" Type="http://schemas.openxmlformats.org/officeDocument/2006/relationships/hyperlink" Target="https://atos.cnj.jus.br/atos/detalhar/5705" TargetMode="External"/><Relationship Id="rId9" Type="http://schemas.openxmlformats.org/officeDocument/2006/relationships/hyperlink" Target="https://atos.cnj.jus.br/atos/detalhar/3366" TargetMode="External"/><Relationship Id="rId13" Type="http://schemas.openxmlformats.org/officeDocument/2006/relationships/hyperlink" Target="https://atos.cnj.jus.br/atos/detalhar/3366" TargetMode="External"/><Relationship Id="rId18" Type="http://schemas.openxmlformats.org/officeDocument/2006/relationships/hyperlink" Target="https://atos.cnj.jus.br/atos/detalhar/5705" TargetMode="External"/><Relationship Id="rId39" Type="http://schemas.openxmlformats.org/officeDocument/2006/relationships/hyperlink" Target="https://atos.cnj.jus.br/atos/detalhar/5705" TargetMode="External"/><Relationship Id="rId34" Type="http://schemas.openxmlformats.org/officeDocument/2006/relationships/hyperlink" Target="https://atos.cnj.jus.br/atos/detalhar/5705" TargetMode="External"/><Relationship Id="rId50" Type="http://schemas.openxmlformats.org/officeDocument/2006/relationships/hyperlink" Target="https://atos.cnj.jus.br/atos/detalhar/5705" TargetMode="External"/><Relationship Id="rId55" Type="http://schemas.openxmlformats.org/officeDocument/2006/relationships/hyperlink" Target="https://atos.cnj.jus.br/atos/detalhar/5705" TargetMode="External"/><Relationship Id="rId7" Type="http://schemas.openxmlformats.org/officeDocument/2006/relationships/hyperlink" Target="http://www.planalto.gov.br/ccivil_03/leis/l10169.htm" TargetMode="External"/><Relationship Id="rId71" Type="http://schemas.openxmlformats.org/officeDocument/2006/relationships/hyperlink" Target="https://atos.cnj.jus.br/atos/detalhar/atos-normativos?documento=17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5189</Words>
  <Characters>28023</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40</cp:revision>
  <dcterms:created xsi:type="dcterms:W3CDTF">2021-04-25T15:59:00Z</dcterms:created>
  <dcterms:modified xsi:type="dcterms:W3CDTF">2025-01-15T16:14:00Z</dcterms:modified>
</cp:coreProperties>
</file>