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93731" w14:textId="56DA5336" w:rsidR="00BB7FE6" w:rsidRPr="00925536" w:rsidRDefault="00925536" w:rsidP="0092553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25536">
        <w:rPr>
          <w:rFonts w:ascii="Book Antiqua" w:hAnsi="Book Antiqua"/>
          <w:b/>
          <w:bCs/>
          <w:sz w:val="19"/>
          <w:szCs w:val="19"/>
        </w:rPr>
        <w:t>Resolução Nº 372 de 12/02/2021</w:t>
      </w:r>
    </w:p>
    <w:p w14:paraId="5B755030" w14:textId="5CA38028" w:rsidR="00925536" w:rsidRPr="00925536" w:rsidRDefault="00925536" w:rsidP="00925536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Regulamenta a criação de plataforma de videoconferência denominada “Balcão Virtual.”</w:t>
      </w:r>
    </w:p>
    <w:p w14:paraId="28BC30E0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O PRESIDENTE DO CONSELHO NACIONAL DE JUSTIÇA (CNJ), no uso de suas atribuições legais e regimentais;</w:t>
      </w:r>
    </w:p>
    <w:p w14:paraId="7C8EFCC8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cabe ao Poder Judiciário implementar mecanismos que concretizem o princípio constitucional de amplo acesso à Justiça (art. 5º, XXXV, da Constituição Federal);</w:t>
      </w:r>
    </w:p>
    <w:p w14:paraId="00B92E1D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as diretrizes da Lei nº 11.419/2006, que dispõe sobre a informatização do processo judicial e dá outras providências;</w:t>
      </w:r>
    </w:p>
    <w:p w14:paraId="475095C7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o art. 18 da Lei nº 11.419/2006 autoriza os órgãos do Poder Judiciário a regulamentarem a informatização do processo judicial;</w:t>
      </w:r>
    </w:p>
    <w:p w14:paraId="2360E9DB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a tramitação de processos em meio eletrônico promove o aumento da celeridade e da eficiência da prestação jurisdicional;</w:t>
      </w:r>
    </w:p>
    <w:p w14:paraId="72A4DF13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o CNJ detém atribuição para regulamentar a prática de atos processuais por meio eletrônico, nos termos do que dispõe o art. 196 do Código de Processo Civil;</w:t>
      </w:r>
    </w:p>
    <w:p w14:paraId="2B1D34A7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os tribunais devem manter soluções de videoconferência para atender ao disposto nas Resoluções CNJ nº 341/2020 e nº 354/2020;</w:t>
      </w:r>
    </w:p>
    <w:p w14:paraId="0FBC39C7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as atribuições do CNJ previstas no art. 103-B, § 4º, da Constituição da República, especialmente no que concerne ao controle da atuação administrativa e financeira e à coordenação do planejamento estratégico do Poder Judiciário, inclusive na área de tecnologia da informação;</w:t>
      </w:r>
    </w:p>
    <w:p w14:paraId="6AFB31B7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as mudanças introduzidas nas relações e nos processos de trabalho em virtude do fenômeno da transformação digital;</w:t>
      </w:r>
    </w:p>
    <w:p w14:paraId="2461CD96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os artigos 4º e 6º da Resolução CNJ nº 345/2020 preveem que os tribunais regulamentarão o atendimento eletrônico durante o horário fixado para atendimento ao público pelos servidores e magistrados lotados no “Juízo 100% Digital”;</w:t>
      </w:r>
    </w:p>
    <w:p w14:paraId="754CB4BF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os termos das Resoluções CNJ nos 313/2020, 314/2020, 318/2020 e 322/2020, que mantêm, preferencialmente, o atendimento virtual, adotando-se o atendimento presencial apenas quando estritamente necessário;</w:t>
      </w:r>
    </w:p>
    <w:p w14:paraId="76AA4752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a necessidade de manutenção de um canal permanente de comunicação entre os jurisdicionados e as secretarias e serventias judiciais durante o horário de atendimento ao público;</w:t>
      </w:r>
    </w:p>
    <w:p w14:paraId="6608AF61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que a tecnologia permite simular em ambiente virtual o atendimento presencial prestado nas unidades jurisdicionais;</w:t>
      </w:r>
    </w:p>
    <w:p w14:paraId="5DC619F3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a exitosa experiência do Tribunal Regional do Trabalho da 14ª Região;</w:t>
      </w:r>
    </w:p>
    <w:p w14:paraId="088CEEDA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a necessidade de redução dos custos indiretos decorrentes do ajuizamento da demanda (custos de transação), o que poderá se dar por meio da diminuição do deslocamento físico das partes e dos advogados para as dependências do fórum;</w:t>
      </w:r>
    </w:p>
    <w:p w14:paraId="01A3B70D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CONSIDERANDO o deliberado pelo Plenário do CNJ no procedimento Ato nº 0000092-70.2021.2.00.0000, na 324ª Sessão Ordinária, realizada em 9 de fevereiro de 2021;</w:t>
      </w:r>
    </w:p>
    <w:p w14:paraId="72F470FA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lastRenderedPageBreak/>
        <w:t>R</w:t>
      </w:r>
      <w:r w:rsidRPr="00925536">
        <w:rPr>
          <w:rFonts w:ascii="Book Antiqua" w:hAnsi="Book Antiqua"/>
          <w:sz w:val="19"/>
          <w:szCs w:val="19"/>
        </w:rPr>
        <w:t>ESOLVE:</w:t>
      </w:r>
    </w:p>
    <w:p w14:paraId="44711A5D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1o Os tribunais e os conselhos, à exceção do Supremo Tribunal Federal, deverão disponibilizar, em seu sítio eletrônico, ferramenta de videoconferência que permita imediato contato com o setor de atendimento de cada unidade judiciária, popularmente denominado como balcão, durante o horário de atendimento ao público. (redação dada pela Resolução n. 473, de 9.9.2022)</w:t>
      </w:r>
    </w:p>
    <w:p w14:paraId="7F9FAC00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Parágrafo único. Essa plataforma de videoconferência será doravante denominada “Balcão Virtual”.</w:t>
      </w:r>
    </w:p>
    <w:p w14:paraId="220F792A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2o O tribunal ou o conselho poderá utilizar qualquer ferramenta tecnológica que se mostre adequada para o atendimento virtual, ainda que diversa da solução empregada para a realização das audiências, sessões de julgamento ou, ainda, para a prática dos demais atos judiciais. (redação dada pela Resolução n. 473, de 9.9.2022)</w:t>
      </w:r>
    </w:p>
    <w:p w14:paraId="775BE3B3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§ 1o O tribunal ou o conselho poderá, em unidades judiciárias localizadas em regiões do interior onde a deficiência de infraestrutura tecnológica for notória e inviabilizar o atendimento por videoconferência, prever o uso de ferramenta de comunicação assíncrona para o atendimento por meio do Balcão Virtual, hipótese em que a resposta ao solicitante deverá ocorrer em prazo razoável. (redação dada pela Resolução n. 473, de 9.9.2022)</w:t>
      </w:r>
    </w:p>
    <w:p w14:paraId="72D7E3FA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§ 2º O CNJ, por meio do Departamento de Tecnologia da Informação e Comunicação, poderá indicar, mediante requerimento dos tribunais interessados, solução de uso público e gratuito disponível, bem como manual de instalação e de utilização.</w:t>
      </w:r>
    </w:p>
    <w:p w14:paraId="703870AB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3º O Balcão Virtual deverá funcionar durante todo o horário de atendimento ao público, de forma similar à do balcão de atendimento presencial.</w:t>
      </w:r>
    </w:p>
    <w:p w14:paraId="715C2FF9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4º O servidor designado para atuar no Balcão Virtual prestará o primeiro atendimento aos advogados e às partes, podendo convocar outros servidores da unidade ou realizar agendamento, pelos meios eletrônicos disponíveis, para complementação do atendimento solicitado.</w:t>
      </w:r>
    </w:p>
    <w:p w14:paraId="053CABC8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Parágrafo único. O Balcão Virtual não substitui o sistema de peticionamento dos sistemas de processo eletrônico adotados pelos tribunais, sendo vedado o seu uso para o protocolo de petições, assim como não é aplicável aos gabinetes dos magistrados.</w:t>
      </w:r>
    </w:p>
    <w:p w14:paraId="2B5902C8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5o O link de acesso ao Balcão Virtual da unidade deverá ser publicado no sítio eletrônico dos tribunais ou dos conselhos, preferencialmente junto aos telefones e endereços eletrônicos de cada unidade judiciária, com a expressa menção de que o atendimento por aquela via se dará apenas durante o horário de atendimento ao público estipulado por cada tribunal ou conselho. (redação dada pela Resolução n. 473, de 9.9.2022)</w:t>
      </w:r>
    </w:p>
    <w:p w14:paraId="508C498C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6o Os Balcões Virtuais deverão ser regulamentados e instalados no prazo de trinta dias a contar da entrada em vigor desta Resolução, com a devida disponibilização dos links de acesso no sítio do tribunal ou do conselho e comunicação ao Conselho Nacional de Justiça. (redação dada pela Resolução n. 473, de 9.9.2022)</w:t>
      </w:r>
    </w:p>
    <w:p w14:paraId="61C5AE36" w14:textId="77777777" w:rsid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6-A Para o cumprimento desta Resolução, a Justiça Eleitoral deverá disponibilizar a plataforma de videoconferência Balcão Virtual para atendimento virtual relativo aos feitos de caráter jurisdicional, sendo facultativa sua utilização para o atendimento de matéria administrativa. (incluído pela Resolução n. 403, de 29.6.2021)</w:t>
      </w:r>
    </w:p>
    <w:p w14:paraId="1915E3AD" w14:textId="43139847" w:rsidR="00925536" w:rsidRPr="00925536" w:rsidRDefault="00925536" w:rsidP="0092553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Art. 7º Esta Resolução entra em vigor na data de sua publicação.</w:t>
      </w:r>
    </w:p>
    <w:p w14:paraId="2B66E10C" w14:textId="77777777" w:rsidR="00925536" w:rsidRDefault="00925536" w:rsidP="0092553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</w:p>
    <w:p w14:paraId="46B361E5" w14:textId="3E71B62E" w:rsidR="00925536" w:rsidRPr="00925536" w:rsidRDefault="00925536" w:rsidP="0092553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925536">
        <w:rPr>
          <w:rFonts w:ascii="Book Antiqua" w:hAnsi="Book Antiqua"/>
          <w:sz w:val="19"/>
          <w:szCs w:val="19"/>
        </w:rPr>
        <w:t>Ministro LUIZ FUX</w:t>
      </w:r>
    </w:p>
    <w:sectPr w:rsidR="00925536" w:rsidRPr="00925536" w:rsidSect="00925536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A7"/>
    <w:rsid w:val="007615A7"/>
    <w:rsid w:val="00925536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34EF"/>
  <w15:chartTrackingRefBased/>
  <w15:docId w15:val="{42A65F86-5798-4F32-9581-50A6D8BA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2023-11-14T16:14:00Z</dcterms:created>
  <dcterms:modified xsi:type="dcterms:W3CDTF">2023-11-14T16:26:00Z</dcterms:modified>
</cp:coreProperties>
</file>