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4E1A2" w14:textId="3520019B" w:rsidR="00BB7FE6" w:rsidRPr="002F4E37" w:rsidRDefault="002F4E37" w:rsidP="002F4E3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F4E37">
        <w:rPr>
          <w:rFonts w:ascii="Book Antiqua" w:hAnsi="Book Antiqua"/>
          <w:b/>
          <w:bCs/>
          <w:sz w:val="19"/>
          <w:szCs w:val="19"/>
        </w:rPr>
        <w:t>Resolução Nº 412 de 23/08/2021</w:t>
      </w:r>
    </w:p>
    <w:p w14:paraId="4E2B0ECA" w14:textId="6F756E06" w:rsidR="002F4E37" w:rsidRPr="002F4E37" w:rsidRDefault="002F4E37" w:rsidP="002F4E37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Estabelece diretrizes e procedimentos para a aplicação e o acompanhamento da medida de monitoramento eletrônico de pessoas.</w:t>
      </w:r>
    </w:p>
    <w:p w14:paraId="2F2358F8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O PRESIDENTE DO CONSELHO NACIONAL DE JUSTIÇA, no uso de suas atribuições legais e regimentais,</w:t>
      </w:r>
    </w:p>
    <w:p w14:paraId="28D8193A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CONSIDERANDO a Convenção Americana sobre Direitos Humanos, especialmente seus dispositivos que garantem o direito à integridade pessoal, bem como à individualização da pena, com foco na readaptação social, vedando tratamentos cruéis, desumanos ou degradantes (</w:t>
      </w:r>
      <w:proofErr w:type="spellStart"/>
      <w:r w:rsidRPr="002F4E37">
        <w:rPr>
          <w:rFonts w:ascii="Book Antiqua" w:hAnsi="Book Antiqua"/>
          <w:sz w:val="19"/>
          <w:szCs w:val="19"/>
        </w:rPr>
        <w:t>arts</w:t>
      </w:r>
      <w:proofErr w:type="spellEnd"/>
      <w:r w:rsidRPr="002F4E37">
        <w:rPr>
          <w:rFonts w:ascii="Book Antiqua" w:hAnsi="Book Antiqua"/>
          <w:sz w:val="19"/>
          <w:szCs w:val="19"/>
        </w:rPr>
        <w:t>. 4o e 5o);</w:t>
      </w:r>
    </w:p>
    <w:p w14:paraId="5350BF3C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CONSIDERANDO as Regras Mínimas das Nações Unidas para o Tratamento de Presos - “Regras de Nelson Mandela” -, as Regras das Nações Unidas para o Tratamento de Mulheres Presas e Medidas não Privativas de Liberdade para Mulheres Infratoras - “Regras de Bangkok” - e as Regras Mínimas Padrão das Nações Unidas para a Elaboração de Medidas Não Privativas de Liberdade - “Regras de Tóquio</w:t>
      </w:r>
      <w:proofErr w:type="gramStart"/>
      <w:r w:rsidRPr="002F4E37">
        <w:rPr>
          <w:rFonts w:ascii="Book Antiqua" w:hAnsi="Book Antiqua"/>
          <w:sz w:val="19"/>
          <w:szCs w:val="19"/>
        </w:rPr>
        <w:t>”;*</w:t>
      </w:r>
      <w:proofErr w:type="gramEnd"/>
    </w:p>
    <w:p w14:paraId="36E7B5EE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CONSIDERANDO os dispositivos do Decreto-Lei no 3.689/1941 - Código de Processo Penal -, e da Lei no 7.210/1984 - Lei de Execução Penal, que preveem o monitoramento eletrônico de pessoas, regulamentados pelo Decreto Federal no 7.627/2011;</w:t>
      </w:r>
    </w:p>
    <w:p w14:paraId="7C7142A9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CONSIDERANDO os dispositivos do Código de Processo Penal que dispõem sobre as medidas cautelares diversas da prisão, com redação conferida pela Lei no 13.964/2019;</w:t>
      </w:r>
    </w:p>
    <w:p w14:paraId="7B8159D8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CONSIDERANDO o reconhecimento, pelo Supremo Tribunal Federal, do estado de coisas inconstitucional do sistema prisional brasileiro (ADPF no 347); </w:t>
      </w:r>
    </w:p>
    <w:p w14:paraId="3F154551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CONSIDERANDO o verbete da Súmula Vinculante no 56 do Supremo Tribunal Federal, segundo o qual a falta de estabelecimento penal adequado não autoriza a manutenção do condenado em regime prisional mais gravoso, devendo-se observar os parâmetros fixados no acórdão do RE no 641.320/RS, cujo dispositivo fixou que, no caso de </w:t>
      </w:r>
      <w:proofErr w:type="spellStart"/>
      <w:r w:rsidRPr="002F4E37">
        <w:rPr>
          <w:rFonts w:ascii="Book Antiqua" w:hAnsi="Book Antiqua"/>
          <w:sz w:val="19"/>
          <w:szCs w:val="19"/>
        </w:rPr>
        <w:t>deficit</w:t>
      </w:r>
      <w:proofErr w:type="spellEnd"/>
      <w:r w:rsidRPr="002F4E37">
        <w:rPr>
          <w:rFonts w:ascii="Book Antiqua" w:hAnsi="Book Antiqua"/>
          <w:sz w:val="19"/>
          <w:szCs w:val="19"/>
        </w:rPr>
        <w:t xml:space="preserve"> de vagas, deverão ser determinados: (i) a saída antecipada de sentenciado do regime com falta de vagas; (</w:t>
      </w:r>
      <w:proofErr w:type="spellStart"/>
      <w:r w:rsidRPr="002F4E37">
        <w:rPr>
          <w:rFonts w:ascii="Book Antiqua" w:hAnsi="Book Antiqua"/>
          <w:sz w:val="19"/>
          <w:szCs w:val="19"/>
        </w:rPr>
        <w:t>ii</w:t>
      </w:r>
      <w:proofErr w:type="spellEnd"/>
      <w:r w:rsidRPr="002F4E37">
        <w:rPr>
          <w:rFonts w:ascii="Book Antiqua" w:hAnsi="Book Antiqua"/>
          <w:sz w:val="19"/>
          <w:szCs w:val="19"/>
        </w:rPr>
        <w:t>) a liberdade eletronicamente monitorada ao sentenciado que sai antecipadamente ou é posto em prisão domiciliar por falta de vagas; e (</w:t>
      </w:r>
      <w:proofErr w:type="spellStart"/>
      <w:r w:rsidRPr="002F4E37">
        <w:rPr>
          <w:rFonts w:ascii="Book Antiqua" w:hAnsi="Book Antiqua"/>
          <w:sz w:val="19"/>
          <w:szCs w:val="19"/>
        </w:rPr>
        <w:t>iii</w:t>
      </w:r>
      <w:proofErr w:type="spellEnd"/>
      <w:r w:rsidRPr="002F4E37">
        <w:rPr>
          <w:rFonts w:ascii="Book Antiqua" w:hAnsi="Book Antiqua"/>
          <w:sz w:val="19"/>
          <w:szCs w:val="19"/>
        </w:rPr>
        <w:t>) o cumprimento de penas restritivas de direito e/ou estudo ao sentenciado que progride ao regime aberto;</w:t>
      </w:r>
    </w:p>
    <w:p w14:paraId="06139BE3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CONSIDERANDO os relatórios produzidos pelo Subcomitê de Prevenção à Tortura e outros Tratamentos ou Penas Cruéis, Desumanos ou Degradantes da ONU (CAT/OP/BRA/R.1, 2011), pelo Grupo de Trabalho sobre Detenção Arbitrária da ONU (A/HRC/27/48/Add.3, 2014), assim como o relatório sobre medidas destinadas à redução do uso da prisão preventiva nas Américas, Comissão Interamericana de Direitos Humanos, da Organização dos Estados Americanos (2017);</w:t>
      </w:r>
    </w:p>
    <w:p w14:paraId="698FA62A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CONSIDERANDO a Recomendação Geral no 31 do Comitê das Nações Unidas para Eliminação da Discriminação Racial (2005), sobre a prevenção da discriminação racial na administração e no funcionamento do sistema de justiça penal;</w:t>
      </w:r>
    </w:p>
    <w:p w14:paraId="6E1038DB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CONSIDERANDO o disposto na Resolução CNJ no 213/2015, que dispõe sobre a apresentação de toda pessoa presa à autoridade judicial no prazo de 24 (vinte e quatro) horas, especialmente o Protocolo I, que estabelece diretrizes para a aplicação e o acompanhamento de medidas cautelares diversas da prisão, além de procedimentos para a atuação das Centrais de Monitoramento Eletrônico;</w:t>
      </w:r>
    </w:p>
    <w:p w14:paraId="0377D278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CONSIDERANDO a Resolução no 5/2017, do Conselho Nacional de Política Criminal e Penitenciária (CNPCP), que dispõe sobre a política de implantação de monitoramento eletrônico;</w:t>
      </w:r>
    </w:p>
    <w:p w14:paraId="5757A7DE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CONSIDERANDO os Diagnósticos de 2015 e de 2017 sobre a Política de Monitoração Eletrônica, bem como o Modelo de Gestão para a Política de Monitoração Eletrônica de Pessoas, de </w:t>
      </w:r>
      <w:r w:rsidRPr="002F4E37">
        <w:rPr>
          <w:rFonts w:ascii="Book Antiqua" w:hAnsi="Book Antiqua"/>
          <w:sz w:val="19"/>
          <w:szCs w:val="19"/>
        </w:rPr>
        <w:lastRenderedPageBreak/>
        <w:t>2017, publicados pelo Departamento Penitenciário Nacional (Depen), Ministério da Justiça e Segurança Pública;</w:t>
      </w:r>
    </w:p>
    <w:p w14:paraId="6B8294A5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CONSIDERANDO a deliberação do Plenário do CNJ, no Procedimento de Ato Normativo no 0006097-45.2020.2.00.0000, na 336ª Sessão Ordinária, realizada em 17 de agosto de 2021;</w:t>
      </w:r>
    </w:p>
    <w:p w14:paraId="3450521F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RESOLVE:</w:t>
      </w:r>
    </w:p>
    <w:p w14:paraId="6A561BE4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1o Estabelecer diretrizes e procedimentos para a aplicação e o acompanhamento da medida de monitoramento eletrônico de pessoas.</w:t>
      </w:r>
    </w:p>
    <w:p w14:paraId="2520E958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2o Entende-se por monitoramento eletrônico o conjunto de mecanismos de restrição da liberdade de pessoas sob medida cautelar ou condenadas por decisão transitada em julgado executados por meios técnicos que permitam indicar a sua localização.</w:t>
      </w:r>
    </w:p>
    <w:p w14:paraId="030F585C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Parágrafo único. A aplicação e a execução da medida de monitoramento eletrônico de pessoas nos âmbitos </w:t>
      </w:r>
      <w:proofErr w:type="spellStart"/>
      <w:r w:rsidRPr="002F4E37">
        <w:rPr>
          <w:rFonts w:ascii="Book Antiqua" w:hAnsi="Book Antiqua"/>
          <w:sz w:val="19"/>
          <w:szCs w:val="19"/>
        </w:rPr>
        <w:t>pré</w:t>
      </w:r>
      <w:proofErr w:type="spellEnd"/>
      <w:r w:rsidRPr="002F4E37">
        <w:rPr>
          <w:rFonts w:ascii="Book Antiqua" w:hAnsi="Book Antiqua"/>
          <w:sz w:val="19"/>
          <w:szCs w:val="19"/>
        </w:rPr>
        <w:t xml:space="preserve">-processual, do processo penal e da execução da pena, regem-se pelos princípios e métodos de acompanhamento previstos no Protocolo I da Resolução CNJ no 213/2015, na presente Resolução e no protocolo anexo a esta. </w:t>
      </w:r>
    </w:p>
    <w:p w14:paraId="074ED542" w14:textId="05D4E65A" w:rsidR="002F4E37" w:rsidRPr="000C73DD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C73DD">
        <w:rPr>
          <w:rFonts w:ascii="Book Antiqua" w:hAnsi="Book Antiqua"/>
          <w:b/>
          <w:bCs/>
          <w:sz w:val="19"/>
          <w:szCs w:val="19"/>
          <w:highlight w:val="magenta"/>
        </w:rPr>
        <w:t>Art. 3o</w:t>
      </w:r>
      <w:r w:rsidRPr="000C73DD">
        <w:rPr>
          <w:rFonts w:ascii="Book Antiqua" w:hAnsi="Book Antiqua"/>
          <w:b/>
          <w:bCs/>
          <w:sz w:val="19"/>
          <w:szCs w:val="19"/>
        </w:rPr>
        <w:t xml:space="preserve"> O monitoramento eletrônico poderá ser aplicado nas seguintes hipóteses:</w:t>
      </w:r>
      <w:r w:rsidR="000C73DD" w:rsidRPr="000C73DD">
        <w:rPr>
          <w:rFonts w:ascii="Book Antiqua" w:hAnsi="Book Antiqua"/>
          <w:b/>
          <w:bCs/>
          <w:sz w:val="19"/>
          <w:szCs w:val="19"/>
        </w:rPr>
        <w:t xml:space="preserve"> </w:t>
      </w:r>
      <w:r w:rsidR="000C73DD" w:rsidRPr="000C73D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(DPESP-2023)</w:t>
      </w:r>
    </w:p>
    <w:p w14:paraId="0CB5B035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F4E37">
        <w:rPr>
          <w:rFonts w:ascii="Book Antiqua" w:hAnsi="Book Antiqua"/>
          <w:sz w:val="19"/>
          <w:szCs w:val="19"/>
        </w:rPr>
        <w:t>medida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cautelar diversa da prisão;</w:t>
      </w:r>
    </w:p>
    <w:p w14:paraId="76831258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F4E37">
        <w:rPr>
          <w:rFonts w:ascii="Book Antiqua" w:hAnsi="Book Antiqua"/>
          <w:sz w:val="19"/>
          <w:szCs w:val="19"/>
        </w:rPr>
        <w:t>saída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temporária no regime semiaberto;</w:t>
      </w:r>
    </w:p>
    <w:p w14:paraId="5C1EAA3B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III – saída antecipada do estabelecimento penal, cumulada ou não com prisão domiciliar;</w:t>
      </w:r>
    </w:p>
    <w:p w14:paraId="771FC87C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F4E37">
        <w:rPr>
          <w:rFonts w:ascii="Book Antiqua" w:hAnsi="Book Antiqua"/>
          <w:sz w:val="19"/>
          <w:szCs w:val="19"/>
        </w:rPr>
        <w:t>prisão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domiciliar de caráter cautelar;</w:t>
      </w:r>
    </w:p>
    <w:p w14:paraId="7FA6131E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2F4E37">
        <w:rPr>
          <w:rFonts w:ascii="Book Antiqua" w:hAnsi="Book Antiqua"/>
          <w:sz w:val="19"/>
          <w:szCs w:val="19"/>
        </w:rPr>
        <w:t>prisão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domiciliar substitutiva do regime fechado, excepcionalmente, e do regime semiaberto; e</w:t>
      </w:r>
    </w:p>
    <w:p w14:paraId="032477C0" w14:textId="3CA8F894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C73DD">
        <w:rPr>
          <w:rFonts w:ascii="Book Antiqua" w:hAnsi="Book Antiqua"/>
          <w:b/>
          <w:bCs/>
          <w:sz w:val="19"/>
          <w:szCs w:val="19"/>
        </w:rPr>
        <w:t xml:space="preserve">VI – </w:t>
      </w:r>
      <w:proofErr w:type="gramStart"/>
      <w:r w:rsidRPr="000C73DD">
        <w:rPr>
          <w:rFonts w:ascii="Book Antiqua" w:hAnsi="Book Antiqua"/>
          <w:b/>
          <w:bCs/>
          <w:sz w:val="19"/>
          <w:szCs w:val="19"/>
        </w:rPr>
        <w:t>medida</w:t>
      </w:r>
      <w:proofErr w:type="gramEnd"/>
      <w:r w:rsidRPr="000C73DD">
        <w:rPr>
          <w:rFonts w:ascii="Book Antiqua" w:hAnsi="Book Antiqua"/>
          <w:b/>
          <w:bCs/>
          <w:sz w:val="19"/>
          <w:szCs w:val="19"/>
        </w:rPr>
        <w:t xml:space="preserve"> protetiva de urgência nos casos de violência doméstica e familiar.</w:t>
      </w:r>
      <w:r w:rsidR="000C73DD" w:rsidRPr="000C73DD">
        <w:rPr>
          <w:rFonts w:ascii="Book Antiqua" w:hAnsi="Book Antiqua"/>
          <w:b/>
          <w:bCs/>
          <w:sz w:val="19"/>
          <w:szCs w:val="19"/>
        </w:rPr>
        <w:t xml:space="preserve"> </w:t>
      </w:r>
      <w:r w:rsidR="000C73DD" w:rsidRPr="000C73D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(DPESP-2023</w:t>
      </w:r>
      <w:r w:rsidR="000C73D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BF21359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1o Sempre que as circunstâncias do caso permitirem, deverá ser priorizada a aplicação de medida menos gravosa do que o monitoramento eletrônico.</w:t>
      </w:r>
    </w:p>
    <w:p w14:paraId="1F990C31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2o A determinação da prisão domiciliar de natureza cautelar, nos casos de saída antecipada ou em substituição à privação de liberdade em estabelecimento penal, poderá ser cumulada com a medida de monitoramento eletrônico, mediante decisão fundamentada que indique a necessidade e adequação ao caso concreto, considerando o disposto no art. 9o.</w:t>
      </w:r>
    </w:p>
    <w:p w14:paraId="6C7C02F7" w14:textId="125F66D6" w:rsidR="002F4E37" w:rsidRPr="000C73DD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C73DD">
        <w:rPr>
          <w:rFonts w:ascii="Book Antiqua" w:hAnsi="Book Antiqua"/>
          <w:b/>
          <w:bCs/>
          <w:sz w:val="19"/>
          <w:szCs w:val="19"/>
          <w:highlight w:val="magenta"/>
        </w:rPr>
        <w:t>§ 3o</w:t>
      </w:r>
      <w:r w:rsidRPr="000C73DD">
        <w:rPr>
          <w:rFonts w:ascii="Book Antiqua" w:hAnsi="Book Antiqua"/>
          <w:b/>
          <w:bCs/>
          <w:sz w:val="19"/>
          <w:szCs w:val="19"/>
        </w:rPr>
        <w:t xml:space="preserve"> As hipóteses previstas no caput poderão ser adotadas como medida de controle de vagas em estabelecimentos penais que estejam acima de sua capacidade máxima, em situações excepcionais.</w:t>
      </w:r>
      <w:r w:rsidR="000C73DD" w:rsidRPr="000C73DD">
        <w:rPr>
          <w:rFonts w:ascii="Book Antiqua" w:hAnsi="Book Antiqua"/>
          <w:b/>
          <w:bCs/>
          <w:sz w:val="19"/>
          <w:szCs w:val="19"/>
        </w:rPr>
        <w:t xml:space="preserve"> </w:t>
      </w:r>
      <w:r w:rsidR="000C73DD" w:rsidRPr="000C73D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4986" w14:paraId="18FF0E35" w14:textId="77777777" w:rsidTr="00584986">
        <w:tc>
          <w:tcPr>
            <w:tcW w:w="8494" w:type="dxa"/>
            <w:shd w:val="clear" w:color="auto" w:fill="CCFFFF"/>
          </w:tcPr>
          <w:p w14:paraId="63283827" w14:textId="7214F705" w:rsidR="00584986" w:rsidRPr="00584986" w:rsidRDefault="00584986" w:rsidP="00584986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584986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DPESP-2023-FCC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584986">
              <w:rPr>
                <w:rFonts w:ascii="Book Antiqua" w:hAnsi="Book Antiqua"/>
                <w:sz w:val="19"/>
                <w:szCs w:val="19"/>
              </w:rPr>
              <w:t>O monitoramento eletrônico é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proofErr w:type="gramStart"/>
            <w:r w:rsidRPr="00584986">
              <w:rPr>
                <w:rFonts w:ascii="Book Antiqua" w:hAnsi="Book Antiqua"/>
                <w:sz w:val="19"/>
                <w:szCs w:val="19"/>
              </w:rPr>
              <w:t>medida</w:t>
            </w:r>
            <w:proofErr w:type="gramEnd"/>
            <w:r w:rsidRPr="00584986">
              <w:rPr>
                <w:rFonts w:ascii="Book Antiqua" w:hAnsi="Book Antiqua"/>
                <w:sz w:val="19"/>
                <w:szCs w:val="19"/>
              </w:rPr>
              <w:t xml:space="preserve"> cabível de controle de vagas em estabelecimentos penais que estejam acima de sua capacidade máxima.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3º, §3º, Res. 412/21.</w:t>
            </w:r>
          </w:p>
        </w:tc>
      </w:tr>
    </w:tbl>
    <w:p w14:paraId="6D18E224" w14:textId="06849551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4o As pessoas menores de 18 (dezoito) anos e aquelas com até 21 (vinte e um) anos de idade, submetidas à legislação especializada em infância e juventude, não serão submetidas à medida de monitoramento eletrônico.</w:t>
      </w:r>
    </w:p>
    <w:p w14:paraId="1C9525AE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4º O monitoramento eletrônico, na hipótese de medida cautelar diversa da prisão, observará o art. 10, caput, da Resolução CNJ no 213/2015.</w:t>
      </w:r>
    </w:p>
    <w:p w14:paraId="0B88A6DF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lastRenderedPageBreak/>
        <w:t>Parágrafo único. A medida será excepcional e substitutiva da prisão preventiva, sendo aplicada por tempo determinado, recomendando-se o prazo máximo de 90 (noventa) dias para reavaliação da necessidade de manutenção por igual período, nos moldes do disposto no art. 316, parágrafo único, do Código de Processo Penal.</w:t>
      </w:r>
    </w:p>
    <w:p w14:paraId="0AC6E1AD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5o A medida de monitoramento eletrônico nos casos de saída temporária no regime semiaberto poderá ser determinada mediante decisão que indique a necessidade e adequação ao caso concreto, recomendando-se a reavaliação da medida quando não houver descumprimento anterior.</w:t>
      </w:r>
    </w:p>
    <w:p w14:paraId="3CC6F10F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6o O período durante o qual a pessoa estiver submetida ao monitoramento eletrônico nos casos de saída antecipada ou em substituição à privação de liberdade em estabelecimento penal, com regular cumprimento das condições impostas, será considerado como tempo de cumprimento de pena, assegurando que o período total de sua aplicação não exceda o tempo para cumprimento do requisito objetivo para a progressão de regime.</w:t>
      </w:r>
    </w:p>
    <w:p w14:paraId="4365BB9E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P</w:t>
      </w:r>
      <w:r w:rsidRPr="002F4E37">
        <w:rPr>
          <w:rFonts w:ascii="Book Antiqua" w:hAnsi="Book Antiqua"/>
          <w:sz w:val="19"/>
          <w:szCs w:val="19"/>
        </w:rPr>
        <w:t>arágrafo único. A medida do monitoramento eletrônico prevista no caput poderá ser aplicada por tempo determinado, recomendando-se o prazo máximo de 180 (cento e oitenta) dias para reavaliação da necessidade de sua manutenção por período inferior ou igual.</w:t>
      </w:r>
    </w:p>
    <w:p w14:paraId="0B6B0D89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7o O monitoramento eletrônico nos casos de violência doméstica e familiar tem como objetivo aprimorar a fiscalização do cumprimento das medidas determinadas com fulcro no art. 22, II e III, da Lei no 11.340/2006.</w:t>
      </w:r>
    </w:p>
    <w:p w14:paraId="66037CE6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1o Os limites da área de exclusão considerarão o caso concreto e buscarão compatibilizar-se com o disposto no caput do art. 9o desta Resolução.</w:t>
      </w:r>
    </w:p>
    <w:p w14:paraId="211162F5" w14:textId="77777777" w:rsidR="002F4E37" w:rsidRDefault="002F4E37" w:rsidP="002F4E3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2o Recomenda-se facultar à pessoa em situação de violência doméstica e familiar o uso de Unidade Portátil de Rastreamento (UPR), com ou sem dispositivo para acionamento direto de órgãos de segurança pública, como mecanismo adicional aos serviços de monitoramento, com o objetivo de criar áreas de exclusão dinâmicas.</w:t>
      </w:r>
    </w:p>
    <w:p w14:paraId="0238F1D0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3o As medidas protetivas de urgência serão mantidas, enquanto necessárias, mesmo no caso de negativa ou indisponibilidade para uso de UPR, a partir de áreas de exclusão fixas, determinadas judicialmente.</w:t>
      </w:r>
    </w:p>
    <w:p w14:paraId="021C6C30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4o Recomenda-se o encaminhamento prioritário de autores de violência doméstica e familiar contra a mulher para programas de grupos reflexivos, acompanhamento psicossocial e demais serviços previstos na Lei no 11.340/2006.</w:t>
      </w:r>
    </w:p>
    <w:p w14:paraId="6FB2EAF7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8o A medida de monitoramento eletrônico buscará assegurar a realização de atividades que contribuam para a inserção social da pessoa monitorada, especialmente:</w:t>
      </w:r>
    </w:p>
    <w:p w14:paraId="408DD93D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F4E37">
        <w:rPr>
          <w:rFonts w:ascii="Book Antiqua" w:hAnsi="Book Antiqua"/>
          <w:sz w:val="19"/>
          <w:szCs w:val="19"/>
        </w:rPr>
        <w:t>estudo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e trabalho, incluindo a busca ativa, o trabalho informal e o que exige deslocamentos;</w:t>
      </w:r>
    </w:p>
    <w:p w14:paraId="61DCEFC5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F4E37">
        <w:rPr>
          <w:rFonts w:ascii="Book Antiqua" w:hAnsi="Book Antiqua"/>
          <w:sz w:val="19"/>
          <w:szCs w:val="19"/>
        </w:rPr>
        <w:t>atenção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à saúde e aquisição regular de itens necessários à subsistência;</w:t>
      </w:r>
    </w:p>
    <w:p w14:paraId="11293355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III – atividades relacionadas ao cuidado com filhos e familiares; e</w:t>
      </w:r>
    </w:p>
    <w:p w14:paraId="45215E93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F4E37">
        <w:rPr>
          <w:rFonts w:ascii="Book Antiqua" w:hAnsi="Book Antiqua"/>
          <w:sz w:val="19"/>
          <w:szCs w:val="19"/>
        </w:rPr>
        <w:t>comparecimento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a atividades religiosas.</w:t>
      </w:r>
    </w:p>
    <w:p w14:paraId="5D24B234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Parágrafo único. Será priorizada a adoção de medidas distintas do monitoramento eletrônico, em conjunto com o encaminhamento voluntário à rede de proteção social, nos casos em que:</w:t>
      </w:r>
    </w:p>
    <w:p w14:paraId="4B1B2DDB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F4E37">
        <w:rPr>
          <w:rFonts w:ascii="Book Antiqua" w:hAnsi="Book Antiqua"/>
          <w:sz w:val="19"/>
          <w:szCs w:val="19"/>
        </w:rPr>
        <w:t>as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circunstâncias socioeconômicas da pessoa investigada, ré ou condenada inviabilizem o adequado funcionamento do equipamento, tais como: </w:t>
      </w:r>
    </w:p>
    <w:p w14:paraId="4823F7C5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a) quando se tratar de pessoa em situação de rua; e</w:t>
      </w:r>
    </w:p>
    <w:p w14:paraId="325DB6FA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lastRenderedPageBreak/>
        <w:t xml:space="preserve">b) quando se tratar de pessoa que reside em moradia sem fornecimento regular de energia elétrica ou com cobertura limitada ou instável quanto à tecnologia utilizada pelo equipamento; </w:t>
      </w:r>
    </w:p>
    <w:p w14:paraId="16D6E7C9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F4E37">
        <w:rPr>
          <w:rFonts w:ascii="Book Antiqua" w:hAnsi="Book Antiqua"/>
          <w:sz w:val="19"/>
          <w:szCs w:val="19"/>
        </w:rPr>
        <w:t>as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condições da pessoa investigada, ré ou condenada tornarem excepcionalmente gravosa a medida, devido a dificuldades de locomoção, condições físicas ou necessidade de prestação de cuidados a terceiros, tais como: </w:t>
      </w:r>
    </w:p>
    <w:p w14:paraId="1AFAAD88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a) quando se tratar de pessoas idosas;  </w:t>
      </w:r>
    </w:p>
    <w:p w14:paraId="0CC3F8F6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b) quando se tratar de pessoas com deficiência; </w:t>
      </w:r>
    </w:p>
    <w:p w14:paraId="4BFB3BA2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c) quando se tratar de pessoas com doença grave; e</w:t>
      </w:r>
    </w:p>
    <w:p w14:paraId="4CB69897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d) quando se tratar de gestante, lactante, mãe ou pessoa responsável por criança de até 12 (doze) anos ou por pessoa com deficiência. </w:t>
      </w:r>
    </w:p>
    <w:p w14:paraId="2799C244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III – as circunstâncias da pessoa investigada, ré ou condenada prejudiquem o cumprimento da medida, em razão de questões culturais, dificuldade de compreensão sobre o funcionamento do equipamento ou sobre as condições eventualmente impostas, tais como: </w:t>
      </w:r>
    </w:p>
    <w:p w14:paraId="76BC0413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a) condição de saúde mental;</w:t>
      </w:r>
    </w:p>
    <w:p w14:paraId="09250447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b) uso abusivo de álcool ou outras drogas; e</w:t>
      </w:r>
    </w:p>
    <w:p w14:paraId="136CD209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c) quando se tratar de pessoas indígenas ou integrantes de comunidades tradicionais. </w:t>
      </w:r>
    </w:p>
    <w:p w14:paraId="2E1BCA1E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Art. 9o Ao determinar a medida de monitoramento eletrônico, o juiz expedirá o respectivo mandado, nos termos do modelo anexo à presente resolução, estabelecendo, no caso de haver condições técnicas, a coleta de biometria para atualização da identificação civil e a coleta de material genético, nos termos do artigo 9o-A da Lei de Execução Penal. </w:t>
      </w:r>
    </w:p>
    <w:p w14:paraId="08E80254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Parágrafo único. Em até 180 (cento e oitenta) dias, o CNJ possibilitará a expedição do mandado de monitoramento pelos sistemas informatizados de tramitação processual. </w:t>
      </w:r>
    </w:p>
    <w:p w14:paraId="30312AD2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10. O Poder Judiciário manterá interlocução constante com a Central de Monitoramento Eletrônico acerca da disponibilidade dos equipamentos de monitoramento.</w:t>
      </w:r>
    </w:p>
    <w:p w14:paraId="2DF5BA1A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§ 1o Caso não haja equipamento disponível para instalação imediata no momento do recebimento do alvará de soltura com imposição de medida de monitoramento eletrônico, a pessoa será intimada a comparecer ao órgão competente para a instalação no primeiro dia útil seguinte. </w:t>
      </w:r>
    </w:p>
    <w:p w14:paraId="6D3C577F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2o Em caso de indisponibilidade de equipamento, o juízo deverá ser comunicado.</w:t>
      </w:r>
    </w:p>
    <w:p w14:paraId="52A81345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11. O juiz competente zelará para que o acompanhamento da medida por parte da Central de Monitoramento Eletrônico, no âmbito do Poder Executivo, observe os procedimentos previstos na Resolução CNJ no 213/2015 e no Protocolo anexo à presente Resolução, especialmente:</w:t>
      </w:r>
    </w:p>
    <w:p w14:paraId="1CAE621B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F4E37">
        <w:rPr>
          <w:rFonts w:ascii="Book Antiqua" w:hAnsi="Book Antiqua"/>
          <w:sz w:val="19"/>
          <w:szCs w:val="19"/>
        </w:rPr>
        <w:t>acompanhamento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das condições especificadas na decisão judicial, sendo vedado à central exigir condições que não constem do pronunciamento;</w:t>
      </w:r>
    </w:p>
    <w:p w14:paraId="34ECC778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F4E37">
        <w:rPr>
          <w:rFonts w:ascii="Book Antiqua" w:hAnsi="Book Antiqua"/>
          <w:sz w:val="19"/>
          <w:szCs w:val="19"/>
        </w:rPr>
        <w:t>prioridade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ao cumprimento, manutenção e restauração da medida conforme determinada judicialmente, inclusive em casos de incidentes, devendo o acionamento da autoridade judicial ser subsidiário e excepcional, nos termos do artigo seguinte e do Protocolo anexo à presente Resolução;</w:t>
      </w:r>
    </w:p>
    <w:p w14:paraId="23DBAA4C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III – atuação de equipes multidisciplinares, responsáveis por qualificar o tratamento de incidentes, mobilizar a rede de serviços de proteção social e colaborar no acompanhamento das medidas estabelecidas judicialmente, a partir da interação individualizada com as pessoas monitoradas; e</w:t>
      </w:r>
    </w:p>
    <w:p w14:paraId="1D91B6EA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lastRenderedPageBreak/>
        <w:t xml:space="preserve">IV – </w:t>
      </w:r>
      <w:proofErr w:type="gramStart"/>
      <w:r w:rsidRPr="002F4E37">
        <w:rPr>
          <w:rFonts w:ascii="Book Antiqua" w:hAnsi="Book Antiqua"/>
          <w:sz w:val="19"/>
          <w:szCs w:val="19"/>
        </w:rPr>
        <w:t>adoção</w:t>
      </w:r>
      <w:proofErr w:type="gramEnd"/>
      <w:r w:rsidRPr="002F4E37">
        <w:rPr>
          <w:rFonts w:ascii="Book Antiqua" w:hAnsi="Book Antiqua"/>
          <w:sz w:val="19"/>
          <w:szCs w:val="19"/>
        </w:rPr>
        <w:t xml:space="preserve"> de padrões adequados de segurança, sigilo, proteção e uso dos dados das pessoas em monitoramento, respeitado o tratamento dos dados em conformidade com a finalidade das coletas, nos termos do art. 13.</w:t>
      </w:r>
    </w:p>
    <w:p w14:paraId="2CB522CF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12. O tratamento de incidentes ocorridos durante o monitoramento eletrônico observará o Protocolo anexo à presente Resolução, atendo-se aos atos estritamente necessários ao cumprimento da medida imposta, a fim de promover a eficiência e celeridade da atividade jurisdicional.</w:t>
      </w:r>
    </w:p>
    <w:p w14:paraId="3DA77A29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1o Considera-se incidente qualquer situação que interfira no cumprimento regular da medida de monitoramento eletrônico, conforme as condições estabelecidas judicialmente.</w:t>
      </w:r>
    </w:p>
    <w:p w14:paraId="49EB53B5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2o Os incidentes serão tratados de maneira gradativa, visando a assegurar a manutenção da medida nos termos em que determinada judicialmente e respeitando, em todas as fases, os princípios do devido processo legal, ampla defesa e proporcionalidade.</w:t>
      </w:r>
    </w:p>
    <w:p w14:paraId="772C6B46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3o Esgotadas as ferramentas previstas no protocolo visando ao restabelecimento do cumprimento regular da medida, sem a solução do incidente, a central notificará ao juízo detalhando as medidas adotadas, o qual poderá designar audiência de justificação.</w:t>
      </w:r>
    </w:p>
    <w:p w14:paraId="2D739831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 xml:space="preserve">§ 4o Nos casos de monitoramento eletrônico aplicado em situações de violência doméstica e familiar, a central poderá acionar preventivamente órgãos de segurança pública em incidentes específicos, observado o procedimento previsto no protocolo. </w:t>
      </w:r>
    </w:p>
    <w:p w14:paraId="056DB461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13. Os dados coletados durante o acompanhamento das medidas de monitoramento eletrônico possuem finalidade específica, relacionada ao cumprimento das condições estabelecidas judicialmente, podendo ser utilizados como meio de prova para apuração penal e estando, de qualquer forma, abrangidos pelo direito previsto no art. 5o, X, da Constituição Federal e legislação de proteção de dados pessoais.</w:t>
      </w:r>
    </w:p>
    <w:p w14:paraId="00586330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1o Os sistemas de registro de informações do monitoramento eletrônico serão estruturados de modo a preservar o sigilo dos dados e das informações da pessoa monitorada, da pessoa em situação de violência doméstica e familiar e de terceiros.</w:t>
      </w:r>
    </w:p>
    <w:p w14:paraId="2F7CA511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2o O compartilhamento dos dados, inclusive com instituições de segurança pública, dependerá de autorização judicial, mediante representação da autoridade policial ou requerimento do Ministério Público.</w:t>
      </w:r>
    </w:p>
    <w:p w14:paraId="07364E5D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3o Nas situações excepcionais em que configurado iminente risco à vida, os órgãos de segurança pública poderão requisitar diretamente à Central de Monitoramento Eletrônico a localização em tempo real da pessoa monitorada, hipótese em que o controle judicial do compartilhamento dos dados será realizado posteriormente.</w:t>
      </w:r>
    </w:p>
    <w:p w14:paraId="68E20525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4o Nas hipóteses do parágrafo anterior, o compartilhamento de dados realizado nas circunstâncias excepcionais será formalmente registrado, com informação sobre a data e o horário do tratamento, a identidade do servidor que obteve e do que concedeu o acesso ao dado, a justificativa apresentada, bem como quais os dados tratados, a fim de permitir o controle, além de eventual auditoria.</w:t>
      </w:r>
    </w:p>
    <w:p w14:paraId="7F3340B9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5o As informações mencionadas no parágrafo anterior serão encaminhadas pela Central de Monitoramento Eletrônico ao juízo competente em até 24 (vinte e quatro) horas após o compartilhamento.</w:t>
      </w:r>
    </w:p>
    <w:p w14:paraId="0B4EDAE9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6o Nos casos de incidentes específicos ocorridos no âmbito de medidas protetivas de urgência, a Central de Monitoramento Eletrônico poderá acionar preventivamente órgãos de segurança pública e compartilhar dados relativos à identificação e localização da pessoa monitorada, nos termos do Protocolo anexo à presente Resolução.</w:t>
      </w:r>
    </w:p>
    <w:p w14:paraId="728B689E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§ 7o A Central de Monitoramento manterá os dados produzidos durante o acompanhamento de medidas de monitoramento eletrônico pelo prazo de 6 (seis) meses após o término da medida.</w:t>
      </w:r>
    </w:p>
    <w:p w14:paraId="46462409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lastRenderedPageBreak/>
        <w:t>§ 8o O titular dos dados tem livre acesso à integralidade dos dados produzidos durante o acompanhamento de medidas de monitoramento eletrônico e à consulta facilitada sobre a forma e duração do tratamento.</w:t>
      </w:r>
    </w:p>
    <w:p w14:paraId="18637158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14. Os tribunais expedirão os atos necessários e auxiliarão os juízes no cumprimento desta Resolução, em consideração à realidade local, podendo realizar os convênios e gestões necessárias ao seu pleno cumprimento.</w:t>
      </w:r>
    </w:p>
    <w:p w14:paraId="485C5B02" w14:textId="77777777" w:rsidR="00DF3219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15. O acompanhamento do cumprimento da presente Resolução contará com o apoio técnico do Departamento de Monitoramento e Fiscalização do Sistema Carcerário e de Execução das Medidas Socioeducativas.</w:t>
      </w:r>
    </w:p>
    <w:p w14:paraId="65C88ACD" w14:textId="733B6346" w:rsidR="002F4E37" w:rsidRPr="002F4E37" w:rsidRDefault="002F4E37" w:rsidP="00DF321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Art. 16. Esta Resolução entra em vigor na data de sua publicação.</w:t>
      </w:r>
    </w:p>
    <w:p w14:paraId="5981B583" w14:textId="77777777" w:rsidR="002F4E37" w:rsidRPr="002F4E37" w:rsidRDefault="002F4E37" w:rsidP="002F4E3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3BBA40D7" w14:textId="24694CF7" w:rsidR="002F4E37" w:rsidRPr="002F4E37" w:rsidRDefault="002F4E37" w:rsidP="00DF3219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Ministro LUIZ FUX</w:t>
      </w:r>
    </w:p>
    <w:p w14:paraId="454B3DA5" w14:textId="528117DA" w:rsidR="002F4E37" w:rsidRPr="002F4E37" w:rsidRDefault="002F4E37" w:rsidP="00DF3219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F4E37">
        <w:rPr>
          <w:rFonts w:ascii="Book Antiqua" w:hAnsi="Book Antiqua"/>
          <w:sz w:val="19"/>
          <w:szCs w:val="19"/>
        </w:rPr>
        <w:t>ANEXO</w:t>
      </w:r>
    </w:p>
    <w:sectPr w:rsidR="002F4E37" w:rsidRPr="002F4E37" w:rsidSect="00DF3219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6C"/>
    <w:rsid w:val="0000706C"/>
    <w:rsid w:val="000C73DD"/>
    <w:rsid w:val="002F4E37"/>
    <w:rsid w:val="005471BF"/>
    <w:rsid w:val="00584986"/>
    <w:rsid w:val="00A52548"/>
    <w:rsid w:val="00BB7FE6"/>
    <w:rsid w:val="00D346F6"/>
    <w:rsid w:val="00DF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A7485"/>
  <w15:chartTrackingRefBased/>
  <w15:docId w15:val="{2A969CF1-0F06-4983-8BA4-8635B78D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F4E3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4E3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84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0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2655</Words>
  <Characters>14341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dcterms:created xsi:type="dcterms:W3CDTF">2025-01-08T18:51:00Z</dcterms:created>
  <dcterms:modified xsi:type="dcterms:W3CDTF">2025-01-08T19:25:00Z</dcterms:modified>
</cp:coreProperties>
</file>