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24B3D" w14:textId="5B247950" w:rsidR="00900910" w:rsidRPr="00900910" w:rsidRDefault="00900910" w:rsidP="00900910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900910">
        <w:rPr>
          <w:rFonts w:ascii="Book Antiqua" w:hAnsi="Book Antiqua"/>
          <w:b/>
          <w:bCs/>
          <w:color w:val="FF0000"/>
          <w:sz w:val="19"/>
          <w:szCs w:val="19"/>
        </w:rPr>
        <w:t>(Atualização em 18/05/2023: questões de concurso)</w:t>
      </w:r>
    </w:p>
    <w:p w14:paraId="5E233313" w14:textId="7C3365B8" w:rsidR="00900910" w:rsidRPr="00900910" w:rsidRDefault="00900910" w:rsidP="00900910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900910">
        <w:rPr>
          <w:rFonts w:ascii="Book Antiqua" w:hAnsi="Book Antiqua"/>
          <w:b/>
          <w:bCs/>
          <w:sz w:val="19"/>
          <w:szCs w:val="19"/>
        </w:rPr>
        <w:t>RESOLUÇÃO N</w:t>
      </w:r>
      <w:r>
        <w:rPr>
          <w:rFonts w:ascii="Book Antiqua" w:hAnsi="Book Antiqua"/>
          <w:b/>
          <w:bCs/>
          <w:sz w:val="19"/>
          <w:szCs w:val="19"/>
        </w:rPr>
        <w:t>.</w:t>
      </w:r>
      <w:r w:rsidRPr="00900910">
        <w:rPr>
          <w:rFonts w:ascii="Book Antiqua" w:hAnsi="Book Antiqua"/>
          <w:b/>
          <w:bCs/>
          <w:sz w:val="19"/>
          <w:szCs w:val="19"/>
        </w:rPr>
        <w:t xml:space="preserve"> 427, DE 20 DE OUTUBRO DE 2021.</w:t>
      </w:r>
    </w:p>
    <w:p w14:paraId="42A7E49B" w14:textId="6FEAB53C" w:rsidR="00900910" w:rsidRPr="00900910" w:rsidRDefault="00900910" w:rsidP="00900910">
      <w:pPr>
        <w:spacing w:before="100" w:beforeAutospacing="1" w:after="100" w:afterAutospacing="1" w:line="240" w:lineRule="auto"/>
        <w:ind w:left="1843"/>
        <w:jc w:val="both"/>
        <w:rPr>
          <w:rFonts w:ascii="Book Antiqua" w:hAnsi="Book Antiqua"/>
          <w:sz w:val="19"/>
          <w:szCs w:val="19"/>
        </w:rPr>
      </w:pPr>
      <w:r w:rsidRPr="00900910">
        <w:rPr>
          <w:rFonts w:ascii="Book Antiqua" w:hAnsi="Book Antiqua"/>
          <w:sz w:val="19"/>
          <w:szCs w:val="19"/>
        </w:rPr>
        <w:t>Amplia a proteção a vítimas e testemunhas por meio da proteção à sua identidade, endereço e dados</w:t>
      </w:r>
      <w:r>
        <w:rPr>
          <w:rFonts w:ascii="Book Antiqua" w:hAnsi="Book Antiqua"/>
          <w:sz w:val="19"/>
          <w:szCs w:val="19"/>
        </w:rPr>
        <w:t xml:space="preserve"> </w:t>
      </w:r>
      <w:r w:rsidRPr="00900910">
        <w:rPr>
          <w:rFonts w:ascii="Book Antiqua" w:hAnsi="Book Antiqua"/>
          <w:sz w:val="19"/>
          <w:szCs w:val="19"/>
        </w:rPr>
        <w:t>qualificativos.</w:t>
      </w:r>
    </w:p>
    <w:p w14:paraId="74D80997" w14:textId="77777777" w:rsidR="00900910" w:rsidRDefault="00900910" w:rsidP="00900910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00910">
        <w:rPr>
          <w:rFonts w:ascii="Book Antiqua" w:hAnsi="Book Antiqua"/>
          <w:sz w:val="19"/>
          <w:szCs w:val="19"/>
        </w:rPr>
        <w:t>O PRESIDENTE DO CONSELHO NACIONAL DE JUSTIÇA (CNJ), no uso de suas atribuições legais e regimentais,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3EB6F54E" w14:textId="77777777" w:rsidR="00900910" w:rsidRDefault="00900910" w:rsidP="00900910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00910">
        <w:rPr>
          <w:rFonts w:ascii="Book Antiqua" w:hAnsi="Book Antiqua"/>
          <w:sz w:val="19"/>
          <w:szCs w:val="19"/>
        </w:rPr>
        <w:t>CONSIDERANDO o disposto no art. 217 do Código de Processo Penal;</w:t>
      </w:r>
    </w:p>
    <w:p w14:paraId="0876489A" w14:textId="0BED7C31" w:rsidR="00900910" w:rsidRPr="00900910" w:rsidRDefault="00900910" w:rsidP="00900910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00910">
        <w:rPr>
          <w:rFonts w:ascii="Book Antiqua" w:hAnsi="Book Antiqua"/>
          <w:sz w:val="19"/>
          <w:szCs w:val="19"/>
        </w:rPr>
        <w:t>CONSIDERANDO que é imperioso assegurar maior proteção às vítimas e às testemunhas para efetivo combate às organizações criminosas;</w:t>
      </w:r>
    </w:p>
    <w:p w14:paraId="789E1D88" w14:textId="30C228E3" w:rsidR="00900910" w:rsidRPr="00900910" w:rsidRDefault="00900910" w:rsidP="00900910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00910">
        <w:rPr>
          <w:rFonts w:ascii="Book Antiqua" w:hAnsi="Book Antiqua"/>
          <w:sz w:val="19"/>
          <w:szCs w:val="19"/>
        </w:rPr>
        <w:t>CONSIDERANDO que a segurança pública é dever do Estado, direito e responsabilidade de todos, nos termos do art. 144 da CRFB/1988;</w:t>
      </w:r>
    </w:p>
    <w:p w14:paraId="5B0BF6BC" w14:textId="76B9C7A2" w:rsidR="00900910" w:rsidRPr="00900910" w:rsidRDefault="00900910" w:rsidP="00900910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00910">
        <w:rPr>
          <w:rFonts w:ascii="Book Antiqua" w:hAnsi="Book Antiqua"/>
          <w:sz w:val="19"/>
          <w:szCs w:val="19"/>
        </w:rPr>
        <w:t>CONSIDERANDO que a legislação vigente restringe a publicidade dos atos processuais quando a defesa da intimidade ou o interesse social o exigirem, nos termos do art. 5o, LX, da CRFB/1988;</w:t>
      </w:r>
    </w:p>
    <w:p w14:paraId="1B07E8AB" w14:textId="594510E6" w:rsidR="00900910" w:rsidRPr="00900910" w:rsidRDefault="00900910" w:rsidP="00900910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00910">
        <w:rPr>
          <w:rFonts w:ascii="Book Antiqua" w:hAnsi="Book Antiqua"/>
          <w:sz w:val="19"/>
          <w:szCs w:val="19"/>
        </w:rPr>
        <w:t>CONSIDERANDO que a garantia dos direitos fundamentais, bem como o aperfeiçoamento da Justiça Criminal e o combate à corrupção integram a Estratégia Nacional do Poder Judiciário para o sexênio 2021-2026;</w:t>
      </w:r>
    </w:p>
    <w:p w14:paraId="44BF8908" w14:textId="00BCCB6E" w:rsidR="00BB7FE6" w:rsidRPr="00900910" w:rsidRDefault="00900910" w:rsidP="00900910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00910">
        <w:rPr>
          <w:rFonts w:ascii="Book Antiqua" w:hAnsi="Book Antiqua"/>
          <w:sz w:val="19"/>
          <w:szCs w:val="19"/>
        </w:rPr>
        <w:t>CONSIDERANDO o disposto na Resolução CNJ n</w:t>
      </w:r>
      <w:r>
        <w:rPr>
          <w:rFonts w:ascii="Book Antiqua" w:hAnsi="Book Antiqua"/>
          <w:sz w:val="19"/>
          <w:szCs w:val="19"/>
        </w:rPr>
        <w:t xml:space="preserve">. </w:t>
      </w:r>
      <w:r w:rsidRPr="00900910">
        <w:rPr>
          <w:rFonts w:ascii="Book Antiqua" w:hAnsi="Book Antiqua"/>
          <w:sz w:val="19"/>
          <w:szCs w:val="19"/>
        </w:rPr>
        <w:t>341/2020, que determinou aos tribunais brasileiros a disponibilização de salas para depoimentos em audiências por sistema de videoconferência</w:t>
      </w:r>
      <w:r w:rsidRPr="00900910">
        <w:rPr>
          <w:rFonts w:ascii="Book Antiqua" w:hAnsi="Book Antiqua"/>
          <w:sz w:val="19"/>
          <w:szCs w:val="19"/>
        </w:rPr>
        <w:t>;</w:t>
      </w:r>
    </w:p>
    <w:p w14:paraId="7E758A37" w14:textId="19FE305D" w:rsidR="00900910" w:rsidRPr="00900910" w:rsidRDefault="00900910" w:rsidP="00900910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00910">
        <w:rPr>
          <w:rFonts w:ascii="Book Antiqua" w:hAnsi="Book Antiqua"/>
          <w:sz w:val="19"/>
          <w:szCs w:val="19"/>
        </w:rPr>
        <w:t>CONSIDERANDO o disposto na Resolução CNJ n</w:t>
      </w:r>
      <w:r>
        <w:rPr>
          <w:rFonts w:ascii="Book Antiqua" w:hAnsi="Book Antiqua"/>
          <w:sz w:val="19"/>
          <w:szCs w:val="19"/>
        </w:rPr>
        <w:t xml:space="preserve">. </w:t>
      </w:r>
      <w:r w:rsidRPr="00900910">
        <w:rPr>
          <w:rFonts w:ascii="Book Antiqua" w:hAnsi="Book Antiqua"/>
          <w:sz w:val="19"/>
          <w:szCs w:val="19"/>
        </w:rPr>
        <w:t xml:space="preserve">354/2020, que instituiu o cumprimento digital de ato processual e de ordem judicial; </w:t>
      </w:r>
    </w:p>
    <w:p w14:paraId="1F27540C" w14:textId="2635FD66" w:rsidR="00900910" w:rsidRPr="00900910" w:rsidRDefault="00900910" w:rsidP="00900910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00910">
        <w:rPr>
          <w:rFonts w:ascii="Book Antiqua" w:hAnsi="Book Antiqua"/>
          <w:sz w:val="19"/>
          <w:szCs w:val="19"/>
        </w:rPr>
        <w:t>CONSIDERANDO o disposto na Resolução CNJ n</w:t>
      </w:r>
      <w:r>
        <w:rPr>
          <w:rFonts w:ascii="Book Antiqua" w:hAnsi="Book Antiqua"/>
          <w:sz w:val="19"/>
          <w:szCs w:val="19"/>
        </w:rPr>
        <w:t xml:space="preserve">. </w:t>
      </w:r>
      <w:r w:rsidRPr="00900910">
        <w:rPr>
          <w:rFonts w:ascii="Book Antiqua" w:hAnsi="Book Antiqua"/>
          <w:sz w:val="19"/>
          <w:szCs w:val="19"/>
        </w:rPr>
        <w:t>372/2021, que instituiu o Balcão Virtual;</w:t>
      </w:r>
    </w:p>
    <w:p w14:paraId="230E0AF7" w14:textId="1DA39778" w:rsidR="00900910" w:rsidRPr="00900910" w:rsidRDefault="00900910" w:rsidP="00900910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00910">
        <w:rPr>
          <w:rFonts w:ascii="Book Antiqua" w:hAnsi="Book Antiqua"/>
          <w:sz w:val="19"/>
          <w:szCs w:val="19"/>
        </w:rPr>
        <w:t xml:space="preserve">CONSIDERANDO o deliberado pelo Plenário do CNJ no </w:t>
      </w:r>
      <w:proofErr w:type="gramStart"/>
      <w:r w:rsidRPr="00900910">
        <w:rPr>
          <w:rFonts w:ascii="Book Antiqua" w:hAnsi="Book Antiqua"/>
          <w:sz w:val="19"/>
          <w:szCs w:val="19"/>
        </w:rPr>
        <w:t xml:space="preserve">procedimento </w:t>
      </w:r>
      <w:r>
        <w:rPr>
          <w:rFonts w:ascii="Book Antiqua" w:hAnsi="Book Antiqua"/>
          <w:sz w:val="19"/>
          <w:szCs w:val="19"/>
        </w:rPr>
        <w:t xml:space="preserve"> </w:t>
      </w:r>
      <w:r w:rsidRPr="00900910">
        <w:rPr>
          <w:rFonts w:ascii="Book Antiqua" w:hAnsi="Book Antiqua"/>
          <w:sz w:val="19"/>
          <w:szCs w:val="19"/>
        </w:rPr>
        <w:t>Ato</w:t>
      </w:r>
      <w:proofErr w:type="gramEnd"/>
      <w:r w:rsidRPr="00900910">
        <w:rPr>
          <w:rFonts w:ascii="Book Antiqua" w:hAnsi="Book Antiqua"/>
          <w:sz w:val="19"/>
          <w:szCs w:val="19"/>
        </w:rPr>
        <w:t xml:space="preserve"> n</w:t>
      </w:r>
      <w:r>
        <w:rPr>
          <w:rFonts w:ascii="Book Antiqua" w:hAnsi="Book Antiqua"/>
          <w:sz w:val="19"/>
          <w:szCs w:val="19"/>
        </w:rPr>
        <w:t xml:space="preserve">. </w:t>
      </w:r>
      <w:r w:rsidRPr="00900910">
        <w:rPr>
          <w:rFonts w:ascii="Book Antiqua" w:hAnsi="Book Antiqua"/>
          <w:sz w:val="19"/>
          <w:szCs w:val="19"/>
        </w:rPr>
        <w:t>0007242-05.2021.2.00.0000, na 94ª Sessão Virtual, finalizada em 8 de outubro de 2021;</w:t>
      </w:r>
    </w:p>
    <w:p w14:paraId="6CC77AB2" w14:textId="77777777" w:rsidR="00900910" w:rsidRPr="00900910" w:rsidRDefault="00900910" w:rsidP="00900910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00910">
        <w:rPr>
          <w:rFonts w:ascii="Book Antiqua" w:hAnsi="Book Antiqua"/>
          <w:sz w:val="19"/>
          <w:szCs w:val="19"/>
        </w:rPr>
        <w:t>RESOLVE:</w:t>
      </w:r>
    </w:p>
    <w:p w14:paraId="5E36EDCC" w14:textId="5903AF2E" w:rsidR="00900910" w:rsidRPr="00900910" w:rsidRDefault="00900910" w:rsidP="00900910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00910">
        <w:rPr>
          <w:rFonts w:ascii="Book Antiqua" w:hAnsi="Book Antiqua"/>
          <w:b/>
          <w:bCs/>
          <w:sz w:val="19"/>
          <w:szCs w:val="19"/>
          <w:highlight w:val="magenta"/>
        </w:rPr>
        <w:t>Art. 1o</w:t>
      </w:r>
      <w:r w:rsidRPr="00900910">
        <w:rPr>
          <w:rFonts w:ascii="Book Antiqua" w:hAnsi="Book Antiqua"/>
          <w:b/>
          <w:bCs/>
          <w:sz w:val="19"/>
          <w:szCs w:val="19"/>
        </w:rPr>
        <w:t xml:space="preserve"> Os tribunais deverão implementar, no prazo máximo de 120 (cento e vinte) dias, como medida para proteção de vítimas e testemunhas que se encontrem ameaçadas ou em grave risco, a possibilidade de proteção de seus dados qualificativos e endereços </w:t>
      </w:r>
      <w:r w:rsidRPr="00900910">
        <w:rPr>
          <w:rFonts w:ascii="Book Antiqua" w:hAnsi="Book Antiqua"/>
          <w:b/>
          <w:bCs/>
          <w:sz w:val="19"/>
          <w:szCs w:val="19"/>
          <w:highlight w:val="cyan"/>
        </w:rPr>
        <w:t>nos processos criminais</w:t>
      </w:r>
      <w:r w:rsidRPr="00900910">
        <w:rPr>
          <w:rFonts w:ascii="Book Antiqua" w:hAnsi="Book Antiqua"/>
          <w:b/>
          <w:bCs/>
          <w:sz w:val="19"/>
          <w:szCs w:val="19"/>
        </w:rPr>
        <w:t>, físicos e eletrônicos, nos termos desta Resolução</w:t>
      </w:r>
      <w:r w:rsidRPr="00900910">
        <w:rPr>
          <w:rFonts w:ascii="Book Antiqua" w:hAnsi="Book Antiqua"/>
          <w:sz w:val="19"/>
          <w:szCs w:val="19"/>
        </w:rPr>
        <w:t>.</w:t>
      </w:r>
      <w:r>
        <w:rPr>
          <w:rFonts w:ascii="Book Antiqua" w:hAnsi="Book Antiqua"/>
          <w:sz w:val="19"/>
          <w:szCs w:val="19"/>
        </w:rPr>
        <w:t xml:space="preserve"> </w:t>
      </w:r>
      <w:r w:rsidRPr="0090091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(TJSC-2022)</w:t>
      </w:r>
    </w:p>
    <w:p w14:paraId="01B7A67D" w14:textId="4DFC2CA8" w:rsidR="00900910" w:rsidRPr="00900910" w:rsidRDefault="00900910" w:rsidP="00900910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00910">
        <w:rPr>
          <w:rFonts w:ascii="Book Antiqua" w:hAnsi="Book Antiqua"/>
          <w:b/>
          <w:bCs/>
          <w:sz w:val="19"/>
          <w:szCs w:val="19"/>
          <w:highlight w:val="magenta"/>
        </w:rPr>
        <w:t>Art. 2o</w:t>
      </w:r>
      <w:r w:rsidRPr="00900910">
        <w:rPr>
          <w:rFonts w:ascii="Book Antiqua" w:hAnsi="Book Antiqua"/>
          <w:sz w:val="19"/>
          <w:szCs w:val="19"/>
        </w:rPr>
        <w:t xml:space="preserve"> </w:t>
      </w:r>
      <w:r w:rsidRPr="00900910">
        <w:rPr>
          <w:rFonts w:ascii="Book Antiqua" w:hAnsi="Book Antiqua"/>
          <w:b/>
          <w:bCs/>
          <w:sz w:val="19"/>
          <w:szCs w:val="19"/>
        </w:rPr>
        <w:t xml:space="preserve">Tratando-se de vítimas ou de testemunhas que estejam ameaçadas ou em grave risco, os dados qualificativos e endereços poderão ser registrados em apartado, mediante decisão do juiz competente, remanescendo sigilosos e </w:t>
      </w:r>
      <w:r w:rsidRPr="00900910">
        <w:rPr>
          <w:rFonts w:ascii="Book Antiqua" w:hAnsi="Book Antiqua"/>
          <w:b/>
          <w:bCs/>
          <w:caps/>
          <w:sz w:val="19"/>
          <w:szCs w:val="19"/>
          <w:highlight w:val="green"/>
        </w:rPr>
        <w:t>não constando</w:t>
      </w:r>
      <w:r w:rsidRPr="00900910">
        <w:rPr>
          <w:rFonts w:ascii="Book Antiqua" w:hAnsi="Book Antiqua"/>
          <w:b/>
          <w:bCs/>
          <w:sz w:val="19"/>
          <w:szCs w:val="19"/>
        </w:rPr>
        <w:t xml:space="preserve"> dos autos físicos ou eletrônicos</w:t>
      </w:r>
      <w:r w:rsidRPr="00900910">
        <w:rPr>
          <w:rFonts w:ascii="Book Antiqua" w:hAnsi="Book Antiqua"/>
          <w:sz w:val="19"/>
          <w:szCs w:val="19"/>
        </w:rPr>
        <w:t>.</w:t>
      </w:r>
      <w:r>
        <w:rPr>
          <w:rFonts w:ascii="Book Antiqua" w:hAnsi="Book Antiqua"/>
          <w:sz w:val="19"/>
          <w:szCs w:val="19"/>
        </w:rPr>
        <w:t xml:space="preserve"> </w:t>
      </w:r>
      <w:r w:rsidRPr="0090091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(TJSC-2022)</w:t>
      </w:r>
    </w:p>
    <w:p w14:paraId="62B77A2C" w14:textId="36AD46B6" w:rsidR="00900910" w:rsidRPr="00900910" w:rsidRDefault="00900910" w:rsidP="00900910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900910">
        <w:rPr>
          <w:rFonts w:ascii="Book Antiqua" w:hAnsi="Book Antiqua"/>
          <w:b/>
          <w:bCs/>
          <w:sz w:val="19"/>
          <w:szCs w:val="19"/>
          <w:highlight w:val="magenta"/>
        </w:rPr>
        <w:t>§ 1o</w:t>
      </w:r>
      <w:r w:rsidRPr="00900910">
        <w:rPr>
          <w:rFonts w:ascii="Book Antiqua" w:hAnsi="Book Antiqua"/>
          <w:b/>
          <w:bCs/>
          <w:sz w:val="19"/>
          <w:szCs w:val="19"/>
        </w:rPr>
        <w:t xml:space="preserve"> O(A) juiz(a) competente poderá determinar a preservação dos dados qualificativos e dos endereços de vítimas e testemunhas a pedido destas, por meio de representação da autoridade policial, de requerimento do Ministério Público, da Defensoria Pública ou do advogado e, </w:t>
      </w:r>
      <w:r w:rsidRPr="00900910">
        <w:rPr>
          <w:rFonts w:ascii="Book Antiqua" w:hAnsi="Book Antiqua"/>
          <w:b/>
          <w:bCs/>
          <w:caps/>
          <w:sz w:val="19"/>
          <w:szCs w:val="19"/>
          <w:highlight w:val="green"/>
        </w:rPr>
        <w:t>ainda</w:t>
      </w:r>
      <w:r w:rsidRPr="00900910">
        <w:rPr>
          <w:rFonts w:ascii="Book Antiqua" w:hAnsi="Book Antiqua"/>
          <w:b/>
          <w:bCs/>
          <w:sz w:val="19"/>
          <w:szCs w:val="19"/>
        </w:rPr>
        <w:t xml:space="preserve">, </w:t>
      </w:r>
      <w:r w:rsidRPr="00900910">
        <w:rPr>
          <w:rFonts w:ascii="Book Antiqua" w:hAnsi="Book Antiqua"/>
          <w:b/>
          <w:bCs/>
          <w:sz w:val="19"/>
          <w:szCs w:val="19"/>
          <w:highlight w:val="cyan"/>
        </w:rPr>
        <w:t>de ofício</w:t>
      </w:r>
      <w:r w:rsidRPr="00900910">
        <w:rPr>
          <w:rFonts w:ascii="Book Antiqua" w:hAnsi="Book Antiqua"/>
          <w:b/>
          <w:bCs/>
          <w:sz w:val="19"/>
          <w:szCs w:val="19"/>
        </w:rPr>
        <w:t>.</w:t>
      </w:r>
      <w:r w:rsidRPr="00900910">
        <w:rPr>
          <w:rFonts w:ascii="Book Antiqua" w:hAnsi="Book Antiqua"/>
          <w:b/>
          <w:bCs/>
          <w:sz w:val="19"/>
          <w:szCs w:val="19"/>
        </w:rPr>
        <w:t xml:space="preserve"> </w:t>
      </w:r>
      <w:r w:rsidRPr="0090091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(TJSC-2022)</w:t>
      </w:r>
    </w:p>
    <w:p w14:paraId="56EA8685" w14:textId="4C6345FA" w:rsidR="00900910" w:rsidRPr="00900910" w:rsidRDefault="00900910" w:rsidP="00900910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00910">
        <w:rPr>
          <w:rFonts w:ascii="Book Antiqua" w:hAnsi="Book Antiqua"/>
          <w:b/>
          <w:bCs/>
          <w:sz w:val="19"/>
          <w:szCs w:val="19"/>
          <w:highlight w:val="magenta"/>
        </w:rPr>
        <w:t>§ 2o</w:t>
      </w:r>
      <w:r w:rsidRPr="00900910">
        <w:rPr>
          <w:rFonts w:ascii="Book Antiqua" w:hAnsi="Book Antiqua"/>
          <w:b/>
          <w:bCs/>
          <w:sz w:val="19"/>
          <w:szCs w:val="19"/>
        </w:rPr>
        <w:t xml:space="preserve"> O acesso aos dados das vítimas ou de testemunhas fica garantido ao </w:t>
      </w:r>
      <w:r w:rsidRPr="00900910">
        <w:rPr>
          <w:rFonts w:ascii="Book Antiqua" w:hAnsi="Book Antiqua"/>
          <w:b/>
          <w:bCs/>
          <w:sz w:val="19"/>
          <w:szCs w:val="19"/>
          <w:highlight w:val="yellow"/>
        </w:rPr>
        <w:t>Ministério Público</w:t>
      </w:r>
      <w:r w:rsidRPr="00900910">
        <w:rPr>
          <w:rFonts w:ascii="Book Antiqua" w:hAnsi="Book Antiqua"/>
          <w:b/>
          <w:bCs/>
          <w:sz w:val="19"/>
          <w:szCs w:val="19"/>
        </w:rPr>
        <w:t xml:space="preserve"> e ao </w:t>
      </w:r>
      <w:r w:rsidRPr="00900910">
        <w:rPr>
          <w:rFonts w:ascii="Book Antiqua" w:hAnsi="Book Antiqua"/>
          <w:b/>
          <w:bCs/>
          <w:sz w:val="19"/>
          <w:szCs w:val="19"/>
          <w:highlight w:val="yellow"/>
        </w:rPr>
        <w:t>defensor do réu</w:t>
      </w:r>
      <w:r w:rsidRPr="00900910">
        <w:rPr>
          <w:rFonts w:ascii="Book Antiqua" w:hAnsi="Book Antiqua"/>
          <w:b/>
          <w:bCs/>
          <w:sz w:val="19"/>
          <w:szCs w:val="19"/>
        </w:rPr>
        <w:t>, mediante requerimento ao juiz competente e controle da vista</w:t>
      </w:r>
      <w:r w:rsidRPr="00900910">
        <w:rPr>
          <w:rFonts w:ascii="Book Antiqua" w:hAnsi="Book Antiqua"/>
          <w:sz w:val="19"/>
          <w:szCs w:val="19"/>
        </w:rPr>
        <w:t>.</w:t>
      </w:r>
      <w:r>
        <w:rPr>
          <w:rFonts w:ascii="Book Antiqua" w:hAnsi="Book Antiqua"/>
          <w:sz w:val="19"/>
          <w:szCs w:val="19"/>
        </w:rPr>
        <w:t xml:space="preserve"> </w:t>
      </w:r>
      <w:r w:rsidRPr="0090091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(TJSC-2022)</w:t>
      </w:r>
    </w:p>
    <w:p w14:paraId="289E786E" w14:textId="76169D2D" w:rsidR="00900910" w:rsidRPr="00900910" w:rsidRDefault="00900910" w:rsidP="00900910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  <w:u w:val="single"/>
        </w:rPr>
      </w:pPr>
      <w:r w:rsidRPr="00900910">
        <w:rPr>
          <w:rFonts w:ascii="Book Antiqua" w:hAnsi="Book Antiqua"/>
          <w:b/>
          <w:bCs/>
          <w:sz w:val="19"/>
          <w:szCs w:val="19"/>
          <w:highlight w:val="magenta"/>
        </w:rPr>
        <w:lastRenderedPageBreak/>
        <w:t>§ 3o</w:t>
      </w:r>
      <w:r w:rsidRPr="00900910">
        <w:rPr>
          <w:rFonts w:ascii="Book Antiqua" w:hAnsi="Book Antiqua"/>
          <w:b/>
          <w:bCs/>
          <w:sz w:val="19"/>
          <w:szCs w:val="19"/>
        </w:rPr>
        <w:t xml:space="preserve"> Os mandados de intimação de vítimas ou de testemunhas ameaçadas deverão ser confeccionados de modo a impedir a visualização dos dados qualificativos,</w:t>
      </w:r>
      <w:r w:rsidRPr="00900910">
        <w:rPr>
          <w:rFonts w:ascii="Book Antiqua" w:hAnsi="Book Antiqua"/>
          <w:b/>
          <w:bCs/>
          <w:sz w:val="19"/>
          <w:szCs w:val="19"/>
        </w:rPr>
        <w:t xml:space="preserve"> </w:t>
      </w:r>
      <w:r w:rsidRPr="00900910">
        <w:rPr>
          <w:rFonts w:ascii="Book Antiqua" w:hAnsi="Book Antiqua"/>
          <w:b/>
          <w:bCs/>
          <w:sz w:val="19"/>
          <w:szCs w:val="19"/>
        </w:rPr>
        <w:t>salvo pelo oficial de justiça responsável pela diligência, que não deverá consignar na certidão quaisquer dados ou endereços não publicizados</w:t>
      </w:r>
      <w:r w:rsidRPr="00900910">
        <w:rPr>
          <w:rFonts w:ascii="Book Antiqua" w:hAnsi="Book Antiqua"/>
          <w:sz w:val="16"/>
          <w:szCs w:val="16"/>
        </w:rPr>
        <w:t>.</w:t>
      </w:r>
      <w:r w:rsidRPr="00900910">
        <w:rPr>
          <w:rFonts w:ascii="Book Antiqua" w:hAnsi="Book Antiqua"/>
          <w:sz w:val="16"/>
          <w:szCs w:val="16"/>
        </w:rPr>
        <w:t xml:space="preserve"> </w:t>
      </w:r>
      <w:r w:rsidRPr="0090091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(TJSC-2022)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00910" w14:paraId="4BF768C5" w14:textId="77777777" w:rsidTr="00900910">
        <w:tc>
          <w:tcPr>
            <w:tcW w:w="8494" w:type="dxa"/>
            <w:shd w:val="clear" w:color="auto" w:fill="CCFFFF"/>
          </w:tcPr>
          <w:p w14:paraId="2356974F" w14:textId="15625BB3" w:rsidR="00900910" w:rsidRPr="00900910" w:rsidRDefault="00900910" w:rsidP="00900910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900910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TJSC-2022-FGV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900910">
              <w:rPr>
                <w:rFonts w:ascii="Book Antiqua" w:hAnsi="Book Antiqua"/>
                <w:sz w:val="19"/>
                <w:szCs w:val="19"/>
              </w:rPr>
              <w:t>Em relação à proteção a vítimas e testemunhas, é correto afirmar que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900910">
              <w:rPr>
                <w:rFonts w:ascii="Book Antiqua" w:hAnsi="Book Antiqua"/>
                <w:sz w:val="19"/>
                <w:szCs w:val="19"/>
              </w:rPr>
              <w:t>os mandados de intimação de vítimas ou de testemunhas ameaçadas deverão ser confeccionados de modo a impedir a visualização dos dados qualificativos, salvo pelo oficial de justiça responsável pela diligência.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art. 2º, §3º, Res. 427/2021, CNJ.</w:t>
            </w:r>
          </w:p>
        </w:tc>
      </w:tr>
    </w:tbl>
    <w:p w14:paraId="578E8D78" w14:textId="0E577C63" w:rsidR="00900910" w:rsidRPr="00900910" w:rsidRDefault="00900910" w:rsidP="00900910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00910">
        <w:rPr>
          <w:rFonts w:ascii="Book Antiqua" w:hAnsi="Book Antiqua"/>
          <w:sz w:val="19"/>
          <w:szCs w:val="19"/>
        </w:rPr>
        <w:t>Art. 3o Recomenda-se aos tribunais que busquem celebrar acordos de cooperação ou editar atos normativos conjuntos com os Ministérios Públicos e com as Polícias para regulamentar a proteção dos dados qualificativos e endereços das vítimas e testemunhas também no âmbito dos procedimentos investigativos.</w:t>
      </w:r>
    </w:p>
    <w:p w14:paraId="3674552F" w14:textId="0BDD4342" w:rsidR="00900910" w:rsidRPr="00900910" w:rsidRDefault="00900910" w:rsidP="00900910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00910">
        <w:rPr>
          <w:rFonts w:ascii="Book Antiqua" w:hAnsi="Book Antiqua"/>
          <w:sz w:val="19"/>
          <w:szCs w:val="19"/>
        </w:rPr>
        <w:t xml:space="preserve">Art. 4o </w:t>
      </w:r>
      <w:proofErr w:type="gramStart"/>
      <w:r w:rsidRPr="00900910">
        <w:rPr>
          <w:rFonts w:ascii="Book Antiqua" w:hAnsi="Book Antiqua"/>
          <w:sz w:val="19"/>
          <w:szCs w:val="19"/>
        </w:rPr>
        <w:t>Os(</w:t>
      </w:r>
      <w:proofErr w:type="gramEnd"/>
      <w:r w:rsidRPr="00900910">
        <w:rPr>
          <w:rFonts w:ascii="Book Antiqua" w:hAnsi="Book Antiqua"/>
          <w:sz w:val="19"/>
          <w:szCs w:val="19"/>
        </w:rPr>
        <w:t>As) oficiais de justiça, por ocasião da intimação para depoimento, deverão informar as vítimas e as testemunhas quanto ao funcionamento do Balcão Virtual, instituído pela Resolução CNJ n</w:t>
      </w:r>
      <w:r>
        <w:rPr>
          <w:rFonts w:ascii="Book Antiqua" w:hAnsi="Book Antiqua"/>
          <w:sz w:val="19"/>
          <w:szCs w:val="19"/>
        </w:rPr>
        <w:t xml:space="preserve">. </w:t>
      </w:r>
      <w:r w:rsidRPr="00900910">
        <w:rPr>
          <w:rFonts w:ascii="Book Antiqua" w:hAnsi="Book Antiqua"/>
          <w:sz w:val="19"/>
          <w:szCs w:val="19"/>
        </w:rPr>
        <w:t>372/2021, e por meio do qual poderão se comunicar com servidor da serventia em que tramita o processo e esclarecerem eventuais dúvidas, sem prejuízo do atendimento presencial.</w:t>
      </w:r>
    </w:p>
    <w:p w14:paraId="731E018A" w14:textId="73A954EE" w:rsidR="00900910" w:rsidRPr="00900910" w:rsidRDefault="00900910" w:rsidP="00900910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00910">
        <w:rPr>
          <w:rFonts w:ascii="Book Antiqua" w:hAnsi="Book Antiqua"/>
          <w:sz w:val="19"/>
          <w:szCs w:val="19"/>
        </w:rPr>
        <w:t xml:space="preserve">§ 1o Na hipótese de os(as) oficiais de justiça constatarem, durante a realização da diligência, que a presença do réu(ré) na sala de audiência causará humilhação, temor, ou sério constrangimento às vítimas e testemunhas, deverão certificar tal circunstância e informá-la ao juízo. </w:t>
      </w:r>
    </w:p>
    <w:p w14:paraId="6B8773A8" w14:textId="408FD4E7" w:rsidR="00900910" w:rsidRPr="00900910" w:rsidRDefault="00900910" w:rsidP="00900910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00910">
        <w:rPr>
          <w:rFonts w:ascii="Book Antiqua" w:hAnsi="Book Antiqua"/>
          <w:sz w:val="19"/>
          <w:szCs w:val="19"/>
        </w:rPr>
        <w:t>§ 2o No atendimento de vítimas e testemunhas, os servidores do cartório</w:t>
      </w:r>
      <w:r>
        <w:rPr>
          <w:rFonts w:ascii="Book Antiqua" w:hAnsi="Book Antiqua"/>
          <w:sz w:val="19"/>
          <w:szCs w:val="19"/>
        </w:rPr>
        <w:t xml:space="preserve"> </w:t>
      </w:r>
      <w:r w:rsidRPr="00900910">
        <w:rPr>
          <w:rFonts w:ascii="Book Antiqua" w:hAnsi="Book Antiqua"/>
          <w:sz w:val="19"/>
          <w:szCs w:val="19"/>
        </w:rPr>
        <w:t>deverão informar sobre os dispositivos, ações e espaços existentes no tribunal relacionados à Política Institucional do Poder Judiciário de atenção e apoio às vítimas de crimes e atos infracionais, instituída pela Resolução CNJ n</w:t>
      </w:r>
      <w:r>
        <w:rPr>
          <w:rFonts w:ascii="Book Antiqua" w:hAnsi="Book Antiqua"/>
          <w:sz w:val="19"/>
          <w:szCs w:val="19"/>
        </w:rPr>
        <w:t xml:space="preserve">. </w:t>
      </w:r>
      <w:r w:rsidRPr="00900910">
        <w:rPr>
          <w:rFonts w:ascii="Book Antiqua" w:hAnsi="Book Antiqua"/>
          <w:sz w:val="19"/>
          <w:szCs w:val="19"/>
        </w:rPr>
        <w:t>253/2018.</w:t>
      </w:r>
    </w:p>
    <w:p w14:paraId="1322D674" w14:textId="0A78E21E" w:rsidR="00900910" w:rsidRPr="00900910" w:rsidRDefault="00900910" w:rsidP="00900910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00910">
        <w:rPr>
          <w:rFonts w:ascii="Book Antiqua" w:hAnsi="Book Antiqua"/>
          <w:sz w:val="19"/>
          <w:szCs w:val="19"/>
        </w:rPr>
        <w:t>Art. 5o Na hipótese de a presença do réu causar humilhação, temor, ou sério constrangimento à testemunha ou à vítima, de modo que prejudique a verdade do depoimento, deverão os(as) juízes(as) tomar as providências possíveis para evitar o contato direto entre eles durante a realização da audiência e, inclusive, nos momentos que a antecederem e logo após a sua finalização.</w:t>
      </w:r>
    </w:p>
    <w:p w14:paraId="3A89CD06" w14:textId="77777777" w:rsidR="00900910" w:rsidRDefault="00900910" w:rsidP="00900910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00910">
        <w:rPr>
          <w:rFonts w:ascii="Book Antiqua" w:hAnsi="Book Antiqua"/>
          <w:sz w:val="19"/>
          <w:szCs w:val="19"/>
        </w:rPr>
        <w:t>Art. 6o Esta Resolução entra em vigor na data de sua publicação.</w:t>
      </w:r>
    </w:p>
    <w:p w14:paraId="1275DCF7" w14:textId="77777777" w:rsidR="00900910" w:rsidRPr="00900910" w:rsidRDefault="00900910" w:rsidP="00900910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</w:p>
    <w:p w14:paraId="3FF421C4" w14:textId="1DF4F38D" w:rsidR="00900910" w:rsidRPr="00900910" w:rsidRDefault="00900910" w:rsidP="00900910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900910">
        <w:rPr>
          <w:rFonts w:ascii="Book Antiqua" w:hAnsi="Book Antiqua"/>
          <w:sz w:val="19"/>
          <w:szCs w:val="19"/>
        </w:rPr>
        <w:t>Ministro LUIZ FU</w:t>
      </w:r>
      <w:r w:rsidRPr="00900910">
        <w:rPr>
          <w:rFonts w:ascii="Book Antiqua" w:hAnsi="Book Antiqua"/>
          <w:sz w:val="19"/>
          <w:szCs w:val="19"/>
        </w:rPr>
        <w:t>X</w:t>
      </w:r>
    </w:p>
    <w:p w14:paraId="791D062B" w14:textId="77777777" w:rsidR="00900910" w:rsidRPr="00900910" w:rsidRDefault="00900910" w:rsidP="00900910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900910" w:rsidRPr="00900910" w:rsidSect="00900910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Cambri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56"/>
    <w:rsid w:val="0038541F"/>
    <w:rsid w:val="00900910"/>
    <w:rsid w:val="00BB7FE6"/>
    <w:rsid w:val="00D346F6"/>
    <w:rsid w:val="00F81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D0604"/>
  <w15:chartTrackingRefBased/>
  <w15:docId w15:val="{07AE705A-FA30-46A2-8228-0994880CE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009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795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2023-05-18T17:50:00Z</dcterms:created>
  <dcterms:modified xsi:type="dcterms:W3CDTF">2023-05-18T18:09:00Z</dcterms:modified>
</cp:coreProperties>
</file>