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E16A94" w14:textId="3228C89B" w:rsidR="00BB7FE6" w:rsidRPr="00AF4E9B" w:rsidRDefault="00AF4E9B" w:rsidP="00AF4E9B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AF4E9B">
        <w:rPr>
          <w:rFonts w:ascii="Book Antiqua" w:hAnsi="Book Antiqua"/>
          <w:b/>
          <w:bCs/>
          <w:sz w:val="19"/>
          <w:szCs w:val="19"/>
        </w:rPr>
        <w:t>Resolução Nº 525 de 27/09/2023</w:t>
      </w:r>
    </w:p>
    <w:p w14:paraId="45E3B0B7" w14:textId="2FBEED2C" w:rsidR="00AF4E9B" w:rsidRPr="00AF4E9B" w:rsidRDefault="00AF4E9B" w:rsidP="00AF4E9B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Altera a Resolução CNJ n. 106/2010, dispondo sobre ação afirmativa de gênero, para acesso das magistradas aos tribunais de 2º grau.</w:t>
      </w:r>
    </w:p>
    <w:p w14:paraId="2E53D80E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A PRESIDENTE DO CONSELHO NACIONAL DE JUSTIÇA, no uso de suas atribuições legais e regimentais,</w:t>
      </w:r>
    </w:p>
    <w:p w14:paraId="56931A8C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a garantia constitucional da igualdade em direitos e obrigações entre homens e mulheres (art. 5º, I da Constituição Federal);</w:t>
      </w:r>
    </w:p>
    <w:p w14:paraId="2B980459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o objetivo fundamental da República Federativa do Brasil de promoção do bem de todos(as), sem preconceitos de origem, raça, sexo, gênero, etnia, cor, idade e quaisquer outras formas de discriminação (art. 3º, IV, da Constituição Federal);</w:t>
      </w:r>
    </w:p>
    <w:p w14:paraId="66C147F7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a igualdade de gênero constitui expressão da cidadania e dignidade humana, princípios fundamentais da República Federativa do Brasil e valores do Estado Democrático de Direito;</w:t>
      </w:r>
    </w:p>
    <w:p w14:paraId="201033B7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a igualdade é um pressuposto fundamental da democracia e que a sociedade democrática jamais poderá ignorar as capacidades, os saberes, a experiência e a criatividade das mulheres;</w:t>
      </w:r>
    </w:p>
    <w:p w14:paraId="6E91D223" w14:textId="1921BCBE" w:rsidR="00AF4E9B" w:rsidRPr="00C86163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AF4E9B">
        <w:rPr>
          <w:rFonts w:ascii="Book Antiqua" w:hAnsi="Book Antiqua"/>
          <w:sz w:val="19"/>
          <w:szCs w:val="19"/>
        </w:rPr>
        <w:t xml:space="preserve">CONSIDERANDO o disposto no art. 4º da Convenção sobre a Eliminação de todas as Formas de Discriminações contra as Mulheres (CEDAW) de 1979, segundo o qual, a adoção pelos Estados-Partes de medidas especiais </w:t>
      </w:r>
      <w:r w:rsidRPr="00C86163">
        <w:rPr>
          <w:rFonts w:ascii="Book Antiqua" w:hAnsi="Book Antiqua"/>
          <w:b/>
          <w:bCs/>
          <w:sz w:val="19"/>
          <w:szCs w:val="19"/>
          <w:highlight w:val="cyan"/>
        </w:rPr>
        <w:t>de caráter temporário</w:t>
      </w:r>
      <w:r w:rsidRPr="00AF4E9B">
        <w:rPr>
          <w:rFonts w:ascii="Book Antiqua" w:hAnsi="Book Antiqua"/>
          <w:sz w:val="19"/>
          <w:szCs w:val="19"/>
        </w:rPr>
        <w:t xml:space="preserve"> destinadas a acelerar a igualdade de fato entre o homem e a mulher não se considerará discriminação na forma definida naquela Convenção</w:t>
      </w:r>
      <w:r w:rsidRPr="00C86163">
        <w:rPr>
          <w:rFonts w:ascii="Book Antiqua" w:hAnsi="Book Antiqua"/>
          <w:sz w:val="16"/>
          <w:szCs w:val="16"/>
        </w:rPr>
        <w:t>;</w:t>
      </w:r>
      <w:r w:rsidR="00C86163" w:rsidRPr="00C86163">
        <w:rPr>
          <w:rFonts w:ascii="Book Antiqua" w:hAnsi="Book Antiqua"/>
          <w:sz w:val="16"/>
          <w:szCs w:val="16"/>
        </w:rPr>
        <w:t xml:space="preserve"> </w:t>
      </w:r>
      <w:bookmarkStart w:id="0" w:name="_Hlk188799460"/>
      <w:r w:rsidR="00C86163" w:rsidRPr="00C86163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(ENAM/1º-2024)</w:t>
      </w:r>
      <w:bookmarkEnd w:id="0"/>
    </w:p>
    <w:p w14:paraId="5F307CB8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o disposto na Convenção Interamericana para Prevenir, Punir e Erradicar a Violência contra a Mulher (“Convenção Belém do Pará”) de 1994 e na Declaração e Plataforma de Pequim da Organização das Nações Unidas de 1995;</w:t>
      </w:r>
    </w:p>
    <w:p w14:paraId="5ACB561E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 xml:space="preserve">CONSIDERANDO que as desigualdades existentes entre homens e mulheres no mundo dos fatos são </w:t>
      </w:r>
      <w:proofErr w:type="gramStart"/>
      <w:r w:rsidRPr="00AF4E9B">
        <w:rPr>
          <w:rFonts w:ascii="Book Antiqua" w:hAnsi="Book Antiqua"/>
          <w:sz w:val="19"/>
          <w:szCs w:val="19"/>
        </w:rPr>
        <w:t>resultados</w:t>
      </w:r>
      <w:proofErr w:type="gramEnd"/>
      <w:r w:rsidRPr="00AF4E9B">
        <w:rPr>
          <w:rFonts w:ascii="Book Antiqua" w:hAnsi="Book Antiqua"/>
          <w:sz w:val="19"/>
          <w:szCs w:val="19"/>
        </w:rPr>
        <w:t xml:space="preserve"> de construções sociais, estereótipos de gênero e de papéis sociais diferenciados que há séculos sobrecarregam as mulheres e as impedem de exercer sua plena cidadania,</w:t>
      </w:r>
    </w:p>
    <w:p w14:paraId="69012360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o disposto na Convenção Internacional sobre a Eliminação de Todas as Formas de Discriminação Racial de 1966 e na Convenção Interamericana contra o Racismo, a Discriminação Racial e Formas Correlatas de Intolerância de 2013;</w:t>
      </w:r>
    </w:p>
    <w:p w14:paraId="7E2D0D0F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as desigualdades de raça, cor e etnia decorrem da discriminação estrutural que permeia a sociedade brasileira, marcada por cerca de 388 de escravidão de pessoas negras e uma abolição inconclusa até os dias atuais, em face dos índices econômicos e sociais apresentados pela população negra, em especial pelas mulheres negras, as quais apresentam especiais dificuldades de acesso a direitos;</w:t>
      </w:r>
    </w:p>
    <w:p w14:paraId="30E511E1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tal estado de coisas configura discriminação e violência de gênero em interseccionalidade com a raça, cor e etnia, as quais devem ser tratadas e superadas pelo direito, em especial pelas ferramentas previstas pelo direito da antidiscriminação;</w:t>
      </w:r>
    </w:p>
    <w:p w14:paraId="7164E07A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que, de acordo com levantamento realizado em 2023 pelo CNJ, as mulheres, embora constituam cerca de 51% da população brasileira, representam somente 38% da magistratura, sendo 40% no 1º grau de jurisdição e 21,2% no 2º grau, sem a possibilidade de se estabelecer uma tendência de crescimento de tais percentuais à luz das séries históricas aferidas;</w:t>
      </w:r>
    </w:p>
    <w:p w14:paraId="28C5E6AE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 xml:space="preserve">CONSIDERANDO que, conforme levantamento realizado em 2021 pelo CNJ, no universo de todas as magistradas brasileiras, as mulheres negras representam somente 19%, sendo 13,4% das juízas </w:t>
      </w:r>
      <w:r w:rsidRPr="00AF4E9B">
        <w:rPr>
          <w:rFonts w:ascii="Book Antiqua" w:hAnsi="Book Antiqua"/>
          <w:sz w:val="19"/>
          <w:szCs w:val="19"/>
        </w:rPr>
        <w:lastRenderedPageBreak/>
        <w:t>e 12,1% das desembargadoras, não obstante as pretas e pardas totalizem 56% da população feminina brasileira;</w:t>
      </w:r>
    </w:p>
    <w:p w14:paraId="55026045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a aprovação da Meta 9 pelo CNJ, que consiste em “integrar a Agenda 2030 ao Poder Judiciário”, e que, dentre os Objetivos de Desenvolvimento Sustentável (</w:t>
      </w:r>
      <w:proofErr w:type="spellStart"/>
      <w:r w:rsidRPr="00AF4E9B">
        <w:rPr>
          <w:rFonts w:ascii="Book Antiqua" w:hAnsi="Book Antiqua"/>
          <w:sz w:val="19"/>
          <w:szCs w:val="19"/>
        </w:rPr>
        <w:t>ODSs</w:t>
      </w:r>
      <w:proofErr w:type="spellEnd"/>
      <w:r w:rsidRPr="00AF4E9B">
        <w:rPr>
          <w:rFonts w:ascii="Book Antiqua" w:hAnsi="Book Antiqua"/>
          <w:sz w:val="19"/>
          <w:szCs w:val="19"/>
        </w:rPr>
        <w:t>) da Agenda 2030, consta o de número 5, referente à igualdade gênero, desdobrado no objetivo 5.1, para “garantir a participação plena e efetiva das mulheres e a igualdade de oportunidades para a liderança em todos os níveis de tomada de decisão na vida política, econômica e pública”;</w:t>
      </w:r>
    </w:p>
    <w:p w14:paraId="6D4803C6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a Comissão Europeia de Eficiência da Justiça aprovou em dezembro de 2022 10 diretrizes para igualdade de gênero no recrutamento e promoção de juízes, indicando a adoção, pelos tribunais, de políticas de gênero enquanto persistir as desigualdades;</w:t>
      </w:r>
    </w:p>
    <w:p w14:paraId="1E2A6B84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que o processo de promoção de magistrados(as) deve ser objetivo e transparente, baseado em dados atualizados acerca do avanço da representação de gênero entre os magistrados e magistradas;</w:t>
      </w:r>
    </w:p>
    <w:p w14:paraId="0C7CC45C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o teor das Cartas de Brasília, alusivas à 1ª e 2ª edições do Seminário Mulheres na Justiça: novos rumos da Resolução CNJ n. 255, realizados pelo Conselho Nacional de Justiça nos anos de 2022 e 2023;</w:t>
      </w:r>
    </w:p>
    <w:p w14:paraId="63699A7D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CONSIDERANDO o deliberado pelo Plenário do CNJ no julgamento do Ato n. 0005605-48.2023.2.00.0000, na 2ª Sessão Extraordinária, realizada em 26 de setembro de 2023;</w:t>
      </w:r>
    </w:p>
    <w:p w14:paraId="2916595D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RESOLVE:</w:t>
      </w:r>
    </w:p>
    <w:p w14:paraId="1EFB867C" w14:textId="77777777" w:rsid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>A</w:t>
      </w:r>
      <w:r w:rsidRPr="00AF4E9B">
        <w:rPr>
          <w:rFonts w:ascii="Book Antiqua" w:hAnsi="Book Antiqua"/>
          <w:sz w:val="19"/>
          <w:szCs w:val="19"/>
        </w:rPr>
        <w:t>rt. 1º. O art. 1º da Resolução CNJ n. 106/2010 passa a vigorar acrescido do art. 1º-A:</w:t>
      </w:r>
    </w:p>
    <w:p w14:paraId="466B71D7" w14:textId="1624DB3E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“Art. 1º-A No acesso aos tribunais de 2º grau que não alcançaram, no tangente aos cargos destinados a pessoas oriundas da carreira da magistratura, a proporção de 40% a 60% por gênero, as vagas pelo critério de merecimento serão preenchidas por intermédio de editais abertos de forma alternada para o recebimento de inscrições mistas, para homens e mulheres, ou exclusivas de mulheres, observadas as políticas de cotas instituídas por este Conselho, até o atingimento de paridade de gênero no respectivo tribunal.</w:t>
      </w:r>
    </w:p>
    <w:p w14:paraId="164F420E" w14:textId="77777777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§ 1º Para fins de preenchimento das vagas relativas à promoção pelo critério de merecimento, os quintos sucessivos a que alude o art. 3º, § 1º, aplicam-se a ambas as modalidades de edital de inscrição (misto ou exclusivo de mulheres) e devem ser aferidos a partir da lista de antiguidade, com a observância da política de cotas deste Conselho.</w:t>
      </w:r>
    </w:p>
    <w:p w14:paraId="69D03C30" w14:textId="77777777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§ 2º Para fins de aplicação do art. 93, II, a, da Constituição Federal, a consecutividade de indicação nas listas tríplices deve ser computada separadamente, conforme a modalidade de edital aberto (exclusivo ou misto), salvo a hipótese de magistrada que tenha figurado em lista mista, considerando-se consecutiva a indicação de: a) magistrado ou magistrada que figurou em duas listas seguidas decorrentes de editais com inscrições mistas, independentemente do edital de inscrição exclusiva de mulheres que tenha sido realizado entre eles; b) magistrada que figurou em duas listas seguidas, decorrentes de editais com inscrições exclusivas de mulheres, independentemente do edital de inscrição misto que tenha sido realizado entre eles; c) magistrada que figurou em duas listas seguidas decorrentes, uma de edital de inscrição exclusiva para mulheres e outra de edital de inscrição mista, ou vice-versa.</w:t>
      </w:r>
    </w:p>
    <w:p w14:paraId="011A0178" w14:textId="77777777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§ 3º Ficam resguardados os direitos dos magistrados e das magistradas remanescentes de lista para promoção por merecimento, observados os critérios estabelecidos nesta Resolução quanto à formação de listas tríplices consecutivas.</w:t>
      </w:r>
    </w:p>
    <w:p w14:paraId="4FA4FF40" w14:textId="77777777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§ 4º Para a aferição dos resultados, o CNJ deverá manter banco de dados atualizado sobre a composição dos tribunais, desagregado por gênero e cargo, especificando os acessos ao 2º grau de acordo com a modalidade de editais abertos.</w:t>
      </w:r>
    </w:p>
    <w:p w14:paraId="61312380" w14:textId="77777777" w:rsidR="00AF4E9B" w:rsidRPr="00AF4E9B" w:rsidRDefault="00AF4E9B" w:rsidP="00AF4E9B">
      <w:pPr>
        <w:spacing w:before="100" w:beforeAutospacing="1" w:after="100" w:afterAutospacing="1" w:line="240" w:lineRule="auto"/>
        <w:ind w:left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lastRenderedPageBreak/>
        <w:t xml:space="preserve">§ 5º As disposições deste artigo não se aplicam às Justiças Eleitoral e Militar. </w:t>
      </w:r>
      <w:proofErr w:type="gramStart"/>
      <w:r w:rsidRPr="00AF4E9B">
        <w:rPr>
          <w:rFonts w:ascii="Book Antiqua" w:hAnsi="Book Antiqua"/>
          <w:sz w:val="19"/>
          <w:szCs w:val="19"/>
        </w:rPr>
        <w:t>“ (</w:t>
      </w:r>
      <w:proofErr w:type="gramEnd"/>
      <w:r w:rsidRPr="00AF4E9B">
        <w:rPr>
          <w:rFonts w:ascii="Book Antiqua" w:hAnsi="Book Antiqua"/>
          <w:sz w:val="19"/>
          <w:szCs w:val="19"/>
        </w:rPr>
        <w:t>NR)</w:t>
      </w:r>
    </w:p>
    <w:p w14:paraId="6BA88F25" w14:textId="77777777" w:rsidR="00AF4E9B" w:rsidRPr="00AF4E9B" w:rsidRDefault="00AF4E9B" w:rsidP="00AF4E9B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Art. 2º Esta Resolução entra em vigor em 1º de janeiro de 2024 e aplica-se às vagas abertas após essa data.</w:t>
      </w:r>
    </w:p>
    <w:p w14:paraId="68EFB3A3" w14:textId="77777777" w:rsidR="00AF4E9B" w:rsidRPr="00AF4E9B" w:rsidRDefault="00AF4E9B" w:rsidP="00AF4E9B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19A9E967" w14:textId="4ECB6462" w:rsidR="00AF4E9B" w:rsidRPr="00AF4E9B" w:rsidRDefault="00AF4E9B" w:rsidP="00AF4E9B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AF4E9B">
        <w:rPr>
          <w:rFonts w:ascii="Book Antiqua" w:hAnsi="Book Antiqua"/>
          <w:sz w:val="19"/>
          <w:szCs w:val="19"/>
        </w:rPr>
        <w:t>Ministra ROSA WEBER</w:t>
      </w:r>
    </w:p>
    <w:sectPr w:rsidR="00AF4E9B" w:rsidRPr="00AF4E9B" w:rsidSect="00C86163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E0"/>
    <w:rsid w:val="00296E20"/>
    <w:rsid w:val="00AF4E9B"/>
    <w:rsid w:val="00BB7FE6"/>
    <w:rsid w:val="00C116E0"/>
    <w:rsid w:val="00C86163"/>
    <w:rsid w:val="00D346F6"/>
    <w:rsid w:val="00F2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4A4D8"/>
  <w15:chartTrackingRefBased/>
  <w15:docId w15:val="{D6625F9C-D16A-4B6A-9F92-A87B92C3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1143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2025-01-26T18:46:00Z</dcterms:created>
  <dcterms:modified xsi:type="dcterms:W3CDTF">2025-01-26T19:03:00Z</dcterms:modified>
</cp:coreProperties>
</file>