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2CEA8" w14:textId="6610ECB0" w:rsidR="00F430A3" w:rsidRDefault="00F430A3" w:rsidP="00F430A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FE7F88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7317E8">
        <w:rPr>
          <w:rFonts w:ascii="Book Antiqua" w:hAnsi="Book Antiqua"/>
          <w:b/>
          <w:bCs/>
          <w:color w:val="FF0000"/>
          <w:sz w:val="19"/>
          <w:szCs w:val="19"/>
        </w:rPr>
        <w:t>27/10</w:t>
      </w:r>
      <w:r w:rsidRPr="00FE7F88">
        <w:rPr>
          <w:rFonts w:ascii="Book Antiqua" w:hAnsi="Book Antiqua"/>
          <w:b/>
          <w:bCs/>
          <w:color w:val="FF0000"/>
          <w:sz w:val="19"/>
          <w:szCs w:val="19"/>
        </w:rPr>
        <w:t>/2024: questões de concurso)</w:t>
      </w:r>
    </w:p>
    <w:p w14:paraId="419915B7" w14:textId="609D4166" w:rsidR="00F430A3" w:rsidRPr="00F430A3" w:rsidRDefault="00F430A3" w:rsidP="00F430A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F430A3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28E2E78C" w14:textId="77777777" w:rsidR="00F430A3" w:rsidRPr="00F430A3" w:rsidRDefault="00F430A3" w:rsidP="00F430A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b/>
          <w:bCs/>
          <w:sz w:val="19"/>
          <w:szCs w:val="19"/>
        </w:rPr>
        <w:t>RECOMENDAÇÃO Nº 80, DE 24 DE MARÇO DE 2021</w:t>
      </w:r>
      <w:r w:rsidRPr="00F430A3">
        <w:rPr>
          <w:rFonts w:ascii="Book Antiqua" w:hAnsi="Book Antiqua"/>
          <w:sz w:val="19"/>
          <w:szCs w:val="19"/>
        </w:rPr>
        <w:t>.</w:t>
      </w:r>
    </w:p>
    <w:p w14:paraId="23D9A613" w14:textId="77777777" w:rsidR="00F430A3" w:rsidRPr="00F430A3" w:rsidRDefault="00F430A3" w:rsidP="00F430A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>Vide Recomendação nº 79, de 30 de novembro de 2020</w:t>
      </w:r>
    </w:p>
    <w:p w14:paraId="6FC4F3ED" w14:textId="77777777" w:rsidR="00F430A3" w:rsidRPr="00F430A3" w:rsidRDefault="00F430A3" w:rsidP="00F430A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>Vide Resolução nº 221, de 11 de novembro de 2020</w:t>
      </w:r>
    </w:p>
    <w:p w14:paraId="6B0FC97A" w14:textId="5BB777C1" w:rsidR="00F430A3" w:rsidRPr="00F430A3" w:rsidRDefault="00F430A3" w:rsidP="00F430A3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>Dispõe sobre a necessidade de aprimoramento da atuação do Ministério Público no enfrentamento da violência de gênero e da violência institucional e dá outras providências.</w:t>
      </w:r>
    </w:p>
    <w:p w14:paraId="15FF14F5" w14:textId="77777777" w:rsidR="00F430A3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>O CONSELHO NACIONAL DO MINISTÉRIO PÚBLICO, no exercício da competência fixada no art. 130-A, § 2°, I, da Constituição da República, com fundamento no art. 147, I, de seu Regimento Interno e na decisão plenária proferida nos autos da Proposição nº 1.01012/2020-94, julgada na 3° Sessão Ordinária, realizada no dia 09 de março de 2021;</w:t>
      </w:r>
    </w:p>
    <w:p w14:paraId="0913F379" w14:textId="77777777" w:rsidR="00F430A3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>Considerando que a Convenção de Belém do Pará (Convenção Interamericana para Prevenir, Punir e Erradicar a Violência Contra a Mulher, adotada pela OEA em 1994) define a violência contra a mulher como qualquer ato ou conduta baseada no gênero que cause morte, dano ou sofrimento físico,</w:t>
      </w:r>
      <w:r>
        <w:rPr>
          <w:rFonts w:ascii="Book Antiqua" w:hAnsi="Book Antiqua"/>
          <w:sz w:val="19"/>
          <w:szCs w:val="19"/>
        </w:rPr>
        <w:t xml:space="preserve"> s</w:t>
      </w:r>
      <w:r w:rsidRPr="00F430A3">
        <w:rPr>
          <w:rFonts w:ascii="Book Antiqua" w:hAnsi="Book Antiqua"/>
          <w:sz w:val="19"/>
          <w:szCs w:val="19"/>
        </w:rPr>
        <w:t xml:space="preserve">exual ou psicológico à mulher, tanto na esfera pública como na esfera privada; </w:t>
      </w:r>
    </w:p>
    <w:p w14:paraId="16FCA880" w14:textId="77777777" w:rsidR="00F430A3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 xml:space="preserve">Considerando a importância de assegurar tratamento adequado aos conflitos decorrentes da prática de violência contra a mulher, especialmente em face dos crimes enquadrados na Lei nº 13.104, de 9 de março de 2015, e dos demais crimes provocados em razão de gênero; </w:t>
      </w:r>
    </w:p>
    <w:p w14:paraId="1836F7E5" w14:textId="77777777" w:rsidR="00F430A3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>Considerando que a apuração de crimes contra a mulher, em especial quando envolvem violência sexual, demandam uma abordagem especializada e interdisciplinar, tanto na coleta de provas relativas à autoria e materialidade da infração, como para evitar que seja submetida a uma situação vexatória ou constrangedora pela investigação;</w:t>
      </w:r>
    </w:p>
    <w:p w14:paraId="703BFA26" w14:textId="77777777" w:rsidR="00F430A3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>Considerando que, para evitar a ocorrência de tal situação e permitir a adequada apuração dos fatos e a responsabilização do agente, é fundamental a capacitação de membros e que o Ministério Público cobre e acompanhe dos órgãos de investigação policial cautelas nas</w:t>
      </w:r>
      <w:r>
        <w:rPr>
          <w:rFonts w:ascii="Book Antiqua" w:hAnsi="Book Antiqua"/>
          <w:sz w:val="19"/>
          <w:szCs w:val="19"/>
        </w:rPr>
        <w:t xml:space="preserve"> </w:t>
      </w:r>
      <w:r w:rsidRPr="00F430A3">
        <w:rPr>
          <w:rFonts w:ascii="Book Antiqua" w:hAnsi="Book Antiqua"/>
          <w:sz w:val="19"/>
          <w:szCs w:val="19"/>
        </w:rPr>
        <w:t>investigações e abordagens, de modo a evitar a revitimização da mulher, procurando-se preservar ao máximo sua integridade psíquica e emocional; e Considerando que o sistema de justiça, por seus diversos atores, não raras vezes reafirma discursos de culpabilização da vítima e de reconhecimento de papeis sociais que tendem a justificar as agressões, RESOLVE:</w:t>
      </w:r>
    </w:p>
    <w:p w14:paraId="79BA9835" w14:textId="77777777" w:rsidR="00F430A3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 xml:space="preserve">Art. 1º Recomendar que as Procuradorias-Gerais priorizem a temática violência de gênero no planejamento estratégico das unidades e ramos, garantindo que todos os procedimentos legais em casos envolvendo alegações de violência de gênero contra as mulheres sejam imparciais e justos e não sejam afetados por estereótipos de gênero ou interpretações discriminatórias de disposições legais, inclusive de direito internacional. </w:t>
      </w:r>
    </w:p>
    <w:p w14:paraId="66070C0B" w14:textId="5B416B43" w:rsidR="00F430A3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b/>
          <w:bCs/>
          <w:sz w:val="19"/>
          <w:szCs w:val="19"/>
          <w:highlight w:val="magenta"/>
        </w:rPr>
        <w:t>Art. 2º</w:t>
      </w:r>
      <w:r w:rsidRPr="00F430A3">
        <w:rPr>
          <w:rFonts w:ascii="Book Antiqua" w:hAnsi="Book Antiqua"/>
          <w:b/>
          <w:bCs/>
          <w:sz w:val="19"/>
          <w:szCs w:val="19"/>
        </w:rPr>
        <w:t xml:space="preserve"> Recomendar que os Diretores dos Centros de Estudos e Aperfeiçoamento Funcional empreendam esforços para a inclusão do tema violência de gênero nos cursos de formação e atualização dos membros do Ministério Público</w:t>
      </w:r>
      <w:r w:rsidRPr="00F430A3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bookmarkStart w:id="0" w:name="_Hlk174455236"/>
      <w:r w:rsidRPr="00FE7F8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(MPMG-2022)</w:t>
      </w:r>
      <w:bookmarkEnd w:id="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F430A3" w14:paraId="24C92D2F" w14:textId="77777777" w:rsidTr="00F430A3">
        <w:tc>
          <w:tcPr>
            <w:tcW w:w="8494" w:type="dxa"/>
            <w:shd w:val="clear" w:color="auto" w:fill="CCFFFF"/>
          </w:tcPr>
          <w:p w14:paraId="07ECDC39" w14:textId="2A8886DE" w:rsidR="00F430A3" w:rsidRDefault="00F430A3" w:rsidP="00F430A3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FE7F88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MPMG-2022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Assinale a alternativa correta: </w:t>
            </w:r>
            <w:r w:rsidRPr="00F430A3">
              <w:rPr>
                <w:rFonts w:ascii="Book Antiqua" w:hAnsi="Book Antiqua"/>
                <w:sz w:val="19"/>
                <w:szCs w:val="19"/>
              </w:rPr>
              <w:t>Na Recomendação 80/2021 do Conselho Nacional do Ministério Público, que dispõe sobre a necessidade de aprimoramento da atuação do Ministério Público no enfrentamento da violência de gênero e da violência institucional, defende-se a inclusão do tema da violência de gênero nos cursos de formação e atualização dos membros do Ministério Público.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</w:t>
            </w:r>
            <w:r w:rsidR="007317E8">
              <w:rPr>
                <w:rFonts w:ascii="Book Antiqua" w:hAnsi="Book Antiqua"/>
                <w:b/>
                <w:bCs/>
                <w:sz w:val="19"/>
                <w:szCs w:val="19"/>
              </w:rPr>
              <w:t>2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º, Recomendação 80/21, CNMP.</w:t>
            </w:r>
          </w:p>
        </w:tc>
      </w:tr>
    </w:tbl>
    <w:p w14:paraId="08A3FEAA" w14:textId="0A492698" w:rsidR="00F430A3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 xml:space="preserve">Parágrafo único. Os cursos de capacitação serão ministrados, presencialmente e à distância, pelas Escolas dos Ministérios Públicos da União e dos Estados, Centros de Estudos e Aperfeiçoamento </w:t>
      </w:r>
      <w:r w:rsidRPr="00F430A3">
        <w:rPr>
          <w:rFonts w:ascii="Book Antiqua" w:hAnsi="Book Antiqua"/>
          <w:sz w:val="19"/>
          <w:szCs w:val="19"/>
        </w:rPr>
        <w:lastRenderedPageBreak/>
        <w:t xml:space="preserve">Funcional, Centros de Apoio Operacional e outros órgãos internos com atribuição na formação continuada de membros e servidores. </w:t>
      </w:r>
    </w:p>
    <w:p w14:paraId="1FDEFFE5" w14:textId="2824DF54" w:rsidR="00F430A3" w:rsidRPr="007317E8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7317E8">
        <w:rPr>
          <w:rFonts w:ascii="Book Antiqua" w:hAnsi="Book Antiqua"/>
          <w:b/>
          <w:bCs/>
          <w:sz w:val="19"/>
          <w:szCs w:val="19"/>
          <w:highlight w:val="magenta"/>
        </w:rPr>
        <w:t>Art. 3º</w:t>
      </w:r>
      <w:r w:rsidRPr="00F430A3">
        <w:rPr>
          <w:rFonts w:ascii="Book Antiqua" w:hAnsi="Book Antiqua"/>
          <w:sz w:val="19"/>
          <w:szCs w:val="19"/>
        </w:rPr>
        <w:t xml:space="preserve"> </w:t>
      </w:r>
      <w:r w:rsidRPr="007317E8">
        <w:rPr>
          <w:rFonts w:ascii="Book Antiqua" w:hAnsi="Book Antiqua"/>
          <w:b/>
          <w:bCs/>
          <w:sz w:val="19"/>
          <w:szCs w:val="19"/>
        </w:rPr>
        <w:t xml:space="preserve">Recomendar aos membros do Ministério Público que adotem as medidas necessárias para proteger de forma efetiva mulheres vítimas e testemunhas de denúncias relacionadas à violência de gênero. </w:t>
      </w:r>
      <w:r w:rsidR="007317E8" w:rsidRPr="007317E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</w:t>
      </w:r>
      <w:r w:rsidR="007317E8" w:rsidRPr="007317E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MPRR-2023</w:t>
      </w:r>
      <w:r w:rsidR="007317E8" w:rsidRPr="007317E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2FC3539F" w14:textId="49EA187F" w:rsidR="00F430A3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color w:val="FF0000"/>
          <w:sz w:val="16"/>
          <w:szCs w:val="16"/>
        </w:rPr>
      </w:pPr>
      <w:r w:rsidRPr="007317E8">
        <w:rPr>
          <w:rFonts w:ascii="Book Antiqua" w:hAnsi="Book Antiqua"/>
          <w:b/>
          <w:bCs/>
          <w:sz w:val="19"/>
          <w:szCs w:val="19"/>
          <w:highlight w:val="magenta"/>
        </w:rPr>
        <w:t>Parágrafo único</w:t>
      </w:r>
      <w:r w:rsidRPr="007317E8">
        <w:rPr>
          <w:rFonts w:ascii="Book Antiqua" w:hAnsi="Book Antiqua"/>
          <w:b/>
          <w:bCs/>
          <w:sz w:val="19"/>
          <w:szCs w:val="19"/>
        </w:rPr>
        <w:t xml:space="preserve">. Os membros do Ministério Público com atribuições de controle externo da atividade policial devem priorizar a averiguação dos boletins de ocorrência e </w:t>
      </w:r>
      <w:proofErr w:type="spellStart"/>
      <w:r w:rsidRPr="007317E8">
        <w:rPr>
          <w:rFonts w:ascii="Book Antiqua" w:hAnsi="Book Antiqua"/>
          <w:b/>
          <w:bCs/>
          <w:sz w:val="19"/>
          <w:szCs w:val="19"/>
        </w:rPr>
        <w:t>notitia</w:t>
      </w:r>
      <w:proofErr w:type="spellEnd"/>
      <w:r w:rsidRPr="007317E8">
        <w:rPr>
          <w:rFonts w:ascii="Book Antiqua" w:hAnsi="Book Antiqua"/>
          <w:b/>
          <w:bCs/>
          <w:sz w:val="19"/>
          <w:szCs w:val="19"/>
        </w:rPr>
        <w:t xml:space="preserve"> criminis que tratam de crimes relacionados à violência de gênero, além de, com apoio da respectiva Administração Superior do Ministério Público, realizar diagnóstico das eventuais causas de não investigação desses crimes. </w:t>
      </w:r>
      <w:bookmarkStart w:id="1" w:name="_Hlk180936332"/>
      <w:r w:rsidR="007317E8" w:rsidRPr="007317E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(MPRR-2023)</w:t>
      </w:r>
      <w:bookmarkEnd w:id="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317E8" w14:paraId="6F5CA25C" w14:textId="77777777" w:rsidTr="009742A2">
        <w:tc>
          <w:tcPr>
            <w:tcW w:w="8494" w:type="dxa"/>
            <w:shd w:val="clear" w:color="auto" w:fill="CCFFFF"/>
          </w:tcPr>
          <w:p w14:paraId="33DAE3A9" w14:textId="1B76DA27" w:rsidR="007317E8" w:rsidRDefault="007317E8" w:rsidP="007317E8">
            <w:pPr>
              <w:spacing w:before="100" w:beforeAutospacing="1" w:after="100" w:afterAutospacing="1"/>
              <w:jc w:val="both"/>
              <w:rPr>
                <w:rFonts w:ascii="Book Antiqua" w:hAnsi="Book Antiqua"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FE7F88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RR-2023-AOCP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7317E8">
              <w:rPr>
                <w:rFonts w:ascii="Book Antiqua" w:hAnsi="Book Antiqua"/>
                <w:sz w:val="19"/>
                <w:szCs w:val="19"/>
              </w:rPr>
              <w:t>Nos termos da Recomendação nº 80/21 do CNMP, na atuação do MP no enfrentamento da violência de gênero e institucional, é EXPRESSAMENTE recomendado que os membros do Ministério Público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7317E8">
              <w:rPr>
                <w:rFonts w:ascii="Book Antiqua" w:hAnsi="Book Antiqua"/>
                <w:sz w:val="19"/>
                <w:szCs w:val="19"/>
              </w:rPr>
              <w:t xml:space="preserve">com atribuições de controle externo da atividade policial, priorizem a averiguação dos boletins de ocorrência e </w:t>
            </w:r>
            <w:proofErr w:type="spellStart"/>
            <w:r w:rsidRPr="007317E8">
              <w:rPr>
                <w:rFonts w:ascii="Book Antiqua" w:hAnsi="Book Antiqua"/>
                <w:sz w:val="19"/>
                <w:szCs w:val="19"/>
              </w:rPr>
              <w:t>notitia</w:t>
            </w:r>
            <w:proofErr w:type="spellEnd"/>
            <w:r w:rsidRPr="007317E8">
              <w:rPr>
                <w:rFonts w:ascii="Book Antiqua" w:hAnsi="Book Antiqua"/>
                <w:sz w:val="19"/>
                <w:szCs w:val="19"/>
              </w:rPr>
              <w:t xml:space="preserve"> criminis que tratam de crimes relacionados à violência de gênero.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3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º,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e § único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Recomendação 80/21, CNMP.</w:t>
            </w:r>
          </w:p>
        </w:tc>
      </w:tr>
    </w:tbl>
    <w:p w14:paraId="25E6426D" w14:textId="025270F0" w:rsidR="00F430A3" w:rsidRPr="00F430A3" w:rsidRDefault="00F430A3" w:rsidP="00F430A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 xml:space="preserve">Art. 4º Esta Recomendação entra em vigor na data de sua publicação. </w:t>
      </w:r>
    </w:p>
    <w:p w14:paraId="0D8F1BCE" w14:textId="736BC996" w:rsidR="00F430A3" w:rsidRPr="00F430A3" w:rsidRDefault="00F430A3" w:rsidP="00F430A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>Brasília-DF, 24 de março de 2021.</w:t>
      </w:r>
    </w:p>
    <w:p w14:paraId="462A56E6" w14:textId="77777777" w:rsidR="00F430A3" w:rsidRPr="00F430A3" w:rsidRDefault="00F430A3" w:rsidP="00F430A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>ANTÔNIO AUGUSTO BRANDÃO DE ARAS</w:t>
      </w:r>
    </w:p>
    <w:p w14:paraId="15FC47C2" w14:textId="7B8815FA" w:rsidR="00F430A3" w:rsidRPr="00F430A3" w:rsidRDefault="00F430A3" w:rsidP="00F430A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F430A3">
        <w:rPr>
          <w:rFonts w:ascii="Book Antiqua" w:hAnsi="Book Antiqua"/>
          <w:sz w:val="19"/>
          <w:szCs w:val="19"/>
        </w:rPr>
        <w:t>Presidente do Conselho Nacional do Ministério Público.</w:t>
      </w:r>
    </w:p>
    <w:sectPr w:rsidR="00F430A3" w:rsidRPr="00F430A3" w:rsidSect="00F430A3">
      <w:pgSz w:w="11906" w:h="16838"/>
      <w:pgMar w:top="1135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F7"/>
    <w:rsid w:val="002C5A48"/>
    <w:rsid w:val="00696DD8"/>
    <w:rsid w:val="007317E8"/>
    <w:rsid w:val="00855AF7"/>
    <w:rsid w:val="00BB7FE6"/>
    <w:rsid w:val="00D346F6"/>
    <w:rsid w:val="00F4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B8BE9"/>
  <w15:chartTrackingRefBased/>
  <w15:docId w15:val="{04690372-D875-47DD-AD27-6CC983B1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43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779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2024-08-13T18:21:00Z</dcterms:created>
  <dcterms:modified xsi:type="dcterms:W3CDTF">2024-10-27T18:49:00Z</dcterms:modified>
</cp:coreProperties>
</file>