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BDB29" w14:textId="2BBCD7D8" w:rsidR="00A97FA0" w:rsidRPr="00A97FA0" w:rsidRDefault="00A97FA0" w:rsidP="00A97FA0">
      <w:pPr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A97FA0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652420">
        <w:rPr>
          <w:rFonts w:ascii="Book Antiqua" w:hAnsi="Book Antiqua"/>
          <w:b/>
          <w:bCs/>
          <w:color w:val="FF0000"/>
          <w:sz w:val="19"/>
          <w:szCs w:val="19"/>
        </w:rPr>
        <w:t>07/05</w:t>
      </w:r>
      <w:r w:rsidRPr="00A97FA0">
        <w:rPr>
          <w:rFonts w:ascii="Book Antiqua" w:hAnsi="Book Antiqua"/>
          <w:b/>
          <w:bCs/>
          <w:color w:val="FF0000"/>
          <w:sz w:val="19"/>
          <w:szCs w:val="19"/>
        </w:rPr>
        <w:t>/2021: questões de concurso)</w:t>
      </w:r>
    </w:p>
    <w:p w14:paraId="4409B7FF" w14:textId="6F5CFB26" w:rsidR="00A97FA0" w:rsidRPr="00A97FA0" w:rsidRDefault="00A97FA0" w:rsidP="00A97FA0">
      <w:pPr>
        <w:jc w:val="center"/>
        <w:rPr>
          <w:rFonts w:ascii="Book Antiqua" w:hAnsi="Book Antiqua"/>
          <w:b/>
          <w:bCs/>
          <w:sz w:val="19"/>
          <w:szCs w:val="19"/>
        </w:rPr>
      </w:pPr>
      <w:r w:rsidRPr="00A97FA0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2C6EAC63" w14:textId="77777777" w:rsidR="00652420" w:rsidRPr="00652420" w:rsidRDefault="00652420" w:rsidP="00652420">
      <w:pPr>
        <w:jc w:val="center"/>
        <w:rPr>
          <w:rFonts w:ascii="Book Antiqua" w:hAnsi="Book Antiqua"/>
          <w:b/>
          <w:bCs/>
          <w:sz w:val="19"/>
          <w:szCs w:val="19"/>
        </w:rPr>
      </w:pPr>
      <w:r w:rsidRPr="00652420">
        <w:rPr>
          <w:rFonts w:ascii="Book Antiqua" w:hAnsi="Book Antiqua"/>
          <w:b/>
          <w:bCs/>
          <w:sz w:val="19"/>
          <w:szCs w:val="19"/>
        </w:rPr>
        <w:t>RESOLUÇÃO Nº 56, DE 22 DE JUNHO DE 2010.</w:t>
      </w:r>
    </w:p>
    <w:p w14:paraId="57E7BCA2" w14:textId="58C1B526" w:rsidR="00652420" w:rsidRDefault="00652420" w:rsidP="00652420">
      <w:pPr>
        <w:ind w:left="212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Dispõe sobre a uniformização das inspeções em estabelecimentos penais pelos membros do Ministério Público</w:t>
      </w:r>
    </w:p>
    <w:p w14:paraId="5C80ED2C" w14:textId="77777777" w:rsidR="00652420" w:rsidRPr="00A97FA0" w:rsidRDefault="00652420" w:rsidP="00A97FA0">
      <w:pPr>
        <w:ind w:left="2127"/>
        <w:jc w:val="both"/>
        <w:rPr>
          <w:rFonts w:ascii="Book Antiqua" w:hAnsi="Book Antiqua"/>
          <w:sz w:val="19"/>
          <w:szCs w:val="19"/>
        </w:rPr>
      </w:pPr>
    </w:p>
    <w:p w14:paraId="33C61C15" w14:textId="77777777" w:rsid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O CONSELHO NACIONAL DO MINISTÉRIO PÚBLICO, no exercício das atribuições que lhe são conferidas pelo artigo 130-A, parágrafo 2°, inciso I, da Constituição Federal e com arrimo no artigo 19 de seu Regimento Interno, em conformidade com a decisão Plenária tomada na 5ª Sessão Extraordinária, realizada em 22/06/2010,</w:t>
      </w:r>
    </w:p>
    <w:p w14:paraId="7BF37D3D" w14:textId="52302792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Considerando que o respeito à integridade física e moral dos presos é assegurado pelo artigo 5º, inciso XLIX, da Constituição Federal;</w:t>
      </w:r>
    </w:p>
    <w:p w14:paraId="12A68989" w14:textId="1C6AF2FE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Considerando a necessidade de regulamentação da atribuição conferida ao Ministério Público pelo artigo 68, parágrafo único, da Lei n. 7.210/84;</w:t>
      </w:r>
    </w:p>
    <w:p w14:paraId="20CADC06" w14:textId="5B7B8A66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Considerando a importância da padronização das visitas aos estabelecimentos penais promovidas pelo Ministério Público, com vista à atuação integrada da instituição na área da execução penal;</w:t>
      </w:r>
    </w:p>
    <w:p w14:paraId="20649752" w14:textId="0AF9BEF0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Considerando a conveniência da unificação dos relatórios de visita a estabelecimentos</w:t>
      </w:r>
      <w:r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sz w:val="19"/>
          <w:szCs w:val="19"/>
        </w:rPr>
        <w:t>penais, a fim de criar e alimentar banco de dados deste órgão nacional de controle, RESOLVE:</w:t>
      </w:r>
    </w:p>
    <w:p w14:paraId="1F8DD1BD" w14:textId="4F51ECAA" w:rsidR="00652420" w:rsidRPr="00652420" w:rsidRDefault="00652420" w:rsidP="00652420">
      <w:pPr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652420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652420">
        <w:rPr>
          <w:rFonts w:ascii="Book Antiqua" w:hAnsi="Book Antiqua"/>
          <w:sz w:val="19"/>
          <w:szCs w:val="19"/>
        </w:rPr>
        <w:t xml:space="preserve"> Os membros do Ministério Público incumbidos do controle do sistema carcerário </w:t>
      </w:r>
      <w:r w:rsidRPr="00652420">
        <w:rPr>
          <w:rFonts w:ascii="Book Antiqua" w:hAnsi="Book Antiqua"/>
          <w:b/>
          <w:bCs/>
          <w:caps/>
          <w:sz w:val="19"/>
          <w:szCs w:val="19"/>
          <w:highlight w:val="green"/>
        </w:rPr>
        <w:t>devem visitar</w:t>
      </w:r>
      <w:r w:rsidRPr="00652420"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b/>
          <w:bCs/>
          <w:sz w:val="19"/>
          <w:szCs w:val="19"/>
          <w:highlight w:val="cyan"/>
        </w:rPr>
        <w:t>mensalmente</w:t>
      </w:r>
      <w:r w:rsidRPr="00652420">
        <w:rPr>
          <w:rFonts w:ascii="Book Antiqua" w:hAnsi="Book Antiqua"/>
          <w:sz w:val="19"/>
          <w:szCs w:val="19"/>
        </w:rPr>
        <w:t xml:space="preserve"> os estabelecimentos penais sob sua responsabilidade, registrando a sua presença em livro próprio.</w:t>
      </w:r>
      <w:r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b/>
          <w:bCs/>
          <w:color w:val="FF0000"/>
          <w:sz w:val="19"/>
          <w:szCs w:val="19"/>
          <w:u w:val="single"/>
        </w:rPr>
        <w:t>(MPRS-2016)</w:t>
      </w:r>
    </w:p>
    <w:p w14:paraId="1C5F7EAA" w14:textId="3014DA53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Parágrafo único. As respectivas unidades do Ministério Público devem assegurar</w:t>
      </w:r>
      <w:r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sz w:val="19"/>
          <w:szCs w:val="19"/>
        </w:rPr>
        <w:t>condições de segurança aos seus membros no cumprimento do dever de visita aos estabelecimentos penais.</w:t>
      </w:r>
    </w:p>
    <w:p w14:paraId="1EECC0F9" w14:textId="43387257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Art. 1º-A. A implementação da Política Nacional de Trabalho no âmbito do Sistema Prisional será fiscalizada pelo Ministério Público por meio da interação e da troca de informação entre os membros com atribuição para fiscalização do controle do sistema carcerário, com o objetivo de acompanhar as contratações públicas e fiscalizar a regularidade</w:t>
      </w:r>
      <w:r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sz w:val="19"/>
          <w:szCs w:val="19"/>
        </w:rPr>
        <w:t>do desenvolvimento das condições de saúde e segurança no trabalho, com especial atenção ao cumprimento dos direitos trabalhistas, especialmente aqueles mencionados no art. 7º do Decreto nº 9.450/2018. (Incluído pela Resolução nº 196, de 26 de março de 2019)</w:t>
      </w:r>
    </w:p>
    <w:p w14:paraId="56120C0E" w14:textId="46A0D70E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§1º Poderão ser instituídos grupos interministeriais permanentes de acompanhamento</w:t>
      </w:r>
      <w:r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sz w:val="19"/>
          <w:szCs w:val="19"/>
        </w:rPr>
        <w:t>da implementação da Política Nacional de Trabalho no âmbito do Sistema Prisional, especialmente em face do desenvolvimento de atividades externas às unidades carcerárias, que deverão atuar articuladamente para garantir a observância das cotas fixadas e a regularidade das contratações públicas, do desenvolvimento das condições de saúde e segurança no trabalho, e do cumprimento de direitos trabalhistas respectivos, especialmente aqueles mencionados no art. 7º do Decreto nº 9.450/2018. (Incluído pela Resolução nº 196, de 26 de março de 2019)</w:t>
      </w:r>
    </w:p>
    <w:p w14:paraId="6EC93734" w14:textId="7FD6BBF9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§ 2º Nas unidades prisionais onde seja desenvolvido trabalho interno, a inspeção mensal deverá ser preferencialmente acompanhada por membro do Ministério Público do Trabalho designado para avaliação das condições ambientais laborais e regularidade do cumprimento de direitos trabalhistas respectivos dos profissionais lotados no sistema prisional, bem assim aqueles mencionados no art. 7º do Decreto nº 9.450/2018. (Incluído pela Resolução nº 196, de 26 de março de 2019)</w:t>
      </w:r>
    </w:p>
    <w:p w14:paraId="0F732E6C" w14:textId="7076FBFC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Art.1º-B. Os ramos e as unidades do Ministério Público deverão acompanhar e estimular de forma resolutiva a constituição e a implementação dos Planos Estaduais decorrentes da Política Nacional de Trabalho no âmbito do Sistema Prisional, em articulação com as secretarias responsáveis pela administração prisional e aquelas responsáveis pelas políticas de trabalho e educação. (Incluído pela Resolução nº 196, de 26 de março de 2019)</w:t>
      </w:r>
    </w:p>
    <w:p w14:paraId="199B673B" w14:textId="447CCB5C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lastRenderedPageBreak/>
        <w:t>Art. 2º No mês de março, lavrar-se-á o relatório anual, sendo que nos meses de junho,</w:t>
      </w:r>
      <w:r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sz w:val="19"/>
          <w:szCs w:val="19"/>
        </w:rPr>
        <w:t>setembro e dezembro lavrar-se-ão relatórios trimestrais, a serem enviados à Corregedoria-Geral do respectivo Ministério Público até o dia 5 (cinco) dos meses subsequentes. (Redação dada pela Resolução n° 120, de 24 de fevereiro de 2015)</w:t>
      </w:r>
    </w:p>
    <w:p w14:paraId="57A902FA" w14:textId="42C54D8D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§ 1º As visitas mensais, legalmente exigidas pela Lei de Execuções Penais, deverão ser realizadas e registradas em livro próprio. (Redação dada pela Resolução n° 120, de 24 de fevereiro de 2015)</w:t>
      </w:r>
    </w:p>
    <w:p w14:paraId="102EE2B6" w14:textId="51518C7E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§ 2º Os formulários serão previamente aprovados no âmbito da Comissão do Sistema Prisional, Controle Externo da Atividade Policial e Segurança Pública, e disponibilizados no</w:t>
      </w:r>
      <w:r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sz w:val="19"/>
          <w:szCs w:val="19"/>
        </w:rPr>
        <w:t>sítio do Conselho Nacional do Ministério Público, contendo: (Redação dada pela Resolução n° 120, de 24 de fevereiro de 2015)</w:t>
      </w:r>
    </w:p>
    <w:p w14:paraId="559C3329" w14:textId="4087A2ED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I - classificação, instalações físicas, recursos humanos, capacidade e ocupação do estabelecimento penal; (Incluído pela Resolução n° 120, de 24 de fevereiro de 2015)</w:t>
      </w:r>
    </w:p>
    <w:p w14:paraId="59088F3A" w14:textId="2E82402E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II - perfil da população carcerária, assistência, trabalho, disciplina e observância dos direitos dos presos ou internados; (Incluído pela Resolução n° 120, de 24 de fevereiro de 2015)</w:t>
      </w:r>
    </w:p>
    <w:p w14:paraId="0FF517DF" w14:textId="55E4F5A2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III - medidas adotadas para a promoção do funcionamento adequado do estabelecimento; (Incluído pela Resolução n° 120, de 24 de fevereiro de 2015)</w:t>
      </w:r>
    </w:p>
    <w:p w14:paraId="74B04E3C" w14:textId="4BB02849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IV - considerações gerais e outros dados reputados relevantes. (Incluído pela Resolução n° 120, de 24 de fevereiro de 2015)</w:t>
      </w:r>
    </w:p>
    <w:p w14:paraId="58C11269" w14:textId="077D3020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§ 3º Nos estabelecimentos prisionais militares federais que estejam situados fora das</w:t>
      </w:r>
      <w:r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sz w:val="19"/>
          <w:szCs w:val="19"/>
        </w:rPr>
        <w:t>sedes das respectivas Procuradorias de Justiça Militar, ocorrendo situação excepcional que inviabilize a realização das visitas mensais, tal falto deverá constar do respectivo relatório.</w:t>
      </w:r>
      <w:r>
        <w:rPr>
          <w:rFonts w:ascii="Book Antiqua" w:hAnsi="Book Antiqua"/>
          <w:sz w:val="19"/>
          <w:szCs w:val="19"/>
        </w:rPr>
        <w:t xml:space="preserve"> </w:t>
      </w:r>
      <w:r w:rsidRPr="00652420">
        <w:rPr>
          <w:rFonts w:ascii="Book Antiqua" w:hAnsi="Book Antiqua"/>
          <w:sz w:val="19"/>
          <w:szCs w:val="19"/>
        </w:rPr>
        <w:t>(Redação dada pela Resolução n° 134, de 26 de janeiro de 2016)</w:t>
      </w:r>
    </w:p>
    <w:p w14:paraId="0FD885F4" w14:textId="29B561F2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Art. 3º A Comissão do Sistema Prisional, Controle Externo da Atividade Policial e Segurança Pública encaminhará à Corregedoria Nacional relatório trimestral acerca do atendimento desta Resolução. (Redação dada pela Resolução n° 120, de 24 de fevereiro de 2015)</w:t>
      </w:r>
    </w:p>
    <w:p w14:paraId="285B114C" w14:textId="2EEF1964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Art. 4º A Comissão do Sistema Prisional, Controle Externo da Atividade Policial e Segurança Pública disponibilizará no sítio do Conselho Nacional do Ministério Público instruções para o preenchimento e remessa dos relatórios. (Redação dada pela Resolução n° 120, de 24 de fevereiro de 2015)</w:t>
      </w:r>
    </w:p>
    <w:p w14:paraId="48B35CD0" w14:textId="77777777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Art. 5º Esta Resolução entra em vigor na data de sua publicação.</w:t>
      </w:r>
    </w:p>
    <w:p w14:paraId="23FC66FD" w14:textId="25ADEAB8" w:rsid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Brasília, 22 de junho de 2010.</w:t>
      </w:r>
    </w:p>
    <w:p w14:paraId="1C126312" w14:textId="77777777" w:rsidR="00652420" w:rsidRPr="00652420" w:rsidRDefault="00652420" w:rsidP="00652420">
      <w:pPr>
        <w:ind w:firstLine="567"/>
        <w:jc w:val="both"/>
        <w:rPr>
          <w:rFonts w:ascii="Book Antiqua" w:hAnsi="Book Antiqua"/>
          <w:sz w:val="19"/>
          <w:szCs w:val="19"/>
        </w:rPr>
      </w:pPr>
    </w:p>
    <w:p w14:paraId="2507C011" w14:textId="77777777" w:rsidR="00652420" w:rsidRPr="00652420" w:rsidRDefault="00652420" w:rsidP="00652420">
      <w:pPr>
        <w:ind w:firstLine="567"/>
        <w:jc w:val="center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ROBERTO MONTEIRO GURGEL SANTOS</w:t>
      </w:r>
    </w:p>
    <w:p w14:paraId="1E923C2B" w14:textId="44295E6D" w:rsidR="00652420" w:rsidRDefault="00652420" w:rsidP="00652420">
      <w:pPr>
        <w:ind w:firstLine="567"/>
        <w:jc w:val="center"/>
        <w:rPr>
          <w:rFonts w:ascii="Book Antiqua" w:hAnsi="Book Antiqua"/>
          <w:sz w:val="19"/>
          <w:szCs w:val="19"/>
        </w:rPr>
      </w:pPr>
      <w:r w:rsidRPr="00652420">
        <w:rPr>
          <w:rFonts w:ascii="Book Antiqua" w:hAnsi="Book Antiqua"/>
          <w:sz w:val="19"/>
          <w:szCs w:val="19"/>
        </w:rPr>
        <w:t>Presidente do Conselho Nacional do Ministério Públic</w:t>
      </w:r>
      <w:r>
        <w:rPr>
          <w:rFonts w:ascii="Book Antiqua" w:hAnsi="Book Antiqua"/>
          <w:sz w:val="19"/>
          <w:szCs w:val="19"/>
        </w:rPr>
        <w:t>o</w:t>
      </w:r>
    </w:p>
    <w:p w14:paraId="74185E29" w14:textId="77777777" w:rsidR="00652420" w:rsidRDefault="00652420" w:rsidP="00A97FA0">
      <w:pPr>
        <w:ind w:firstLine="567"/>
        <w:jc w:val="both"/>
        <w:rPr>
          <w:rFonts w:ascii="Book Antiqua" w:hAnsi="Book Antiqua"/>
          <w:sz w:val="19"/>
          <w:szCs w:val="19"/>
        </w:rPr>
      </w:pPr>
    </w:p>
    <w:sectPr w:rsidR="00652420" w:rsidSect="00A97FA0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65"/>
    <w:rsid w:val="00280F65"/>
    <w:rsid w:val="00652420"/>
    <w:rsid w:val="00A9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5E5C6"/>
  <w15:chartTrackingRefBased/>
  <w15:docId w15:val="{62826B37-D026-41A2-B80F-2A6CD519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976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3</cp:revision>
  <dcterms:created xsi:type="dcterms:W3CDTF">2021-02-12T16:05:00Z</dcterms:created>
  <dcterms:modified xsi:type="dcterms:W3CDTF">2021-05-08T15:30:00Z</dcterms:modified>
</cp:coreProperties>
</file>