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394028" w14:textId="77777777" w:rsidR="00506515" w:rsidRPr="00506515" w:rsidRDefault="00506515" w:rsidP="00506515">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r w:rsidRPr="00506515">
        <w:rPr>
          <w:rFonts w:ascii="Book Antiqua" w:eastAsia="Times New Roman" w:hAnsi="Book Antiqua" w:cs="Arial"/>
          <w:b/>
          <w:bCs/>
          <w:caps/>
          <w:color w:val="000080"/>
          <w:kern w:val="0"/>
          <w:sz w:val="19"/>
          <w:szCs w:val="19"/>
          <w:lang w:eastAsia="pt-BR"/>
          <w14:ligatures w14:val="none"/>
        </w:rPr>
        <w:fldChar w:fldCharType="begin"/>
      </w:r>
      <w:r w:rsidRPr="00506515">
        <w:rPr>
          <w:rFonts w:ascii="Book Antiqua" w:eastAsia="Times New Roman" w:hAnsi="Book Antiqua" w:cs="Arial"/>
          <w:b/>
          <w:bCs/>
          <w:caps/>
          <w:color w:val="000080"/>
          <w:kern w:val="0"/>
          <w:sz w:val="19"/>
          <w:szCs w:val="19"/>
          <w:lang w:eastAsia="pt-BR"/>
          <w14:ligatures w14:val="none"/>
        </w:rPr>
        <w:instrText>HYPERLINK "http://legislacao.planalto.gov.br/legisla/legislacao.nsf/Viw_Identificacao/lei%2014.022-2020?OpenDocument"</w:instrText>
      </w:r>
      <w:r w:rsidRPr="00506515">
        <w:rPr>
          <w:rFonts w:ascii="Book Antiqua" w:eastAsia="Times New Roman" w:hAnsi="Book Antiqua" w:cs="Arial"/>
          <w:b/>
          <w:bCs/>
          <w:caps/>
          <w:color w:val="000080"/>
          <w:kern w:val="0"/>
          <w:sz w:val="19"/>
          <w:szCs w:val="19"/>
          <w:lang w:eastAsia="pt-BR"/>
          <w14:ligatures w14:val="none"/>
        </w:rPr>
      </w:r>
      <w:r w:rsidRPr="00506515">
        <w:rPr>
          <w:rFonts w:ascii="Book Antiqua" w:eastAsia="Times New Roman" w:hAnsi="Book Antiqua" w:cs="Arial"/>
          <w:b/>
          <w:bCs/>
          <w:caps/>
          <w:color w:val="000080"/>
          <w:kern w:val="0"/>
          <w:sz w:val="19"/>
          <w:szCs w:val="19"/>
          <w:lang w:eastAsia="pt-BR"/>
          <w14:ligatures w14:val="none"/>
        </w:rPr>
        <w:fldChar w:fldCharType="separate"/>
      </w:r>
      <w:r w:rsidRPr="00506515">
        <w:rPr>
          <w:rFonts w:ascii="Book Antiqua" w:eastAsia="Times New Roman" w:hAnsi="Book Antiqua" w:cs="Arial"/>
          <w:b/>
          <w:bCs/>
          <w:caps/>
          <w:color w:val="000080"/>
          <w:kern w:val="0"/>
          <w:sz w:val="19"/>
          <w:szCs w:val="19"/>
          <w:u w:val="single"/>
          <w:lang w:eastAsia="pt-BR"/>
          <w14:ligatures w14:val="none"/>
        </w:rPr>
        <w:t>LEI Nº 14.022, DE 7 DE JULHO DE 2020</w:t>
      </w:r>
      <w:r w:rsidRPr="00506515">
        <w:rPr>
          <w:rFonts w:ascii="Book Antiqua" w:eastAsia="Times New Roman" w:hAnsi="Book Antiqua" w:cs="Arial"/>
          <w:b/>
          <w:bCs/>
          <w:caps/>
          <w:color w:val="000080"/>
          <w:kern w:val="0"/>
          <w:sz w:val="19"/>
          <w:szCs w:val="19"/>
          <w:lang w:eastAsia="pt-BR"/>
          <w14:ligatures w14:val="none"/>
        </w:rPr>
        <w:fldChar w:fldCharType="end"/>
      </w:r>
    </w:p>
    <w:p w14:paraId="075F22F0" w14:textId="77777777" w:rsidR="00506515" w:rsidRPr="00506515" w:rsidRDefault="00506515" w:rsidP="00506515">
      <w:pPr>
        <w:spacing w:before="100" w:beforeAutospacing="1" w:after="100" w:afterAutospacing="1" w:line="240" w:lineRule="auto"/>
        <w:ind w:left="2552"/>
        <w:jc w:val="both"/>
        <w:rPr>
          <w:rFonts w:ascii="Book Antiqua" w:eastAsia="Times New Roman" w:hAnsi="Book Antiqua" w:cs="Arial"/>
          <w:color w:val="800000"/>
          <w:kern w:val="0"/>
          <w:sz w:val="19"/>
          <w:szCs w:val="19"/>
          <w:lang w:eastAsia="pt-BR"/>
          <w14:ligatures w14:val="none"/>
        </w:rPr>
      </w:pPr>
      <w:r w:rsidRPr="00506515">
        <w:rPr>
          <w:rFonts w:ascii="Book Antiqua" w:eastAsia="Times New Roman" w:hAnsi="Book Antiqua" w:cs="Arial"/>
          <w:color w:val="800000"/>
          <w:kern w:val="0"/>
          <w:sz w:val="19"/>
          <w:szCs w:val="19"/>
          <w:lang w:eastAsia="pt-BR"/>
          <w14:ligatures w14:val="none"/>
        </w:rPr>
        <w:t>Altera a Lei nº 13.979, de 6 de fevereiro de 2020, e dispõe sobre medidas de enfrentamento à violência doméstica e familiar contra a mulher e de enfrentamento à violência contra crianças, adolescentes, pessoas idosas e pessoas com deficiência durante a emergência de saúde pública de importância internacional decorrente do coronavírus responsável pelo surto de 2019.</w:t>
      </w:r>
    </w:p>
    <w:p w14:paraId="21681A0C"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b/>
          <w:bCs/>
          <w:color w:val="000000"/>
          <w:kern w:val="0"/>
          <w:sz w:val="19"/>
          <w:szCs w:val="19"/>
          <w:lang w:eastAsia="pt-BR"/>
          <w14:ligatures w14:val="none"/>
        </w:rPr>
        <w:t>O PRESIDENTE DA REPÚBLICA </w:t>
      </w:r>
      <w:r w:rsidRPr="00506515">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31BC0C49"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0" w:name="art1"/>
      <w:bookmarkEnd w:id="0"/>
      <w:r w:rsidRPr="00506515">
        <w:rPr>
          <w:rFonts w:ascii="Book Antiqua" w:eastAsia="Times New Roman" w:hAnsi="Book Antiqua" w:cs="Arial"/>
          <w:color w:val="000000"/>
          <w:kern w:val="0"/>
          <w:sz w:val="19"/>
          <w:szCs w:val="19"/>
          <w:lang w:eastAsia="pt-BR"/>
          <w14:ligatures w14:val="none"/>
        </w:rPr>
        <w:t>Art. 1º Esta Lei dispõe sobre medidas de enfrentamento à violência doméstica e familiar contra a mulher e de enfrentamento à violência contra crianças, adolescentes, pessoas idosas e pessoas com deficiência durante a emergência de saúde pública de importância internacional decorrente do coronavírus responsável pelo surto de 2019.</w:t>
      </w:r>
    </w:p>
    <w:p w14:paraId="163022C4"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1" w:name="art2"/>
      <w:bookmarkEnd w:id="1"/>
      <w:r w:rsidRPr="00506515">
        <w:rPr>
          <w:rFonts w:ascii="Book Antiqua" w:eastAsia="Times New Roman" w:hAnsi="Book Antiqua" w:cs="Arial"/>
          <w:color w:val="000000"/>
          <w:kern w:val="0"/>
          <w:sz w:val="19"/>
          <w:szCs w:val="19"/>
          <w:lang w:eastAsia="pt-BR"/>
          <w14:ligatures w14:val="none"/>
        </w:rPr>
        <w:t>Art. 2º A </w:t>
      </w:r>
      <w:hyperlink r:id="rId5" w:history="1">
        <w:r w:rsidRPr="00506515">
          <w:rPr>
            <w:rFonts w:ascii="Book Antiqua" w:eastAsia="Times New Roman" w:hAnsi="Book Antiqua" w:cs="Arial"/>
            <w:color w:val="000080"/>
            <w:kern w:val="0"/>
            <w:sz w:val="19"/>
            <w:szCs w:val="19"/>
            <w:u w:val="single"/>
            <w:lang w:eastAsia="pt-BR"/>
            <w14:ligatures w14:val="none"/>
          </w:rPr>
          <w:t>Lei nº 13.979, de 6 de fevereiro de 2020 </w:t>
        </w:r>
      </w:hyperlink>
      <w:r w:rsidRPr="00506515">
        <w:rPr>
          <w:rFonts w:ascii="Book Antiqua" w:eastAsia="Times New Roman" w:hAnsi="Book Antiqua" w:cs="Arial"/>
          <w:color w:val="000000"/>
          <w:kern w:val="0"/>
          <w:sz w:val="19"/>
          <w:szCs w:val="19"/>
          <w:lang w:eastAsia="pt-BR"/>
          <w14:ligatures w14:val="none"/>
        </w:rPr>
        <w:t>, passa a vigorar com as seguintes alterações:</w:t>
      </w:r>
    </w:p>
    <w:p w14:paraId="4FB26F4D"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“Art. 3º .............................................................................................................</w:t>
      </w:r>
    </w:p>
    <w:p w14:paraId="0B64BC5C"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w:t>
      </w:r>
    </w:p>
    <w:p w14:paraId="329AD1AA"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hyperlink r:id="rId6" w:anchor="art3%A77c" w:history="1">
        <w:r w:rsidRPr="00506515">
          <w:rPr>
            <w:rFonts w:ascii="Book Antiqua" w:eastAsia="Times New Roman" w:hAnsi="Book Antiqua" w:cs="Arial"/>
            <w:color w:val="000080"/>
            <w:kern w:val="0"/>
            <w:sz w:val="19"/>
            <w:szCs w:val="19"/>
            <w:u w:val="single"/>
            <w:lang w:eastAsia="pt-BR"/>
            <w14:ligatures w14:val="none"/>
          </w:rPr>
          <w:t>§ 7º-C </w:t>
        </w:r>
      </w:hyperlink>
      <w:r w:rsidRPr="00506515">
        <w:rPr>
          <w:rFonts w:ascii="Book Antiqua" w:eastAsia="Times New Roman" w:hAnsi="Book Antiqua" w:cs="Arial"/>
          <w:color w:val="000000"/>
          <w:kern w:val="0"/>
          <w:sz w:val="19"/>
          <w:szCs w:val="19"/>
          <w:lang w:eastAsia="pt-BR"/>
          <w14:ligatures w14:val="none"/>
        </w:rPr>
        <w:t>Os serviços públicos e atividades essenciais, cujo funcionamento deverá ser resguardado quando adotadas as medidas previstas neste artigo, incluem os relacionados ao atendimento a mulheres em situação de violência doméstica e familiar, nos termos da </w:t>
      </w:r>
      <w:hyperlink r:id="rId7" w:history="1">
        <w:r w:rsidRPr="00506515">
          <w:rPr>
            <w:rFonts w:ascii="Book Antiqua" w:eastAsia="Times New Roman" w:hAnsi="Book Antiqua" w:cs="Arial"/>
            <w:color w:val="000080"/>
            <w:kern w:val="0"/>
            <w:sz w:val="19"/>
            <w:szCs w:val="19"/>
            <w:u w:val="single"/>
            <w:lang w:eastAsia="pt-BR"/>
            <w14:ligatures w14:val="none"/>
          </w:rPr>
          <w:t>Lei nº 11.340, de 7 de agosto de 2006 </w:t>
        </w:r>
      </w:hyperlink>
      <w:r w:rsidRPr="00506515">
        <w:rPr>
          <w:rFonts w:ascii="Book Antiqua" w:eastAsia="Times New Roman" w:hAnsi="Book Antiqua" w:cs="Arial"/>
          <w:color w:val="000000"/>
          <w:kern w:val="0"/>
          <w:sz w:val="19"/>
          <w:szCs w:val="19"/>
          <w:lang w:eastAsia="pt-BR"/>
          <w14:ligatures w14:val="none"/>
        </w:rPr>
        <w:t>, a crianças, a adolescentes, a pessoas idosas e a pessoas com deficiência vítimas de crimes tipificados na </w:t>
      </w:r>
      <w:hyperlink r:id="rId8" w:history="1">
        <w:r w:rsidRPr="00506515">
          <w:rPr>
            <w:rFonts w:ascii="Book Antiqua" w:eastAsia="Times New Roman" w:hAnsi="Book Antiqua" w:cs="Arial"/>
            <w:color w:val="000080"/>
            <w:kern w:val="0"/>
            <w:sz w:val="19"/>
            <w:szCs w:val="19"/>
            <w:u w:val="single"/>
            <w:lang w:eastAsia="pt-BR"/>
            <w14:ligatures w14:val="none"/>
          </w:rPr>
          <w:t>Lei nº 8.069, de 13 de julho de 1990 </w:t>
        </w:r>
      </w:hyperlink>
      <w:r w:rsidRPr="00506515">
        <w:rPr>
          <w:rFonts w:ascii="Book Antiqua" w:eastAsia="Times New Roman" w:hAnsi="Book Antiqua" w:cs="Arial"/>
          <w:color w:val="000000"/>
          <w:kern w:val="0"/>
          <w:sz w:val="19"/>
          <w:szCs w:val="19"/>
          <w:lang w:eastAsia="pt-BR"/>
          <w14:ligatures w14:val="none"/>
        </w:rPr>
        <w:t>(Estatuto da Criança e do Adolescente), na </w:t>
      </w:r>
      <w:hyperlink r:id="rId9" w:history="1">
        <w:r w:rsidRPr="00506515">
          <w:rPr>
            <w:rFonts w:ascii="Book Antiqua" w:eastAsia="Times New Roman" w:hAnsi="Book Antiqua" w:cs="Arial"/>
            <w:color w:val="000080"/>
            <w:kern w:val="0"/>
            <w:sz w:val="19"/>
            <w:szCs w:val="19"/>
            <w:u w:val="single"/>
            <w:lang w:eastAsia="pt-BR"/>
            <w14:ligatures w14:val="none"/>
          </w:rPr>
          <w:t>Lei nº 10.741, de 1º de outubro de 2003 </w:t>
        </w:r>
      </w:hyperlink>
      <w:r w:rsidRPr="00506515">
        <w:rPr>
          <w:rFonts w:ascii="Book Antiqua" w:eastAsia="Times New Roman" w:hAnsi="Book Antiqua" w:cs="Arial"/>
          <w:color w:val="000000"/>
          <w:kern w:val="0"/>
          <w:sz w:val="19"/>
          <w:szCs w:val="19"/>
          <w:lang w:eastAsia="pt-BR"/>
          <w14:ligatures w14:val="none"/>
        </w:rPr>
        <w:t>(Estatuto do Idoso), na </w:t>
      </w:r>
      <w:hyperlink r:id="rId10" w:history="1">
        <w:r w:rsidRPr="00506515">
          <w:rPr>
            <w:rFonts w:ascii="Book Antiqua" w:eastAsia="Times New Roman" w:hAnsi="Book Antiqua" w:cs="Arial"/>
            <w:color w:val="000080"/>
            <w:kern w:val="0"/>
            <w:sz w:val="19"/>
            <w:szCs w:val="19"/>
            <w:u w:val="single"/>
            <w:lang w:eastAsia="pt-BR"/>
            <w14:ligatures w14:val="none"/>
          </w:rPr>
          <w:t>Lei nº 13.146, de 6 de julho de 2015 </w:t>
        </w:r>
      </w:hyperlink>
      <w:r w:rsidRPr="00506515">
        <w:rPr>
          <w:rFonts w:ascii="Book Antiqua" w:eastAsia="Times New Roman" w:hAnsi="Book Antiqua" w:cs="Arial"/>
          <w:color w:val="000000"/>
          <w:kern w:val="0"/>
          <w:sz w:val="19"/>
          <w:szCs w:val="19"/>
          <w:lang w:eastAsia="pt-BR"/>
          <w14:ligatures w14:val="none"/>
        </w:rPr>
        <w:t>(Estatuto da Pessoa com Deficiência), e no </w:t>
      </w:r>
      <w:hyperlink r:id="rId11" w:history="1">
        <w:r w:rsidRPr="00506515">
          <w:rPr>
            <w:rFonts w:ascii="Book Antiqua" w:eastAsia="Times New Roman" w:hAnsi="Book Antiqua" w:cs="Arial"/>
            <w:color w:val="000080"/>
            <w:kern w:val="0"/>
            <w:sz w:val="19"/>
            <w:szCs w:val="19"/>
            <w:u w:val="single"/>
            <w:lang w:eastAsia="pt-BR"/>
            <w14:ligatures w14:val="none"/>
          </w:rPr>
          <w:t>Decreto-Lei nº 2.848, de 7 de dezembro de 1940 </w:t>
        </w:r>
      </w:hyperlink>
      <w:r w:rsidRPr="00506515">
        <w:rPr>
          <w:rFonts w:ascii="Book Antiqua" w:eastAsia="Times New Roman" w:hAnsi="Book Antiqua" w:cs="Arial"/>
          <w:color w:val="000000"/>
          <w:kern w:val="0"/>
          <w:sz w:val="19"/>
          <w:szCs w:val="19"/>
          <w:lang w:eastAsia="pt-BR"/>
          <w14:ligatures w14:val="none"/>
        </w:rPr>
        <w:t>(Código Penal).” (NR)</w:t>
      </w:r>
    </w:p>
    <w:p w14:paraId="786A4218"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w:t>
      </w:r>
      <w:hyperlink r:id="rId12" w:anchor="art5a" w:history="1">
        <w:r w:rsidRPr="00506515">
          <w:rPr>
            <w:rFonts w:ascii="Book Antiqua" w:eastAsia="Times New Roman" w:hAnsi="Book Antiqua" w:cs="Arial"/>
            <w:color w:val="000080"/>
            <w:kern w:val="0"/>
            <w:sz w:val="19"/>
            <w:szCs w:val="19"/>
            <w:u w:val="single"/>
            <w:lang w:eastAsia="pt-BR"/>
            <w14:ligatures w14:val="none"/>
          </w:rPr>
          <w:t>Art. 5º-A </w:t>
        </w:r>
      </w:hyperlink>
      <w:r w:rsidRPr="00506515">
        <w:rPr>
          <w:rFonts w:ascii="Book Antiqua" w:eastAsia="Times New Roman" w:hAnsi="Book Antiqua" w:cs="Arial"/>
          <w:color w:val="000000"/>
          <w:kern w:val="0"/>
          <w:sz w:val="19"/>
          <w:szCs w:val="19"/>
          <w:lang w:eastAsia="pt-BR"/>
          <w14:ligatures w14:val="none"/>
        </w:rPr>
        <w:t>Enquanto perdurar o estado de emergência de saúde internacional decorrente do coronavírus responsável pelo surto de 2019:</w:t>
      </w:r>
    </w:p>
    <w:p w14:paraId="1F767CAB"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xml:space="preserve">I - </w:t>
      </w:r>
      <w:proofErr w:type="gramStart"/>
      <w:r w:rsidRPr="00506515">
        <w:rPr>
          <w:rFonts w:ascii="Book Antiqua" w:eastAsia="Times New Roman" w:hAnsi="Book Antiqua" w:cs="Arial"/>
          <w:color w:val="000000"/>
          <w:kern w:val="0"/>
          <w:sz w:val="19"/>
          <w:szCs w:val="19"/>
          <w:lang w:eastAsia="pt-BR"/>
          <w14:ligatures w14:val="none"/>
        </w:rPr>
        <w:t>os</w:t>
      </w:r>
      <w:proofErr w:type="gramEnd"/>
      <w:r w:rsidRPr="00506515">
        <w:rPr>
          <w:rFonts w:ascii="Book Antiqua" w:eastAsia="Times New Roman" w:hAnsi="Book Antiqua" w:cs="Arial"/>
          <w:color w:val="000000"/>
          <w:kern w:val="0"/>
          <w:sz w:val="19"/>
          <w:szCs w:val="19"/>
          <w:lang w:eastAsia="pt-BR"/>
          <w14:ligatures w14:val="none"/>
        </w:rPr>
        <w:t xml:space="preserve"> prazos processuais, a apreciação de matérias, o atendimento às partes e a concessão de medidas protetivas que tenham relação com atos de violência doméstica e familiar cometidos contra mulheres, crianças, adolescentes, pessoas idosas e pessoas com deficiência serão mantidos, sem suspensão;</w:t>
      </w:r>
    </w:p>
    <w:p w14:paraId="1F997FF8"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xml:space="preserve">II - </w:t>
      </w:r>
      <w:proofErr w:type="gramStart"/>
      <w:r w:rsidRPr="00506515">
        <w:rPr>
          <w:rFonts w:ascii="Book Antiqua" w:eastAsia="Times New Roman" w:hAnsi="Book Antiqua" w:cs="Arial"/>
          <w:color w:val="000000"/>
          <w:kern w:val="0"/>
          <w:sz w:val="19"/>
          <w:szCs w:val="19"/>
          <w:lang w:eastAsia="pt-BR"/>
          <w14:ligatures w14:val="none"/>
        </w:rPr>
        <w:t>o</w:t>
      </w:r>
      <w:proofErr w:type="gramEnd"/>
      <w:r w:rsidRPr="00506515">
        <w:rPr>
          <w:rFonts w:ascii="Book Antiqua" w:eastAsia="Times New Roman" w:hAnsi="Book Antiqua" w:cs="Arial"/>
          <w:color w:val="000000"/>
          <w:kern w:val="0"/>
          <w:sz w:val="19"/>
          <w:szCs w:val="19"/>
          <w:lang w:eastAsia="pt-BR"/>
          <w14:ligatures w14:val="none"/>
        </w:rPr>
        <w:t xml:space="preserve"> registro da ocorrência de violência doméstica e familiar contra a mulher e de crimes cometidos contra criança, adolescente, pessoa idosa ou pessoa com deficiência poderá ser realizado por meio eletrônico ou por meio de número de telefone de emergência designado para tal fim pelos órgãos de segurança pública;</w:t>
      </w:r>
    </w:p>
    <w:p w14:paraId="5ECF0A62"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Parágrafo único. Os processos de que trata o inciso I do </w:t>
      </w:r>
      <w:r w:rsidRPr="00506515">
        <w:rPr>
          <w:rFonts w:ascii="Book Antiqua" w:eastAsia="Times New Roman" w:hAnsi="Book Antiqua" w:cs="Arial"/>
          <w:b/>
          <w:bCs/>
          <w:color w:val="000000"/>
          <w:kern w:val="0"/>
          <w:sz w:val="19"/>
          <w:szCs w:val="19"/>
          <w:lang w:eastAsia="pt-BR"/>
          <w14:ligatures w14:val="none"/>
        </w:rPr>
        <w:t>caput </w:t>
      </w:r>
      <w:r w:rsidRPr="00506515">
        <w:rPr>
          <w:rFonts w:ascii="Book Antiqua" w:eastAsia="Times New Roman" w:hAnsi="Book Antiqua" w:cs="Arial"/>
          <w:color w:val="000000"/>
          <w:kern w:val="0"/>
          <w:sz w:val="19"/>
          <w:szCs w:val="19"/>
          <w:lang w:eastAsia="pt-BR"/>
          <w14:ligatures w14:val="none"/>
        </w:rPr>
        <w:t>deste artigo serão considerados de natureza urgente.”</w:t>
      </w:r>
    </w:p>
    <w:p w14:paraId="47CE41C5"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2" w:name="art3"/>
      <w:bookmarkEnd w:id="2"/>
      <w:r w:rsidRPr="00506515">
        <w:rPr>
          <w:rFonts w:ascii="Book Antiqua" w:eastAsia="Times New Roman" w:hAnsi="Book Antiqua" w:cs="Arial"/>
          <w:color w:val="000000"/>
          <w:kern w:val="0"/>
          <w:sz w:val="19"/>
          <w:szCs w:val="19"/>
          <w:lang w:eastAsia="pt-BR"/>
          <w14:ligatures w14:val="none"/>
        </w:rPr>
        <w:t>Art. 3º O poder público deverá adotar as medidas necessárias para garantir a manutenção do atendimento presencial de mulheres, idosos, crianças ou adolescentes em situação de violência, com a adaptação dos procedimentos estabelecidos na </w:t>
      </w:r>
      <w:hyperlink r:id="rId13" w:history="1">
        <w:r w:rsidRPr="00506515">
          <w:rPr>
            <w:rFonts w:ascii="Book Antiqua" w:eastAsia="Times New Roman" w:hAnsi="Book Antiqua" w:cs="Arial"/>
            <w:color w:val="000080"/>
            <w:kern w:val="0"/>
            <w:sz w:val="19"/>
            <w:szCs w:val="19"/>
            <w:u w:val="single"/>
            <w:lang w:eastAsia="pt-BR"/>
            <w14:ligatures w14:val="none"/>
          </w:rPr>
          <w:t>Lei nº 11.340, de 7 de agosto de 2006 </w:t>
        </w:r>
      </w:hyperlink>
      <w:r w:rsidRPr="00506515">
        <w:rPr>
          <w:rFonts w:ascii="Book Antiqua" w:eastAsia="Times New Roman" w:hAnsi="Book Antiqua" w:cs="Arial"/>
          <w:color w:val="000000"/>
          <w:kern w:val="0"/>
          <w:sz w:val="19"/>
          <w:szCs w:val="19"/>
          <w:lang w:eastAsia="pt-BR"/>
          <w14:ligatures w14:val="none"/>
        </w:rPr>
        <w:t>(Lei Maria da Penha), às circunstâncias emergenciais do período de calamidade sanitária decorrente da pandemia da Covid-19.</w:t>
      </w:r>
    </w:p>
    <w:p w14:paraId="4EBDF92F"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1º A adaptação dos procedimentos disposta no </w:t>
      </w:r>
      <w:r w:rsidRPr="00506515">
        <w:rPr>
          <w:rFonts w:ascii="Book Antiqua" w:eastAsia="Times New Roman" w:hAnsi="Book Antiqua" w:cs="Arial"/>
          <w:b/>
          <w:bCs/>
          <w:color w:val="000000"/>
          <w:kern w:val="0"/>
          <w:sz w:val="19"/>
          <w:szCs w:val="19"/>
          <w:lang w:eastAsia="pt-BR"/>
          <w14:ligatures w14:val="none"/>
        </w:rPr>
        <w:t>caput </w:t>
      </w:r>
      <w:r w:rsidRPr="00506515">
        <w:rPr>
          <w:rFonts w:ascii="Book Antiqua" w:eastAsia="Times New Roman" w:hAnsi="Book Antiqua" w:cs="Arial"/>
          <w:color w:val="000000"/>
          <w:kern w:val="0"/>
          <w:sz w:val="19"/>
          <w:szCs w:val="19"/>
          <w:lang w:eastAsia="pt-BR"/>
          <w14:ligatures w14:val="none"/>
        </w:rPr>
        <w:t>deste artigo deverá assegurar a continuidade do funcionamento habitual dos órgãos do poder público descritos na </w:t>
      </w:r>
      <w:hyperlink r:id="rId14" w:history="1">
        <w:r w:rsidRPr="00506515">
          <w:rPr>
            <w:rFonts w:ascii="Book Antiqua" w:eastAsia="Times New Roman" w:hAnsi="Book Antiqua" w:cs="Arial"/>
            <w:color w:val="000080"/>
            <w:kern w:val="0"/>
            <w:sz w:val="19"/>
            <w:szCs w:val="19"/>
            <w:u w:val="single"/>
            <w:lang w:eastAsia="pt-BR"/>
            <w14:ligatures w14:val="none"/>
          </w:rPr>
          <w:t>Lei nº 11.340, de 7 de agosto de 2006 </w:t>
        </w:r>
      </w:hyperlink>
      <w:r w:rsidRPr="00506515">
        <w:rPr>
          <w:rFonts w:ascii="Book Antiqua" w:eastAsia="Times New Roman" w:hAnsi="Book Antiqua" w:cs="Arial"/>
          <w:color w:val="000000"/>
          <w:kern w:val="0"/>
          <w:sz w:val="19"/>
          <w:szCs w:val="19"/>
          <w:lang w:eastAsia="pt-BR"/>
          <w14:ligatures w14:val="none"/>
        </w:rPr>
        <w:t>(Lei Maria da Penha), no âmbito de sua competência, com o objetivo de garantir a manutenção dos mecanismos de prevenção e repressão à violência doméstica e familiar contra a mulher e à violência contra idosos, crianças ou adolescentes.</w:t>
      </w:r>
    </w:p>
    <w:p w14:paraId="690D5903"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lastRenderedPageBreak/>
        <w:t>§ 2º Se, por razões de segurança sanitária, não for possível manter o atendimento presencial a todas as demandas relacionadas à violência doméstica e familiar contra a mulher e à violência contra idosos, crianças ou adolescentes, o poder público deverá, obrigatoriamente, garantir o atendimento presencial para situações que possam envolver, efetiva ou potencialmente, os ilícitos previstos:</w:t>
      </w:r>
    </w:p>
    <w:p w14:paraId="401CB93B"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xml:space="preserve">I - </w:t>
      </w:r>
      <w:proofErr w:type="gramStart"/>
      <w:r w:rsidRPr="00506515">
        <w:rPr>
          <w:rFonts w:ascii="Book Antiqua" w:eastAsia="Times New Roman" w:hAnsi="Book Antiqua" w:cs="Arial"/>
          <w:color w:val="000000"/>
          <w:kern w:val="0"/>
          <w:sz w:val="19"/>
          <w:szCs w:val="19"/>
          <w:lang w:eastAsia="pt-BR"/>
          <w14:ligatures w14:val="none"/>
        </w:rPr>
        <w:t>no</w:t>
      </w:r>
      <w:proofErr w:type="gramEnd"/>
      <w:r w:rsidRPr="00506515">
        <w:rPr>
          <w:rFonts w:ascii="Book Antiqua" w:eastAsia="Times New Roman" w:hAnsi="Book Antiqua" w:cs="Arial"/>
          <w:color w:val="000000"/>
          <w:kern w:val="0"/>
          <w:sz w:val="19"/>
          <w:szCs w:val="19"/>
          <w:lang w:eastAsia="pt-BR"/>
          <w14:ligatures w14:val="none"/>
        </w:rPr>
        <w:t> </w:t>
      </w:r>
      <w:hyperlink r:id="rId15" w:history="1">
        <w:r w:rsidRPr="00506515">
          <w:rPr>
            <w:rFonts w:ascii="Book Antiqua" w:eastAsia="Times New Roman" w:hAnsi="Book Antiqua" w:cs="Arial"/>
            <w:color w:val="000080"/>
            <w:kern w:val="0"/>
            <w:sz w:val="19"/>
            <w:szCs w:val="19"/>
            <w:u w:val="single"/>
            <w:lang w:eastAsia="pt-BR"/>
            <w14:ligatures w14:val="none"/>
          </w:rPr>
          <w:t>Decreto-Lei nº 2.848, de 7 de dezembro de 1940 </w:t>
        </w:r>
      </w:hyperlink>
      <w:r w:rsidRPr="00506515">
        <w:rPr>
          <w:rFonts w:ascii="Book Antiqua" w:eastAsia="Times New Roman" w:hAnsi="Book Antiqua" w:cs="Arial"/>
          <w:color w:val="000000"/>
          <w:kern w:val="0"/>
          <w:sz w:val="19"/>
          <w:szCs w:val="19"/>
          <w:lang w:eastAsia="pt-BR"/>
          <w14:ligatures w14:val="none"/>
        </w:rPr>
        <w:t>(Código Penal), na modalidade consumada ou tentada:</w:t>
      </w:r>
    </w:p>
    <w:p w14:paraId="28FAF0EA"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a) feminicídio, disposto no inciso VI do § 2º do art. 121;</w:t>
      </w:r>
    </w:p>
    <w:p w14:paraId="3DF90ABD"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b) lesão corporal de natureza grave, disposto no § 1º do art. 129;</w:t>
      </w:r>
    </w:p>
    <w:p w14:paraId="161DC450"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c) lesão corporal dolosa de natureza gravíssima, disposto no § 2º do art. 129;</w:t>
      </w:r>
    </w:p>
    <w:p w14:paraId="0F00E7C3"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d) lesão corporal seguida de morte, disposto no § 3º do art. 129;</w:t>
      </w:r>
    </w:p>
    <w:p w14:paraId="30C7EE3F"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e) ameaça praticada com uso de arma de fogo, disposto no art. 147;</w:t>
      </w:r>
    </w:p>
    <w:p w14:paraId="010BA887"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f) estupro, disposto no art. 213;</w:t>
      </w:r>
    </w:p>
    <w:p w14:paraId="374CFB04"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g) estupro de vulnerável, disposto no </w:t>
      </w:r>
      <w:r w:rsidRPr="00506515">
        <w:rPr>
          <w:rFonts w:ascii="Book Antiqua" w:eastAsia="Times New Roman" w:hAnsi="Book Antiqua" w:cs="Arial"/>
          <w:b/>
          <w:bCs/>
          <w:color w:val="000000"/>
          <w:kern w:val="0"/>
          <w:sz w:val="19"/>
          <w:szCs w:val="19"/>
          <w:lang w:eastAsia="pt-BR"/>
          <w14:ligatures w14:val="none"/>
        </w:rPr>
        <w:t>caput </w:t>
      </w:r>
      <w:r w:rsidRPr="00506515">
        <w:rPr>
          <w:rFonts w:ascii="Book Antiqua" w:eastAsia="Times New Roman" w:hAnsi="Book Antiqua" w:cs="Arial"/>
          <w:color w:val="000000"/>
          <w:kern w:val="0"/>
          <w:sz w:val="19"/>
          <w:szCs w:val="19"/>
          <w:lang w:eastAsia="pt-BR"/>
          <w14:ligatures w14:val="none"/>
        </w:rPr>
        <w:t>e nos §§ 1º, 2º, 3º e 4º do art. 217-A;</w:t>
      </w:r>
    </w:p>
    <w:p w14:paraId="1F46963B"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h) corrupção de menores, disposto no art. 218;</w:t>
      </w:r>
    </w:p>
    <w:p w14:paraId="71FE2933"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i) satisfação de lascívia mediante presença de criança ou adolescente, disposto no art. 218-A;</w:t>
      </w:r>
    </w:p>
    <w:p w14:paraId="3E7F8C94"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II - na </w:t>
      </w:r>
      <w:hyperlink r:id="rId16" w:history="1">
        <w:r w:rsidRPr="00506515">
          <w:rPr>
            <w:rFonts w:ascii="Book Antiqua" w:eastAsia="Times New Roman" w:hAnsi="Book Antiqua" w:cs="Arial"/>
            <w:color w:val="000080"/>
            <w:kern w:val="0"/>
            <w:sz w:val="19"/>
            <w:szCs w:val="19"/>
            <w:u w:val="single"/>
            <w:lang w:eastAsia="pt-BR"/>
            <w14:ligatures w14:val="none"/>
          </w:rPr>
          <w:t>Lei nº 11.340, de 7 de agosto de 2006 </w:t>
        </w:r>
      </w:hyperlink>
      <w:r w:rsidRPr="00506515">
        <w:rPr>
          <w:rFonts w:ascii="Book Antiqua" w:eastAsia="Times New Roman" w:hAnsi="Book Antiqua" w:cs="Arial"/>
          <w:color w:val="000000"/>
          <w:kern w:val="0"/>
          <w:sz w:val="19"/>
          <w:szCs w:val="19"/>
          <w:lang w:eastAsia="pt-BR"/>
          <w14:ligatures w14:val="none"/>
        </w:rPr>
        <w:t>(Lei Maria da Penha), o crime de descumprimento de medidas protetivas de urgência, disposto no art. 24-A;</w:t>
      </w:r>
    </w:p>
    <w:p w14:paraId="3E40D7C4"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III - na </w:t>
      </w:r>
      <w:hyperlink r:id="rId17" w:history="1">
        <w:r w:rsidRPr="00506515">
          <w:rPr>
            <w:rFonts w:ascii="Book Antiqua" w:eastAsia="Times New Roman" w:hAnsi="Book Antiqua" w:cs="Arial"/>
            <w:color w:val="000080"/>
            <w:kern w:val="0"/>
            <w:sz w:val="19"/>
            <w:szCs w:val="19"/>
            <w:u w:val="single"/>
            <w:lang w:eastAsia="pt-BR"/>
            <w14:ligatures w14:val="none"/>
          </w:rPr>
          <w:t>Lei nº 8.069, de 13 de julho de 1990 </w:t>
        </w:r>
      </w:hyperlink>
      <w:r w:rsidRPr="00506515">
        <w:rPr>
          <w:rFonts w:ascii="Book Antiqua" w:eastAsia="Times New Roman" w:hAnsi="Book Antiqua" w:cs="Arial"/>
          <w:color w:val="000000"/>
          <w:kern w:val="0"/>
          <w:sz w:val="19"/>
          <w:szCs w:val="19"/>
          <w:lang w:eastAsia="pt-BR"/>
          <w14:ligatures w14:val="none"/>
        </w:rPr>
        <w:t>(Estatuto da Criança e do Adolescente);</w:t>
      </w:r>
    </w:p>
    <w:p w14:paraId="58A2576A"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xml:space="preserve">IV - </w:t>
      </w:r>
      <w:proofErr w:type="gramStart"/>
      <w:r w:rsidRPr="00506515">
        <w:rPr>
          <w:rFonts w:ascii="Book Antiqua" w:eastAsia="Times New Roman" w:hAnsi="Book Antiqua" w:cs="Arial"/>
          <w:color w:val="000000"/>
          <w:kern w:val="0"/>
          <w:sz w:val="19"/>
          <w:szCs w:val="19"/>
          <w:lang w:eastAsia="pt-BR"/>
          <w14:ligatures w14:val="none"/>
        </w:rPr>
        <w:t>na</w:t>
      </w:r>
      <w:proofErr w:type="gramEnd"/>
      <w:r w:rsidRPr="00506515">
        <w:rPr>
          <w:rFonts w:ascii="Book Antiqua" w:eastAsia="Times New Roman" w:hAnsi="Book Antiqua" w:cs="Arial"/>
          <w:color w:val="000000"/>
          <w:kern w:val="0"/>
          <w:sz w:val="19"/>
          <w:szCs w:val="19"/>
          <w:lang w:eastAsia="pt-BR"/>
          <w14:ligatures w14:val="none"/>
        </w:rPr>
        <w:t> </w:t>
      </w:r>
      <w:hyperlink r:id="rId18" w:history="1">
        <w:r w:rsidRPr="00506515">
          <w:rPr>
            <w:rFonts w:ascii="Book Antiqua" w:eastAsia="Times New Roman" w:hAnsi="Book Antiqua" w:cs="Arial"/>
            <w:color w:val="000080"/>
            <w:kern w:val="0"/>
            <w:sz w:val="19"/>
            <w:szCs w:val="19"/>
            <w:u w:val="single"/>
            <w:lang w:eastAsia="pt-BR"/>
            <w14:ligatures w14:val="none"/>
          </w:rPr>
          <w:t>Lei nº 10.741, de 1º de outubro de 2003 </w:t>
        </w:r>
      </w:hyperlink>
      <w:r w:rsidRPr="00506515">
        <w:rPr>
          <w:rFonts w:ascii="Book Antiqua" w:eastAsia="Times New Roman" w:hAnsi="Book Antiqua" w:cs="Arial"/>
          <w:color w:val="000000"/>
          <w:kern w:val="0"/>
          <w:sz w:val="19"/>
          <w:szCs w:val="19"/>
          <w:lang w:eastAsia="pt-BR"/>
          <w14:ligatures w14:val="none"/>
        </w:rPr>
        <w:t>(Estatuto do Idoso).</w:t>
      </w:r>
    </w:p>
    <w:p w14:paraId="670055D9"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3º Conforme dispõe o </w:t>
      </w:r>
      <w:hyperlink r:id="rId19" w:anchor="art158" w:history="1">
        <w:r w:rsidRPr="00506515">
          <w:rPr>
            <w:rFonts w:ascii="Book Antiqua" w:eastAsia="Times New Roman" w:hAnsi="Book Antiqua" w:cs="Arial"/>
            <w:color w:val="000080"/>
            <w:kern w:val="0"/>
            <w:sz w:val="19"/>
            <w:szCs w:val="19"/>
            <w:u w:val="single"/>
            <w:lang w:eastAsia="pt-BR"/>
            <w14:ligatures w14:val="none"/>
          </w:rPr>
          <w:t>art. 158 do Decreto-Lei nº 3.689, de 3 de outubro de 1941 </w:t>
        </w:r>
      </w:hyperlink>
      <w:r w:rsidRPr="00506515">
        <w:rPr>
          <w:rFonts w:ascii="Book Antiqua" w:eastAsia="Times New Roman" w:hAnsi="Book Antiqua" w:cs="Arial"/>
          <w:color w:val="000000"/>
          <w:kern w:val="0"/>
          <w:sz w:val="19"/>
          <w:szCs w:val="19"/>
          <w:lang w:eastAsia="pt-BR"/>
          <w14:ligatures w14:val="none"/>
        </w:rPr>
        <w:t>(Código de Processo Penal), mesmo durante a vigência da </w:t>
      </w:r>
      <w:hyperlink r:id="rId20" w:history="1">
        <w:r w:rsidRPr="00506515">
          <w:rPr>
            <w:rFonts w:ascii="Book Antiqua" w:eastAsia="Times New Roman" w:hAnsi="Book Antiqua" w:cs="Arial"/>
            <w:color w:val="000080"/>
            <w:kern w:val="0"/>
            <w:sz w:val="19"/>
            <w:szCs w:val="19"/>
            <w:u w:val="single"/>
            <w:lang w:eastAsia="pt-BR"/>
            <w14:ligatures w14:val="none"/>
          </w:rPr>
          <w:t>Lei nº 13.979, de 6 de fevereiro de 2020 </w:t>
        </w:r>
      </w:hyperlink>
      <w:r w:rsidRPr="00506515">
        <w:rPr>
          <w:rFonts w:ascii="Book Antiqua" w:eastAsia="Times New Roman" w:hAnsi="Book Antiqua" w:cs="Arial"/>
          <w:color w:val="000000"/>
          <w:kern w:val="0"/>
          <w:sz w:val="19"/>
          <w:szCs w:val="19"/>
          <w:lang w:eastAsia="pt-BR"/>
          <w14:ligatures w14:val="none"/>
        </w:rPr>
        <w:t>, ou de estado de emergência de caráter humanitário e sanitário em território nacional, deverá ser garantida a realização prioritária do exame de corpo de delito quando se tratar de crime que envolva:</w:t>
      </w:r>
    </w:p>
    <w:p w14:paraId="12EA4598"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xml:space="preserve">I - </w:t>
      </w:r>
      <w:proofErr w:type="gramStart"/>
      <w:r w:rsidRPr="00506515">
        <w:rPr>
          <w:rFonts w:ascii="Book Antiqua" w:eastAsia="Times New Roman" w:hAnsi="Book Antiqua" w:cs="Arial"/>
          <w:color w:val="000000"/>
          <w:kern w:val="0"/>
          <w:sz w:val="19"/>
          <w:szCs w:val="19"/>
          <w:lang w:eastAsia="pt-BR"/>
          <w14:ligatures w14:val="none"/>
        </w:rPr>
        <w:t>violência</w:t>
      </w:r>
      <w:proofErr w:type="gramEnd"/>
      <w:r w:rsidRPr="00506515">
        <w:rPr>
          <w:rFonts w:ascii="Book Antiqua" w:eastAsia="Times New Roman" w:hAnsi="Book Antiqua" w:cs="Arial"/>
          <w:color w:val="000000"/>
          <w:kern w:val="0"/>
          <w:sz w:val="19"/>
          <w:szCs w:val="19"/>
          <w:lang w:eastAsia="pt-BR"/>
          <w14:ligatures w14:val="none"/>
        </w:rPr>
        <w:t xml:space="preserve"> doméstica e familiar contra a mulher;</w:t>
      </w:r>
    </w:p>
    <w:p w14:paraId="407C90F1"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xml:space="preserve">II - </w:t>
      </w:r>
      <w:proofErr w:type="gramStart"/>
      <w:r w:rsidRPr="00506515">
        <w:rPr>
          <w:rFonts w:ascii="Book Antiqua" w:eastAsia="Times New Roman" w:hAnsi="Book Antiqua" w:cs="Arial"/>
          <w:color w:val="000000"/>
          <w:kern w:val="0"/>
          <w:sz w:val="19"/>
          <w:szCs w:val="19"/>
          <w:lang w:eastAsia="pt-BR"/>
          <w14:ligatures w14:val="none"/>
        </w:rPr>
        <w:t>violência</w:t>
      </w:r>
      <w:proofErr w:type="gramEnd"/>
      <w:r w:rsidRPr="00506515">
        <w:rPr>
          <w:rFonts w:ascii="Book Antiqua" w:eastAsia="Times New Roman" w:hAnsi="Book Antiqua" w:cs="Arial"/>
          <w:color w:val="000000"/>
          <w:kern w:val="0"/>
          <w:sz w:val="19"/>
          <w:szCs w:val="19"/>
          <w:lang w:eastAsia="pt-BR"/>
          <w14:ligatures w14:val="none"/>
        </w:rPr>
        <w:t xml:space="preserve"> contra criança, adolescente, idoso ou pessoa com deficiência.</w:t>
      </w:r>
    </w:p>
    <w:p w14:paraId="05D13449"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4º Nos casos de crimes de natureza sexual, se houver a adoção de medidas pelo poder público que restrinjam a circulação de pessoas, os órgãos de segurança deverão estabelecer equipes móveis para realização do exame de corpo de delito no local em que se encontrar a vítima.</w:t>
      </w:r>
    </w:p>
    <w:p w14:paraId="45CF99FA"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3" w:name="art4"/>
      <w:bookmarkEnd w:id="3"/>
      <w:r w:rsidRPr="00506515">
        <w:rPr>
          <w:rFonts w:ascii="Book Antiqua" w:eastAsia="Times New Roman" w:hAnsi="Book Antiqua" w:cs="Arial"/>
          <w:color w:val="000000"/>
          <w:kern w:val="0"/>
          <w:sz w:val="19"/>
          <w:szCs w:val="19"/>
          <w:lang w:eastAsia="pt-BR"/>
          <w14:ligatures w14:val="none"/>
        </w:rPr>
        <w:t>Art. 4º Os órgãos de segurança pública deverão disponibilizar canais de comunicação que garantam interação simultânea, inclusive com possibilidade de compartilhamento de documentos, desde que gratuitos e passíveis de utilização em dispositivos eletrônicos, como celulares e computadores, para atendimento virtual de situações que envolvam violência contra a mulher, o idoso, a criança ou o adolescente, facultado aos órgãos integrantes do Sistema de Justiça - Poder Judiciário, Ministério Público e Defensoria Pública, e aos demais órgãos do Poder Executivo, a adoção dessa medida.</w:t>
      </w:r>
    </w:p>
    <w:p w14:paraId="4852F445"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1º A disponibilização de canais de atendimento virtuais não exclui a obrigação do poder público de manter o atendimento presencial de mulheres em situação de violência doméstica e familiar e de casos de suspeita ou confirmação de violência praticada contra idosos, crianças ou adolescentes.</w:t>
      </w:r>
    </w:p>
    <w:p w14:paraId="3171DCD9"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lastRenderedPageBreak/>
        <w:t>§ 2º Nos casos de violência doméstica e familiar, a ofendida poderá solicitar quaisquer medidas protetivas de urgência à autoridade competente por meio dos dispositivos de comunicação de atendimento </w:t>
      </w:r>
      <w:r w:rsidRPr="00506515">
        <w:rPr>
          <w:rFonts w:ascii="Book Antiqua" w:eastAsia="Times New Roman" w:hAnsi="Book Antiqua" w:cs="Arial"/>
          <w:b/>
          <w:bCs/>
          <w:color w:val="000000"/>
          <w:kern w:val="0"/>
          <w:sz w:val="19"/>
          <w:szCs w:val="19"/>
          <w:lang w:eastAsia="pt-BR"/>
          <w14:ligatures w14:val="none"/>
        </w:rPr>
        <w:t>on-</w:t>
      </w:r>
      <w:proofErr w:type="gramStart"/>
      <w:r w:rsidRPr="00506515">
        <w:rPr>
          <w:rFonts w:ascii="Book Antiqua" w:eastAsia="Times New Roman" w:hAnsi="Book Antiqua" w:cs="Arial"/>
          <w:b/>
          <w:bCs/>
          <w:color w:val="000000"/>
          <w:kern w:val="0"/>
          <w:sz w:val="19"/>
          <w:szCs w:val="19"/>
          <w:lang w:eastAsia="pt-BR"/>
          <w14:ligatures w14:val="none"/>
        </w:rPr>
        <w:t>line </w:t>
      </w:r>
      <w:r w:rsidRPr="00506515">
        <w:rPr>
          <w:rFonts w:ascii="Book Antiqua" w:eastAsia="Times New Roman" w:hAnsi="Book Antiqua" w:cs="Arial"/>
          <w:color w:val="000000"/>
          <w:kern w:val="0"/>
          <w:sz w:val="19"/>
          <w:szCs w:val="19"/>
          <w:lang w:eastAsia="pt-BR"/>
          <w14:ligatures w14:val="none"/>
        </w:rPr>
        <w:t>.</w:t>
      </w:r>
      <w:proofErr w:type="gramEnd"/>
    </w:p>
    <w:p w14:paraId="78324C3E"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3º Na hipótese em que as circunstâncias do fato justifiquem a medida prevista neste artigo, a autoridade competente poderá conceder qualquer uma das medidas protetivas de urgência previstas nos </w:t>
      </w:r>
      <w:proofErr w:type="spellStart"/>
      <w:r w:rsidRPr="00506515">
        <w:rPr>
          <w:rFonts w:ascii="Book Antiqua" w:eastAsia="Times New Roman" w:hAnsi="Book Antiqua" w:cs="Arial"/>
          <w:color w:val="000000"/>
          <w:kern w:val="0"/>
          <w:sz w:val="19"/>
          <w:szCs w:val="19"/>
          <w:lang w:eastAsia="pt-BR"/>
          <w14:ligatures w14:val="none"/>
        </w:rPr>
        <w:fldChar w:fldCharType="begin"/>
      </w:r>
      <w:r w:rsidRPr="00506515">
        <w:rPr>
          <w:rFonts w:ascii="Book Antiqua" w:eastAsia="Times New Roman" w:hAnsi="Book Antiqua" w:cs="Arial"/>
          <w:color w:val="000000"/>
          <w:kern w:val="0"/>
          <w:sz w:val="19"/>
          <w:szCs w:val="19"/>
          <w:lang w:eastAsia="pt-BR"/>
          <w14:ligatures w14:val="none"/>
        </w:rPr>
        <w:instrText>HYPERLINK "https://www.planalto.gov.br/ccivil_03/_Ato2004-2006/2006/Lei/L11340.htm" \l "art12b"</w:instrText>
      </w:r>
      <w:r w:rsidRPr="00506515">
        <w:rPr>
          <w:rFonts w:ascii="Book Antiqua" w:eastAsia="Times New Roman" w:hAnsi="Book Antiqua" w:cs="Arial"/>
          <w:color w:val="000000"/>
          <w:kern w:val="0"/>
          <w:sz w:val="19"/>
          <w:szCs w:val="19"/>
          <w:lang w:eastAsia="pt-BR"/>
          <w14:ligatures w14:val="none"/>
        </w:rPr>
      </w:r>
      <w:r w:rsidRPr="00506515">
        <w:rPr>
          <w:rFonts w:ascii="Book Antiqua" w:eastAsia="Times New Roman" w:hAnsi="Book Antiqua" w:cs="Arial"/>
          <w:color w:val="000000"/>
          <w:kern w:val="0"/>
          <w:sz w:val="19"/>
          <w:szCs w:val="19"/>
          <w:lang w:eastAsia="pt-BR"/>
          <w14:ligatures w14:val="none"/>
        </w:rPr>
        <w:fldChar w:fldCharType="separate"/>
      </w:r>
      <w:r w:rsidRPr="00506515">
        <w:rPr>
          <w:rFonts w:ascii="Book Antiqua" w:eastAsia="Times New Roman" w:hAnsi="Book Antiqua" w:cs="Arial"/>
          <w:color w:val="000080"/>
          <w:kern w:val="0"/>
          <w:sz w:val="19"/>
          <w:szCs w:val="19"/>
          <w:u w:val="single"/>
          <w:lang w:eastAsia="pt-BR"/>
          <w14:ligatures w14:val="none"/>
        </w:rPr>
        <w:t>arts</w:t>
      </w:r>
      <w:proofErr w:type="spellEnd"/>
      <w:r w:rsidRPr="00506515">
        <w:rPr>
          <w:rFonts w:ascii="Book Antiqua" w:eastAsia="Times New Roman" w:hAnsi="Book Antiqua" w:cs="Arial"/>
          <w:color w:val="000080"/>
          <w:kern w:val="0"/>
          <w:sz w:val="19"/>
          <w:szCs w:val="19"/>
          <w:u w:val="single"/>
          <w:lang w:eastAsia="pt-BR"/>
          <w14:ligatures w14:val="none"/>
        </w:rPr>
        <w:t>. 12-B </w:t>
      </w:r>
      <w:r w:rsidRPr="00506515">
        <w:rPr>
          <w:rFonts w:ascii="Book Antiqua" w:eastAsia="Times New Roman" w:hAnsi="Book Antiqua" w:cs="Arial"/>
          <w:color w:val="000000"/>
          <w:kern w:val="0"/>
          <w:sz w:val="19"/>
          <w:szCs w:val="19"/>
          <w:lang w:eastAsia="pt-BR"/>
          <w14:ligatures w14:val="none"/>
        </w:rPr>
        <w:fldChar w:fldCharType="end"/>
      </w:r>
      <w:r w:rsidRPr="00506515">
        <w:rPr>
          <w:rFonts w:ascii="Book Antiqua" w:eastAsia="Times New Roman" w:hAnsi="Book Antiqua" w:cs="Arial"/>
          <w:color w:val="000000"/>
          <w:kern w:val="0"/>
          <w:sz w:val="19"/>
          <w:szCs w:val="19"/>
          <w:lang w:eastAsia="pt-BR"/>
          <w14:ligatures w14:val="none"/>
        </w:rPr>
        <w:t>, </w:t>
      </w:r>
      <w:hyperlink r:id="rId21" w:anchor="art12c" w:history="1">
        <w:r w:rsidRPr="00506515">
          <w:rPr>
            <w:rFonts w:ascii="Book Antiqua" w:eastAsia="Times New Roman" w:hAnsi="Book Antiqua" w:cs="Arial"/>
            <w:color w:val="000080"/>
            <w:kern w:val="0"/>
            <w:sz w:val="19"/>
            <w:szCs w:val="19"/>
            <w:u w:val="single"/>
            <w:lang w:eastAsia="pt-BR"/>
            <w14:ligatures w14:val="none"/>
          </w:rPr>
          <w:t>12-C </w:t>
        </w:r>
      </w:hyperlink>
      <w:r w:rsidRPr="00506515">
        <w:rPr>
          <w:rFonts w:ascii="Book Antiqua" w:eastAsia="Times New Roman" w:hAnsi="Book Antiqua" w:cs="Arial"/>
          <w:color w:val="000000"/>
          <w:kern w:val="0"/>
          <w:sz w:val="19"/>
          <w:szCs w:val="19"/>
          <w:lang w:eastAsia="pt-BR"/>
          <w14:ligatures w14:val="none"/>
        </w:rPr>
        <w:t>, </w:t>
      </w:r>
      <w:hyperlink r:id="rId22" w:anchor="art22" w:history="1">
        <w:r w:rsidRPr="00506515">
          <w:rPr>
            <w:rFonts w:ascii="Book Antiqua" w:eastAsia="Times New Roman" w:hAnsi="Book Antiqua" w:cs="Arial"/>
            <w:color w:val="000080"/>
            <w:kern w:val="0"/>
            <w:sz w:val="19"/>
            <w:szCs w:val="19"/>
            <w:u w:val="single"/>
            <w:lang w:eastAsia="pt-BR"/>
            <w14:ligatures w14:val="none"/>
          </w:rPr>
          <w:t>22 </w:t>
        </w:r>
      </w:hyperlink>
      <w:r w:rsidRPr="00506515">
        <w:rPr>
          <w:rFonts w:ascii="Book Antiqua" w:eastAsia="Times New Roman" w:hAnsi="Book Antiqua" w:cs="Arial"/>
          <w:color w:val="000000"/>
          <w:kern w:val="0"/>
          <w:sz w:val="19"/>
          <w:szCs w:val="19"/>
          <w:lang w:eastAsia="pt-BR"/>
          <w14:ligatures w14:val="none"/>
        </w:rPr>
        <w:t>, </w:t>
      </w:r>
      <w:hyperlink r:id="rId23" w:anchor="art23" w:history="1">
        <w:r w:rsidRPr="00506515">
          <w:rPr>
            <w:rFonts w:ascii="Book Antiqua" w:eastAsia="Times New Roman" w:hAnsi="Book Antiqua" w:cs="Arial"/>
            <w:color w:val="000080"/>
            <w:kern w:val="0"/>
            <w:sz w:val="19"/>
            <w:szCs w:val="19"/>
            <w:u w:val="single"/>
            <w:lang w:eastAsia="pt-BR"/>
            <w14:ligatures w14:val="none"/>
          </w:rPr>
          <w:t>23 </w:t>
        </w:r>
      </w:hyperlink>
      <w:r w:rsidRPr="00506515">
        <w:rPr>
          <w:rFonts w:ascii="Book Antiqua" w:eastAsia="Times New Roman" w:hAnsi="Book Antiqua" w:cs="Arial"/>
          <w:color w:val="000000"/>
          <w:kern w:val="0"/>
          <w:sz w:val="19"/>
          <w:szCs w:val="19"/>
          <w:lang w:eastAsia="pt-BR"/>
          <w14:ligatures w14:val="none"/>
        </w:rPr>
        <w:t>e </w:t>
      </w:r>
      <w:hyperlink r:id="rId24" w:anchor="art24" w:history="1">
        <w:r w:rsidRPr="00506515">
          <w:rPr>
            <w:rFonts w:ascii="Book Antiqua" w:eastAsia="Times New Roman" w:hAnsi="Book Antiqua" w:cs="Arial"/>
            <w:color w:val="000080"/>
            <w:kern w:val="0"/>
            <w:sz w:val="19"/>
            <w:szCs w:val="19"/>
            <w:u w:val="single"/>
            <w:lang w:eastAsia="pt-BR"/>
            <w14:ligatures w14:val="none"/>
          </w:rPr>
          <w:t>24 da Lei nº 11.340, de 7 de agosto de 2006 </w:t>
        </w:r>
      </w:hyperlink>
      <w:r w:rsidRPr="00506515">
        <w:rPr>
          <w:rFonts w:ascii="Book Antiqua" w:eastAsia="Times New Roman" w:hAnsi="Book Antiqua" w:cs="Arial"/>
          <w:color w:val="000000"/>
          <w:kern w:val="0"/>
          <w:sz w:val="19"/>
          <w:szCs w:val="19"/>
          <w:lang w:eastAsia="pt-BR"/>
          <w14:ligatures w14:val="none"/>
        </w:rPr>
        <w:t>(Lei Maria da Penha), de forma eletrônica, e poderá considerar provas coletadas eletronicamente ou por audiovisual, em momento anterior à lavratura do boletim de ocorrência e a colheita de provas que exija a presença física da ofendida, facultado ao Poder Judiciário intimar a ofendida e o ofensor da decisão judicial por meio eletrônico.</w:t>
      </w:r>
    </w:p>
    <w:p w14:paraId="3CA3D771"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4º Na hipótese prevista no § 3º deste artigo, após a concessão da medida de urgência, a autoridade competente, independentemente da autorização da ofendida, deverá:</w:t>
      </w:r>
    </w:p>
    <w:p w14:paraId="748CD9B2"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xml:space="preserve">I - </w:t>
      </w:r>
      <w:proofErr w:type="gramStart"/>
      <w:r w:rsidRPr="00506515">
        <w:rPr>
          <w:rFonts w:ascii="Book Antiqua" w:eastAsia="Times New Roman" w:hAnsi="Book Antiqua" w:cs="Arial"/>
          <w:color w:val="000000"/>
          <w:kern w:val="0"/>
          <w:sz w:val="19"/>
          <w:szCs w:val="19"/>
          <w:lang w:eastAsia="pt-BR"/>
          <w14:ligatures w14:val="none"/>
        </w:rPr>
        <w:t>se</w:t>
      </w:r>
      <w:proofErr w:type="gramEnd"/>
      <w:r w:rsidRPr="00506515">
        <w:rPr>
          <w:rFonts w:ascii="Book Antiqua" w:eastAsia="Times New Roman" w:hAnsi="Book Antiqua" w:cs="Arial"/>
          <w:color w:val="000000"/>
          <w:kern w:val="0"/>
          <w:sz w:val="19"/>
          <w:szCs w:val="19"/>
          <w:lang w:eastAsia="pt-BR"/>
          <w14:ligatures w14:val="none"/>
        </w:rPr>
        <w:t xml:space="preserve"> for autoridade judicial, comunicar à unidade de polícia judiciária competente para que proceda à abertura de investigação criminal para apuração dos fatos;</w:t>
      </w:r>
    </w:p>
    <w:p w14:paraId="5A888516"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xml:space="preserve">II - </w:t>
      </w:r>
      <w:proofErr w:type="gramStart"/>
      <w:r w:rsidRPr="00506515">
        <w:rPr>
          <w:rFonts w:ascii="Book Antiqua" w:eastAsia="Times New Roman" w:hAnsi="Book Antiqua" w:cs="Arial"/>
          <w:color w:val="000000"/>
          <w:kern w:val="0"/>
          <w:sz w:val="19"/>
          <w:szCs w:val="19"/>
          <w:lang w:eastAsia="pt-BR"/>
          <w14:ligatures w14:val="none"/>
        </w:rPr>
        <w:t>se</w:t>
      </w:r>
      <w:proofErr w:type="gramEnd"/>
      <w:r w:rsidRPr="00506515">
        <w:rPr>
          <w:rFonts w:ascii="Book Antiqua" w:eastAsia="Times New Roman" w:hAnsi="Book Antiqua" w:cs="Arial"/>
          <w:color w:val="000000"/>
          <w:kern w:val="0"/>
          <w:sz w:val="19"/>
          <w:szCs w:val="19"/>
          <w:lang w:eastAsia="pt-BR"/>
          <w14:ligatures w14:val="none"/>
        </w:rPr>
        <w:t xml:space="preserve"> for delegado de polícia, comunicar imediatamente ao Ministério Público e ao Poder Judiciário da medida concedida e instaurar imediatamente inquérito policial, determinando todas as diligências cabíveis para a averiguação dos fatos;</w:t>
      </w:r>
    </w:p>
    <w:p w14:paraId="42668DE9"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III - se for policial, comunicar imediatamente ao Ministério Público, ao Poder Judiciário e à unidade de polícia judiciária competente da medida concedida, realizar o registro de boletim de ocorrência e encaminhar os autos imediatamente à autoridade policial competente para a adoção das medidas cabíveis.</w:t>
      </w:r>
    </w:p>
    <w:p w14:paraId="735EF337" w14:textId="44A82E58"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4" w:name="art5"/>
      <w:bookmarkEnd w:id="4"/>
      <w:r w:rsidRPr="00506515">
        <w:rPr>
          <w:rFonts w:ascii="Book Antiqua" w:eastAsia="Times New Roman" w:hAnsi="Book Antiqua" w:cs="Arial"/>
          <w:b/>
          <w:bCs/>
          <w:color w:val="000000"/>
          <w:kern w:val="0"/>
          <w:sz w:val="19"/>
          <w:szCs w:val="19"/>
          <w:highlight w:val="magenta"/>
          <w:lang w:eastAsia="pt-BR"/>
          <w14:ligatures w14:val="none"/>
        </w:rPr>
        <w:t>Art. 5º</w:t>
      </w:r>
      <w:r w:rsidRPr="00506515">
        <w:rPr>
          <w:rFonts w:ascii="Book Antiqua" w:eastAsia="Times New Roman" w:hAnsi="Book Antiqua" w:cs="Arial"/>
          <w:b/>
          <w:bCs/>
          <w:color w:val="000000"/>
          <w:kern w:val="0"/>
          <w:sz w:val="19"/>
          <w:szCs w:val="19"/>
          <w:lang w:eastAsia="pt-BR"/>
          <w14:ligatures w14:val="none"/>
        </w:rPr>
        <w:t xml:space="preserve"> As medidas protetivas deferidas em favor da mulher serão automaticamente prorrogadas e vigorarão durante a vigência da </w:t>
      </w:r>
      <w:hyperlink r:id="rId25" w:history="1">
        <w:r w:rsidRPr="00506515">
          <w:rPr>
            <w:rFonts w:ascii="Book Antiqua" w:eastAsia="Times New Roman" w:hAnsi="Book Antiqua" w:cs="Arial"/>
            <w:b/>
            <w:bCs/>
            <w:color w:val="000080"/>
            <w:kern w:val="0"/>
            <w:sz w:val="19"/>
            <w:szCs w:val="19"/>
            <w:u w:val="single"/>
            <w:lang w:eastAsia="pt-BR"/>
            <w14:ligatures w14:val="none"/>
          </w:rPr>
          <w:t>Lei nº 13.979, de 6 de fevereiro de 2020 </w:t>
        </w:r>
      </w:hyperlink>
      <w:r w:rsidRPr="00506515">
        <w:rPr>
          <w:rFonts w:ascii="Book Antiqua" w:eastAsia="Times New Roman" w:hAnsi="Book Antiqua" w:cs="Arial"/>
          <w:b/>
          <w:bCs/>
          <w:color w:val="000000"/>
          <w:kern w:val="0"/>
          <w:sz w:val="19"/>
          <w:szCs w:val="19"/>
          <w:lang w:eastAsia="pt-BR"/>
          <w14:ligatures w14:val="none"/>
        </w:rPr>
        <w:t>, ou durante a declaração de estado de emergência de caráter humanitário e sanitário em território nacional, sem prejuízo do disposto no </w:t>
      </w:r>
      <w:hyperlink r:id="rId26" w:anchor="19" w:history="1">
        <w:r w:rsidRPr="00506515">
          <w:rPr>
            <w:rFonts w:ascii="Book Antiqua" w:eastAsia="Times New Roman" w:hAnsi="Book Antiqua" w:cs="Arial"/>
            <w:b/>
            <w:bCs/>
            <w:color w:val="000080"/>
            <w:kern w:val="0"/>
            <w:sz w:val="19"/>
            <w:szCs w:val="19"/>
            <w:u w:val="single"/>
            <w:lang w:eastAsia="pt-BR"/>
            <w14:ligatures w14:val="none"/>
          </w:rPr>
          <w:t>art. 19 e seguintes da Lei nº 11.340, de 7 de agosto de 2006 </w:t>
        </w:r>
      </w:hyperlink>
      <w:r w:rsidRPr="00506515">
        <w:rPr>
          <w:rFonts w:ascii="Book Antiqua" w:eastAsia="Times New Roman" w:hAnsi="Book Antiqua" w:cs="Arial"/>
          <w:b/>
          <w:bCs/>
          <w:color w:val="000000"/>
          <w:kern w:val="0"/>
          <w:sz w:val="19"/>
          <w:szCs w:val="19"/>
          <w:lang w:eastAsia="pt-BR"/>
          <w14:ligatures w14:val="none"/>
        </w:rPr>
        <w:t>(Lei Maria da Penha).</w:t>
      </w:r>
      <w:r>
        <w:rPr>
          <w:rFonts w:ascii="Book Antiqua" w:eastAsia="Times New Roman" w:hAnsi="Book Antiqua" w:cs="Arial"/>
          <w:color w:val="000000"/>
          <w:kern w:val="0"/>
          <w:sz w:val="19"/>
          <w:szCs w:val="19"/>
          <w:lang w:eastAsia="pt-BR"/>
          <w14:ligatures w14:val="none"/>
        </w:rPr>
        <w:t xml:space="preserve"> </w:t>
      </w:r>
      <w:bookmarkStart w:id="5" w:name="_Hlk164256546"/>
      <w:r w:rsidRPr="00BE75A1">
        <w:rPr>
          <w:rFonts w:ascii="Book Antiqua" w:hAnsi="Book Antiqua"/>
          <w:b/>
          <w:color w:val="FF0000"/>
          <w:sz w:val="16"/>
          <w:szCs w:val="16"/>
          <w:u w:val="single"/>
        </w:rPr>
        <w:t>(</w:t>
      </w:r>
      <w:r>
        <w:rPr>
          <w:rFonts w:ascii="Book Antiqua" w:hAnsi="Book Antiqua"/>
          <w:b/>
          <w:color w:val="FF0000"/>
          <w:sz w:val="16"/>
          <w:szCs w:val="16"/>
          <w:u w:val="single"/>
        </w:rPr>
        <w:t>DPEPR</w:t>
      </w:r>
      <w:r w:rsidRPr="00BE75A1">
        <w:rPr>
          <w:rFonts w:ascii="Book Antiqua" w:hAnsi="Book Antiqua"/>
          <w:b/>
          <w:color w:val="FF0000"/>
          <w:sz w:val="16"/>
          <w:szCs w:val="16"/>
          <w:u w:val="single"/>
        </w:rPr>
        <w:t>-2022)</w:t>
      </w:r>
      <w:bookmarkEnd w:id="5"/>
    </w:p>
    <w:tbl>
      <w:tblPr>
        <w:tblStyle w:val="Tabelacomgrade"/>
        <w:tblW w:w="0" w:type="auto"/>
        <w:tblLook w:val="04A0" w:firstRow="1" w:lastRow="0" w:firstColumn="1" w:lastColumn="0" w:noHBand="0" w:noVBand="1"/>
      </w:tblPr>
      <w:tblGrid>
        <w:gridCol w:w="8494"/>
      </w:tblGrid>
      <w:tr w:rsidR="00506515" w14:paraId="4559D421" w14:textId="77777777" w:rsidTr="00506515">
        <w:tc>
          <w:tcPr>
            <w:tcW w:w="8494" w:type="dxa"/>
            <w:shd w:val="clear" w:color="auto" w:fill="CCFFFF"/>
          </w:tcPr>
          <w:p w14:paraId="4B382E6C" w14:textId="791279AE" w:rsidR="00506515" w:rsidRPr="00506515" w:rsidRDefault="00506515" w:rsidP="00506515">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506515">
              <w:rPr>
                <w:rFonts w:ascii="Book Antiqua" w:eastAsia="Times New Roman" w:hAnsi="Book Antiqua" w:cs="Arial"/>
                <w:b/>
                <w:bCs/>
                <w:color w:val="000000"/>
                <w:kern w:val="0"/>
                <w:sz w:val="19"/>
                <w:szCs w:val="19"/>
                <w:highlight w:val="yellow"/>
                <w:lang w:eastAsia="pt-BR"/>
                <w14:ligatures w14:val="none"/>
              </w:rPr>
              <w:t>DPEPR-2022-AOCP</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506515">
              <w:rPr>
                <w:rFonts w:ascii="Book Antiqua" w:eastAsia="Times New Roman" w:hAnsi="Book Antiqua" w:cs="Arial"/>
                <w:color w:val="000000"/>
                <w:kern w:val="0"/>
                <w:sz w:val="19"/>
                <w:szCs w:val="19"/>
                <w:lang w:eastAsia="pt-BR"/>
                <w14:ligatures w14:val="none"/>
              </w:rPr>
              <w:t>Durante a vigência da Lei n.º 13.979/2020, que dispõe sobre as medidas para enfrentamento da emergência decorrente do novo coronavírus, ou durante a declaração de estado de emergência nacional, as medidas protetivas de urgência serão automaticamente prorrogadas.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5º,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Lei 14022.</w:t>
            </w:r>
          </w:p>
        </w:tc>
      </w:tr>
    </w:tbl>
    <w:p w14:paraId="1CA58170" w14:textId="348B444F"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Parágrafo único. O juiz competente providenciará a intimação do ofensor, que poderá ser realizada por meios eletrônicos, cientificando-o da prorrogação da medida protetiva.</w:t>
      </w:r>
    </w:p>
    <w:p w14:paraId="1463744A"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6" w:name="art6"/>
      <w:bookmarkEnd w:id="6"/>
      <w:r w:rsidRPr="00506515">
        <w:rPr>
          <w:rFonts w:ascii="Book Antiqua" w:eastAsia="Times New Roman" w:hAnsi="Book Antiqua" w:cs="Arial"/>
          <w:color w:val="000000"/>
          <w:kern w:val="0"/>
          <w:sz w:val="19"/>
          <w:szCs w:val="19"/>
          <w:lang w:eastAsia="pt-BR"/>
          <w14:ligatures w14:val="none"/>
        </w:rPr>
        <w:t>Art. 6º As denúncias de violência recebidas na esfera federal pela Central de Atendimento à Mulher - Ligue 180 e pelo serviço de proteção de crianças e adolescentes com foco em violência sexual - Disque 100 devem ser repassadas, com as informações de urgência, para os órgãos competentes.</w:t>
      </w:r>
    </w:p>
    <w:p w14:paraId="4671031D"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Parágrafo único. O prazo máximo para o envio das informações referidas no </w:t>
      </w:r>
      <w:r w:rsidRPr="00506515">
        <w:rPr>
          <w:rFonts w:ascii="Book Antiqua" w:eastAsia="Times New Roman" w:hAnsi="Book Antiqua" w:cs="Arial"/>
          <w:b/>
          <w:bCs/>
          <w:color w:val="000000"/>
          <w:kern w:val="0"/>
          <w:sz w:val="19"/>
          <w:szCs w:val="19"/>
          <w:lang w:eastAsia="pt-BR"/>
          <w14:ligatures w14:val="none"/>
        </w:rPr>
        <w:t>caput </w:t>
      </w:r>
      <w:r w:rsidRPr="00506515">
        <w:rPr>
          <w:rFonts w:ascii="Book Antiqua" w:eastAsia="Times New Roman" w:hAnsi="Book Antiqua" w:cs="Arial"/>
          <w:color w:val="000000"/>
          <w:kern w:val="0"/>
          <w:sz w:val="19"/>
          <w:szCs w:val="19"/>
          <w:lang w:eastAsia="pt-BR"/>
          <w14:ligatures w14:val="none"/>
        </w:rPr>
        <w:t>deste artigo é de 48 (quarenta e oito) horas, salvo impedimento técnico.</w:t>
      </w:r>
    </w:p>
    <w:p w14:paraId="78914D44"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7" w:name="art7"/>
      <w:bookmarkEnd w:id="7"/>
      <w:r w:rsidRPr="00506515">
        <w:rPr>
          <w:rFonts w:ascii="Book Antiqua" w:eastAsia="Times New Roman" w:hAnsi="Book Antiqua" w:cs="Arial"/>
          <w:color w:val="000000"/>
          <w:kern w:val="0"/>
          <w:sz w:val="19"/>
          <w:szCs w:val="19"/>
          <w:lang w:eastAsia="pt-BR"/>
          <w14:ligatures w14:val="none"/>
        </w:rPr>
        <w:t>Art. 7º Em todos os casos, a autoridade de segurança pública deve assegurar o atendimento ágil a todas as demandas apresentadas e que signifiquem risco de vida e a integridade da mulher, do idoso, da criança e do adolescente, com atuação focada na proteção integral, nos termos da </w:t>
      </w:r>
      <w:hyperlink r:id="rId27" w:history="1">
        <w:r w:rsidRPr="00506515">
          <w:rPr>
            <w:rFonts w:ascii="Book Antiqua" w:eastAsia="Times New Roman" w:hAnsi="Book Antiqua" w:cs="Arial"/>
            <w:color w:val="000080"/>
            <w:kern w:val="0"/>
            <w:sz w:val="19"/>
            <w:szCs w:val="19"/>
            <w:u w:val="single"/>
            <w:lang w:eastAsia="pt-BR"/>
            <w14:ligatures w14:val="none"/>
          </w:rPr>
          <w:t>Lei nº 8.069, de 13 de julho de 1990 </w:t>
        </w:r>
      </w:hyperlink>
      <w:r w:rsidRPr="00506515">
        <w:rPr>
          <w:rFonts w:ascii="Book Antiqua" w:eastAsia="Times New Roman" w:hAnsi="Book Antiqua" w:cs="Arial"/>
          <w:color w:val="000000"/>
          <w:kern w:val="0"/>
          <w:sz w:val="19"/>
          <w:szCs w:val="19"/>
          <w:lang w:eastAsia="pt-BR"/>
          <w14:ligatures w14:val="none"/>
        </w:rPr>
        <w:t>(Estatuto da Criança e do Adolescente) e da </w:t>
      </w:r>
      <w:hyperlink r:id="rId28" w:history="1">
        <w:r w:rsidRPr="00506515">
          <w:rPr>
            <w:rFonts w:ascii="Book Antiqua" w:eastAsia="Times New Roman" w:hAnsi="Book Antiqua" w:cs="Arial"/>
            <w:color w:val="000080"/>
            <w:kern w:val="0"/>
            <w:sz w:val="19"/>
            <w:szCs w:val="19"/>
            <w:u w:val="single"/>
            <w:lang w:eastAsia="pt-BR"/>
            <w14:ligatures w14:val="none"/>
          </w:rPr>
          <w:t>Lei nº 10.741, de 1º de outubro de 2003 </w:t>
        </w:r>
      </w:hyperlink>
      <w:r w:rsidRPr="00506515">
        <w:rPr>
          <w:rFonts w:ascii="Book Antiqua" w:eastAsia="Times New Roman" w:hAnsi="Book Antiqua" w:cs="Arial"/>
          <w:color w:val="000000"/>
          <w:kern w:val="0"/>
          <w:sz w:val="19"/>
          <w:szCs w:val="19"/>
          <w:lang w:eastAsia="pt-BR"/>
          <w14:ligatures w14:val="none"/>
        </w:rPr>
        <w:t>(Estatuto do Idoso).</w:t>
      </w:r>
    </w:p>
    <w:p w14:paraId="794E32D2"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8" w:name="art8"/>
      <w:bookmarkEnd w:id="8"/>
      <w:r w:rsidRPr="00506515">
        <w:rPr>
          <w:rFonts w:ascii="Book Antiqua" w:eastAsia="Times New Roman" w:hAnsi="Book Antiqua" w:cs="Arial"/>
          <w:color w:val="000000"/>
          <w:kern w:val="0"/>
          <w:sz w:val="19"/>
          <w:szCs w:val="19"/>
          <w:lang w:eastAsia="pt-BR"/>
          <w14:ligatures w14:val="none"/>
        </w:rPr>
        <w:t>Art. 8º O poder público promoverá campanha informativa sobre prevenção à violência e acesso a mecanismos de denúncia durante a vigência da </w:t>
      </w:r>
      <w:hyperlink r:id="rId29" w:history="1">
        <w:r w:rsidRPr="00506515">
          <w:rPr>
            <w:rFonts w:ascii="Book Antiqua" w:eastAsia="Times New Roman" w:hAnsi="Book Antiqua" w:cs="Arial"/>
            <w:color w:val="000080"/>
            <w:kern w:val="0"/>
            <w:sz w:val="19"/>
            <w:szCs w:val="19"/>
            <w:u w:val="single"/>
            <w:lang w:eastAsia="pt-BR"/>
            <w14:ligatures w14:val="none"/>
          </w:rPr>
          <w:t>Lei nº 13.979, de 6 de fevereiro de 2020, </w:t>
        </w:r>
      </w:hyperlink>
      <w:r w:rsidRPr="00506515">
        <w:rPr>
          <w:rFonts w:ascii="Book Antiqua" w:eastAsia="Times New Roman" w:hAnsi="Book Antiqua" w:cs="Arial"/>
          <w:color w:val="000000"/>
          <w:kern w:val="0"/>
          <w:sz w:val="19"/>
          <w:szCs w:val="19"/>
          <w:lang w:eastAsia="pt-BR"/>
          <w14:ligatures w14:val="none"/>
        </w:rPr>
        <w:t>ou durante a vigência do estado de emergência de caráter humanitário e sanitário.</w:t>
      </w:r>
    </w:p>
    <w:p w14:paraId="48008BB7"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bookmarkStart w:id="9" w:name="art9"/>
      <w:bookmarkEnd w:id="9"/>
      <w:r w:rsidRPr="00506515">
        <w:rPr>
          <w:rFonts w:ascii="Book Antiqua" w:eastAsia="Times New Roman" w:hAnsi="Book Antiqua" w:cs="Arial"/>
          <w:color w:val="000000"/>
          <w:kern w:val="0"/>
          <w:sz w:val="19"/>
          <w:szCs w:val="19"/>
          <w:lang w:eastAsia="pt-BR"/>
          <w14:ligatures w14:val="none"/>
        </w:rPr>
        <w:lastRenderedPageBreak/>
        <w:t>Art. 9º Esta Lei entra em vigor na data de sua publicação.</w:t>
      </w:r>
    </w:p>
    <w:p w14:paraId="57FCB4D6" w14:textId="77777777" w:rsidR="00506515" w:rsidRPr="00506515" w:rsidRDefault="00506515" w:rsidP="00506515">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506515">
        <w:rPr>
          <w:rFonts w:ascii="Book Antiqua" w:eastAsia="Times New Roman" w:hAnsi="Book Antiqua" w:cs="Arial"/>
          <w:color w:val="000000"/>
          <w:kern w:val="0"/>
          <w:sz w:val="19"/>
          <w:szCs w:val="19"/>
          <w:lang w:eastAsia="pt-BR"/>
          <w14:ligatures w14:val="none"/>
        </w:rPr>
        <w:t xml:space="preserve">Brasília, 7 </w:t>
      </w:r>
      <w:proofErr w:type="gramStart"/>
      <w:r w:rsidRPr="00506515">
        <w:rPr>
          <w:rFonts w:ascii="Book Antiqua" w:eastAsia="Times New Roman" w:hAnsi="Book Antiqua" w:cs="Arial"/>
          <w:color w:val="000000"/>
          <w:kern w:val="0"/>
          <w:sz w:val="19"/>
          <w:szCs w:val="19"/>
          <w:lang w:eastAsia="pt-BR"/>
          <w14:ligatures w14:val="none"/>
        </w:rPr>
        <w:t>de  julho</w:t>
      </w:r>
      <w:proofErr w:type="gramEnd"/>
      <w:r w:rsidRPr="00506515">
        <w:rPr>
          <w:rFonts w:ascii="Book Antiqua" w:eastAsia="Times New Roman" w:hAnsi="Book Antiqua" w:cs="Arial"/>
          <w:color w:val="000000"/>
          <w:kern w:val="0"/>
          <w:sz w:val="19"/>
          <w:szCs w:val="19"/>
          <w:lang w:eastAsia="pt-BR"/>
          <w14:ligatures w14:val="none"/>
        </w:rPr>
        <w:t xml:space="preserve">  de 2020; 199º da Independência e 132º da República.</w:t>
      </w:r>
    </w:p>
    <w:p w14:paraId="14B248EA" w14:textId="77777777" w:rsidR="00506515" w:rsidRPr="00506515" w:rsidRDefault="00506515" w:rsidP="00506515">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506515">
        <w:rPr>
          <w:rFonts w:ascii="Book Antiqua" w:eastAsia="Times New Roman" w:hAnsi="Book Antiqua" w:cs="Arial"/>
          <w:caps/>
          <w:color w:val="000000"/>
          <w:kern w:val="0"/>
          <w:sz w:val="19"/>
          <w:szCs w:val="19"/>
          <w:lang w:eastAsia="pt-BR"/>
          <w14:ligatures w14:val="none"/>
        </w:rPr>
        <w:t>JAIR MESSIAS BOLSONARO</w:t>
      </w:r>
    </w:p>
    <w:p w14:paraId="16A40450" w14:textId="77777777" w:rsidR="00506515" w:rsidRPr="00506515" w:rsidRDefault="00506515" w:rsidP="00506515">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506515">
        <w:rPr>
          <w:rFonts w:ascii="Book Antiqua" w:eastAsia="Times New Roman" w:hAnsi="Book Antiqua" w:cs="Arial"/>
          <w:i/>
          <w:iCs/>
          <w:color w:val="000000"/>
          <w:kern w:val="0"/>
          <w:sz w:val="19"/>
          <w:szCs w:val="19"/>
          <w:lang w:eastAsia="pt-BR"/>
          <w14:ligatures w14:val="none"/>
        </w:rPr>
        <w:t>André Luiz de Almeida Mendonça</w:t>
      </w:r>
    </w:p>
    <w:p w14:paraId="2D463998" w14:textId="77777777" w:rsidR="00506515" w:rsidRPr="00506515" w:rsidRDefault="00506515" w:rsidP="00506515">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506515">
        <w:rPr>
          <w:rFonts w:ascii="Book Antiqua" w:eastAsia="Times New Roman" w:hAnsi="Book Antiqua" w:cs="Arial"/>
          <w:i/>
          <w:iCs/>
          <w:color w:val="000000"/>
          <w:kern w:val="0"/>
          <w:sz w:val="19"/>
          <w:szCs w:val="19"/>
          <w:lang w:eastAsia="pt-BR"/>
          <w14:ligatures w14:val="none"/>
        </w:rPr>
        <w:t>Damares Regina Alves</w:t>
      </w:r>
    </w:p>
    <w:p w14:paraId="7A1C4F76" w14:textId="77777777" w:rsidR="00506515" w:rsidRPr="00506515" w:rsidRDefault="00506515" w:rsidP="00506515">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506515">
        <w:rPr>
          <w:rFonts w:ascii="Book Antiqua" w:eastAsia="Times New Roman" w:hAnsi="Book Antiqua" w:cs="Arial"/>
          <w:color w:val="FF0000"/>
          <w:kern w:val="0"/>
          <w:sz w:val="19"/>
          <w:szCs w:val="19"/>
          <w:lang w:eastAsia="pt-BR"/>
          <w14:ligatures w14:val="none"/>
        </w:rPr>
        <w:t>Este texto não substitui o publicado no DOU de 8.7.2020.</w:t>
      </w:r>
    </w:p>
    <w:p w14:paraId="2B215A81" w14:textId="77777777" w:rsidR="00506515" w:rsidRPr="00506515" w:rsidRDefault="00506515" w:rsidP="00506515">
      <w:pPr>
        <w:spacing w:before="100" w:beforeAutospacing="1" w:after="100" w:afterAutospacing="1" w:line="240" w:lineRule="auto"/>
        <w:ind w:firstLine="480"/>
        <w:jc w:val="center"/>
        <w:rPr>
          <w:rFonts w:ascii="Book Antiqua" w:eastAsia="Times New Roman" w:hAnsi="Book Antiqua" w:cs="Arial"/>
          <w:color w:val="FF0000"/>
          <w:kern w:val="0"/>
          <w:sz w:val="19"/>
          <w:szCs w:val="19"/>
          <w:lang w:eastAsia="pt-BR"/>
          <w14:ligatures w14:val="none"/>
        </w:rPr>
      </w:pPr>
      <w:r w:rsidRPr="00506515">
        <w:rPr>
          <w:rFonts w:ascii="Book Antiqua" w:eastAsia="Times New Roman" w:hAnsi="Book Antiqua" w:cs="Arial"/>
          <w:color w:val="FF0000"/>
          <w:kern w:val="0"/>
          <w:sz w:val="19"/>
          <w:szCs w:val="19"/>
          <w:lang w:eastAsia="pt-BR"/>
          <w14:ligatures w14:val="none"/>
        </w:rPr>
        <w:t>*</w:t>
      </w:r>
    </w:p>
    <w:p w14:paraId="4E96A9DA" w14:textId="77777777" w:rsidR="00BB7FE6" w:rsidRPr="00506515" w:rsidRDefault="00BB7FE6" w:rsidP="00506515">
      <w:pPr>
        <w:spacing w:before="100" w:beforeAutospacing="1" w:after="100" w:afterAutospacing="1" w:line="240" w:lineRule="auto"/>
        <w:rPr>
          <w:rFonts w:ascii="Book Antiqua" w:hAnsi="Book Antiqua"/>
          <w:sz w:val="19"/>
          <w:szCs w:val="19"/>
        </w:rPr>
      </w:pPr>
    </w:p>
    <w:sectPr w:rsidR="00BB7FE6" w:rsidRPr="00506515" w:rsidSect="000D1AA6">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A192C"/>
    <w:multiLevelType w:val="multilevel"/>
    <w:tmpl w:val="ACCC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389"/>
    <w:rsid w:val="000D1AA6"/>
    <w:rsid w:val="00494E94"/>
    <w:rsid w:val="00506515"/>
    <w:rsid w:val="00BB7FE6"/>
    <w:rsid w:val="00D346F6"/>
    <w:rsid w:val="00FE43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26DEB"/>
  <w15:chartTrackingRefBased/>
  <w15:docId w15:val="{4902952F-130F-4B36-8D95-770483C5F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06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7458788">
      <w:bodyDiv w:val="1"/>
      <w:marLeft w:val="0"/>
      <w:marRight w:val="0"/>
      <w:marTop w:val="0"/>
      <w:marBottom w:val="0"/>
      <w:divBdr>
        <w:top w:val="none" w:sz="0" w:space="0" w:color="auto"/>
        <w:left w:val="none" w:sz="0" w:space="0" w:color="auto"/>
        <w:bottom w:val="none" w:sz="0" w:space="0" w:color="auto"/>
        <w:right w:val="none" w:sz="0" w:space="0" w:color="auto"/>
      </w:divBdr>
      <w:divsChild>
        <w:div w:id="2126728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5780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LEIS/L8069.htm" TargetMode="External"/><Relationship Id="rId13" Type="http://schemas.openxmlformats.org/officeDocument/2006/relationships/hyperlink" Target="https://www.planalto.gov.br/ccivil_03/_Ato2004-2006/2006/Lei/L11340.htm" TargetMode="External"/><Relationship Id="rId18" Type="http://schemas.openxmlformats.org/officeDocument/2006/relationships/hyperlink" Target="https://www.planalto.gov.br/ccivil_03/LEIS/2003/L10.741.htm" TargetMode="External"/><Relationship Id="rId26" Type="http://schemas.openxmlformats.org/officeDocument/2006/relationships/hyperlink" Target="https://www.planalto.gov.br/ccivil_03/_Ato2004-2006/2006/Lei/L11340.htm" TargetMode="External"/><Relationship Id="rId3" Type="http://schemas.openxmlformats.org/officeDocument/2006/relationships/settings" Target="settings.xml"/><Relationship Id="rId21" Type="http://schemas.openxmlformats.org/officeDocument/2006/relationships/hyperlink" Target="https://www.planalto.gov.br/ccivil_03/_Ato2004-2006/2006/Lei/L11340.htm" TargetMode="External"/><Relationship Id="rId7" Type="http://schemas.openxmlformats.org/officeDocument/2006/relationships/hyperlink" Target="https://www.planalto.gov.br/ccivil_03/_Ato2004-2006/2006/Lei/L11340.htm" TargetMode="External"/><Relationship Id="rId12" Type="http://schemas.openxmlformats.org/officeDocument/2006/relationships/hyperlink" Target="https://www.planalto.gov.br/ccivil_03/_ato2019-2022/2020/lei/L13979.htm" TargetMode="External"/><Relationship Id="rId17" Type="http://schemas.openxmlformats.org/officeDocument/2006/relationships/hyperlink" Target="https://www.planalto.gov.br/ccivil_03/LEIS/L8069.htm" TargetMode="External"/><Relationship Id="rId25" Type="http://schemas.openxmlformats.org/officeDocument/2006/relationships/hyperlink" Target="https://www.planalto.gov.br/ccivil_03/_ato2019-2022/2020/lei/L13979.htm" TargetMode="External"/><Relationship Id="rId2" Type="http://schemas.openxmlformats.org/officeDocument/2006/relationships/styles" Target="styles.xml"/><Relationship Id="rId16" Type="http://schemas.openxmlformats.org/officeDocument/2006/relationships/hyperlink" Target="https://www.planalto.gov.br/ccivil_03/_Ato2004-2006/2006/Lei/L11340.htm" TargetMode="External"/><Relationship Id="rId20" Type="http://schemas.openxmlformats.org/officeDocument/2006/relationships/hyperlink" Target="https://www.planalto.gov.br/ccivil_03/_ato2019-2022/2020/lei/L13979.htm" TargetMode="External"/><Relationship Id="rId29" Type="http://schemas.openxmlformats.org/officeDocument/2006/relationships/hyperlink" Target="https://www.planalto.gov.br/ccivil_03/_ato2019-2022/2020/lei/L13979.htm" TargetMode="External"/><Relationship Id="rId1" Type="http://schemas.openxmlformats.org/officeDocument/2006/relationships/numbering" Target="numbering.xml"/><Relationship Id="rId6" Type="http://schemas.openxmlformats.org/officeDocument/2006/relationships/hyperlink" Target="https://www.planalto.gov.br/ccivil_03/_ato2019-2022/2020/lei/L13979.htm" TargetMode="External"/><Relationship Id="rId11" Type="http://schemas.openxmlformats.org/officeDocument/2006/relationships/hyperlink" Target="https://www.planalto.gov.br/ccivil_03/Decreto-Lei/Del2848.htm" TargetMode="External"/><Relationship Id="rId24" Type="http://schemas.openxmlformats.org/officeDocument/2006/relationships/hyperlink" Target="https://www.planalto.gov.br/ccivil_03/_Ato2004-2006/2006/Lei/L11340.htm" TargetMode="External"/><Relationship Id="rId5" Type="http://schemas.openxmlformats.org/officeDocument/2006/relationships/hyperlink" Target="https://www.planalto.gov.br/ccivil_03/_ato2019-2022/2020/lei/L13979.htm" TargetMode="External"/><Relationship Id="rId15" Type="http://schemas.openxmlformats.org/officeDocument/2006/relationships/hyperlink" Target="https://www.planalto.gov.br/ccivil_03/Decreto-Lei/Del2848.htm" TargetMode="External"/><Relationship Id="rId23" Type="http://schemas.openxmlformats.org/officeDocument/2006/relationships/hyperlink" Target="https://www.planalto.gov.br/ccivil_03/_Ato2004-2006/2006/Lei/L11340.htm" TargetMode="External"/><Relationship Id="rId28" Type="http://schemas.openxmlformats.org/officeDocument/2006/relationships/hyperlink" Target="https://www.planalto.gov.br/ccivil_03/LEIS/2003/L10.741.htm" TargetMode="External"/><Relationship Id="rId10" Type="http://schemas.openxmlformats.org/officeDocument/2006/relationships/hyperlink" Target="https://www.planalto.gov.br/ccivil_03/_Ato2015-2018/2015/Lei/L13146.htm" TargetMode="External"/><Relationship Id="rId19" Type="http://schemas.openxmlformats.org/officeDocument/2006/relationships/hyperlink" Target="https://www.planalto.gov.br/ccivil_03/Decreto-Lei/Del3689.ht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lanalto.gov.br/ccivil_03/LEIS/2003/L10.741.htm" TargetMode="External"/><Relationship Id="rId14" Type="http://schemas.openxmlformats.org/officeDocument/2006/relationships/hyperlink" Target="https://www.planalto.gov.br/ccivil_03/_Ato2004-2006/2006/Lei/L11340.htm" TargetMode="External"/><Relationship Id="rId22" Type="http://schemas.openxmlformats.org/officeDocument/2006/relationships/hyperlink" Target="https://www.planalto.gov.br/ccivil_03/_Ato2004-2006/2006/Lei/L11340.htm" TargetMode="External"/><Relationship Id="rId27" Type="http://schemas.openxmlformats.org/officeDocument/2006/relationships/hyperlink" Target="https://www.planalto.gov.br/ccivil_03/LEIS/L8069.htm"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2034</Words>
  <Characters>10985</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2024-04-17T17:24:00Z</dcterms:created>
  <dcterms:modified xsi:type="dcterms:W3CDTF">2024-04-17T17:55:00Z</dcterms:modified>
</cp:coreProperties>
</file>