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F45DB" w14:textId="411DE843" w:rsidR="00B74E7F" w:rsidRPr="0033145B" w:rsidRDefault="00B74E7F" w:rsidP="00B74E7F">
      <w:pPr>
        <w:jc w:val="center"/>
        <w:rPr>
          <w:rFonts w:ascii="Book Antiqua" w:hAnsi="Book Antiqua" w:cs="Times New Roman"/>
          <w:b/>
          <w:sz w:val="19"/>
          <w:szCs w:val="19"/>
        </w:rPr>
      </w:pPr>
      <w:bookmarkStart w:id="0" w:name="_Hlk30073352"/>
      <w:r w:rsidRPr="0033145B">
        <w:rPr>
          <w:rFonts w:ascii="Book Antiqua" w:hAnsi="Book Antiqua" w:cs="Times New Roman"/>
          <w:b/>
          <w:sz w:val="19"/>
          <w:szCs w:val="19"/>
        </w:rPr>
        <w:t>PORTARIA Nº 1.082/2014 DO MINISTÉRIO DA SAÚDE</w:t>
      </w:r>
    </w:p>
    <w:p w14:paraId="0E97DABF" w14:textId="77777777" w:rsidR="00B74E7F" w:rsidRPr="0033145B" w:rsidRDefault="00B74E7F" w:rsidP="00B74E7F">
      <w:pPr>
        <w:jc w:val="center"/>
        <w:rPr>
          <w:rFonts w:ascii="Book Antiqua" w:hAnsi="Book Antiqua" w:cs="Times New Roman"/>
          <w:b/>
          <w:sz w:val="19"/>
          <w:szCs w:val="19"/>
        </w:rPr>
      </w:pPr>
      <w:r w:rsidRPr="0033145B">
        <w:rPr>
          <w:rFonts w:ascii="Book Antiqua" w:hAnsi="Book Antiqua" w:cs="Times New Roman"/>
          <w:b/>
          <w:sz w:val="19"/>
          <w:szCs w:val="19"/>
        </w:rPr>
        <w:t>MATERIAL COM QUESTÕES DE CONCURSO e ALGUMAS REFERÊNCIAS À SÚMULAS E JULGADOS DOS TRIBUNAIS SUPERIORES</w:t>
      </w:r>
    </w:p>
    <w:p w14:paraId="72AF9259" w14:textId="77777777" w:rsidR="00B74E7F" w:rsidRPr="0033145B" w:rsidRDefault="00B74E7F" w:rsidP="00B74E7F">
      <w:pPr>
        <w:jc w:val="center"/>
        <w:rPr>
          <w:rFonts w:ascii="Book Antiqua" w:hAnsi="Book Antiqua" w:cs="Times New Roman"/>
          <w:b/>
          <w:color w:val="FF0000"/>
          <w:sz w:val="19"/>
          <w:szCs w:val="19"/>
        </w:rPr>
      </w:pPr>
      <w:r w:rsidRPr="0033145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B74E7F" w:rsidRPr="00B04309" w14:paraId="322D7A97" w14:textId="77777777" w:rsidTr="00600EE5">
        <w:trPr>
          <w:trHeight w:val="3310"/>
        </w:trPr>
        <w:tc>
          <w:tcPr>
            <w:tcW w:w="8494" w:type="dxa"/>
            <w:shd w:val="clear" w:color="auto" w:fill="E7E6E6" w:themeFill="background2"/>
          </w:tcPr>
          <w:p w14:paraId="548E4CAD" w14:textId="12C60489" w:rsidR="00B74E7F" w:rsidRPr="00B04309" w:rsidRDefault="00B74E7F" w:rsidP="00600EE5">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legislativa</w:t>
            </w:r>
            <w:r w:rsidRPr="00B04309">
              <w:rPr>
                <w:rFonts w:ascii="Book Antiqua" w:eastAsia="Times New Roman" w:hAnsi="Book Antiqua" w:cs="Times New Roman"/>
                <w:b/>
                <w:sz w:val="18"/>
                <w:szCs w:val="18"/>
                <w:lang w:eastAsia="pt-BR"/>
              </w:rPr>
              <w:t xml:space="preserve">: </w:t>
            </w:r>
          </w:p>
          <w:p w14:paraId="72207BDC" w14:textId="77777777" w:rsidR="00B74E7F" w:rsidRDefault="00B74E7F" w:rsidP="00600EE5">
            <w:pPr>
              <w:jc w:val="both"/>
              <w:rPr>
                <w:rFonts w:ascii="Book Antiqua" w:eastAsia="Times New Roman" w:hAnsi="Book Antiqua" w:cs="Times New Roman"/>
                <w:b/>
                <w:sz w:val="18"/>
                <w:szCs w:val="18"/>
                <w:lang w:eastAsia="pt-BR"/>
              </w:rPr>
            </w:pPr>
          </w:p>
          <w:p w14:paraId="633CA027" w14:textId="46E6793D" w:rsidR="00B74E7F" w:rsidRPr="00B04309" w:rsidRDefault="00B74E7F" w:rsidP="00600EE5">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B04309">
              <w:rPr>
                <w:rFonts w:ascii="Book Antiqua" w:eastAsia="Times New Roman" w:hAnsi="Book Antiqua" w:cs="Times New Roman"/>
                <w:b/>
                <w:sz w:val="18"/>
                <w:szCs w:val="18"/>
                <w:lang w:eastAsia="pt-BR"/>
              </w:rPr>
              <w:t xml:space="preserve">: </w:t>
            </w:r>
          </w:p>
          <w:p w14:paraId="27D8F47A" w14:textId="77777777" w:rsidR="00B74E7F" w:rsidRPr="00B04309" w:rsidRDefault="00B74E7F" w:rsidP="00600EE5">
            <w:pPr>
              <w:jc w:val="both"/>
              <w:rPr>
                <w:rFonts w:ascii="Book Antiqua" w:eastAsia="Times New Roman" w:hAnsi="Book Antiqua" w:cs="Times New Roman"/>
                <w:b/>
                <w:sz w:val="18"/>
                <w:szCs w:val="18"/>
                <w:lang w:eastAsia="pt-BR"/>
              </w:rPr>
            </w:pPr>
          </w:p>
          <w:p w14:paraId="4927ACE9" w14:textId="143D5F40" w:rsidR="00B74E7F" w:rsidRPr="00B04309" w:rsidRDefault="00B74E7F" w:rsidP="00600EE5">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questões de concurso</w:t>
            </w:r>
            <w:r w:rsidRPr="00B04309">
              <w:rPr>
                <w:rFonts w:ascii="Book Antiqua" w:eastAsia="Times New Roman" w:hAnsi="Book Antiqua" w:cs="Times New Roman"/>
                <w:b/>
                <w:sz w:val="18"/>
                <w:szCs w:val="18"/>
                <w:lang w:eastAsia="pt-BR"/>
              </w:rPr>
              <w:t xml:space="preserve">: </w:t>
            </w:r>
            <w:r w:rsidR="0033145B">
              <w:rPr>
                <w:rFonts w:ascii="Book Antiqua" w:eastAsia="Times New Roman" w:hAnsi="Book Antiqua" w:cs="Times New Roman"/>
                <w:b/>
                <w:color w:val="FF0000"/>
                <w:sz w:val="18"/>
                <w:szCs w:val="18"/>
                <w:lang w:eastAsia="pt-BR"/>
              </w:rPr>
              <w:t>24/07</w:t>
            </w:r>
            <w:r>
              <w:rPr>
                <w:rFonts w:ascii="Book Antiqua" w:eastAsia="Times New Roman" w:hAnsi="Book Antiqua" w:cs="Times New Roman"/>
                <w:b/>
                <w:color w:val="FF0000"/>
                <w:sz w:val="18"/>
                <w:szCs w:val="18"/>
                <w:lang w:eastAsia="pt-BR"/>
              </w:rPr>
              <w:t>/2</w:t>
            </w:r>
            <w:r w:rsidR="0033145B">
              <w:rPr>
                <w:rFonts w:ascii="Book Antiqua" w:eastAsia="Times New Roman" w:hAnsi="Book Antiqua" w:cs="Times New Roman"/>
                <w:b/>
                <w:color w:val="FF0000"/>
                <w:sz w:val="18"/>
                <w:szCs w:val="18"/>
                <w:lang w:eastAsia="pt-BR"/>
              </w:rPr>
              <w:t>021</w:t>
            </w:r>
            <w:r>
              <w:rPr>
                <w:rFonts w:ascii="Book Antiqua" w:eastAsia="Times New Roman" w:hAnsi="Book Antiqua" w:cs="Times New Roman"/>
                <w:b/>
                <w:color w:val="FF0000"/>
                <w:sz w:val="18"/>
                <w:szCs w:val="18"/>
                <w:lang w:eastAsia="pt-BR"/>
              </w:rPr>
              <w:t>.</w:t>
            </w:r>
          </w:p>
          <w:p w14:paraId="12213027" w14:textId="77777777" w:rsidR="00B74E7F" w:rsidRPr="00B04309" w:rsidRDefault="00B74E7F" w:rsidP="00600EE5">
            <w:pPr>
              <w:jc w:val="both"/>
              <w:rPr>
                <w:rFonts w:ascii="Book Antiqua" w:eastAsia="Times New Roman" w:hAnsi="Book Antiqua" w:cs="Times New Roman"/>
                <w:b/>
                <w:sz w:val="18"/>
                <w:szCs w:val="18"/>
                <w:lang w:eastAsia="pt-BR"/>
              </w:rPr>
            </w:pPr>
          </w:p>
          <w:p w14:paraId="1E4102EA" w14:textId="77777777" w:rsidR="00B74E7F" w:rsidRPr="00B04309" w:rsidRDefault="00B74E7F" w:rsidP="00600EE5">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04309">
              <w:rPr>
                <w:rFonts w:ascii="Book Antiqua" w:eastAsia="Times New Roman" w:hAnsi="Book Antiqua" w:cs="Times New Roman"/>
                <w:b/>
                <w:sz w:val="18"/>
                <w:szCs w:val="18"/>
                <w:lang w:eastAsia="pt-BR"/>
              </w:rPr>
              <w:t>:</w:t>
            </w:r>
          </w:p>
          <w:p w14:paraId="3F198E12" w14:textId="77777777" w:rsidR="00B74E7F" w:rsidRPr="00B04309" w:rsidRDefault="00B74E7F" w:rsidP="00600EE5">
            <w:pPr>
              <w:pStyle w:val="PargrafodaLista"/>
              <w:numPr>
                <w:ilvl w:val="0"/>
                <w:numId w:val="2"/>
              </w:num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0000"/>
                <w:sz w:val="18"/>
                <w:szCs w:val="18"/>
                <w:lang w:eastAsia="pt-BR"/>
              </w:rPr>
              <w:t>Cores utilizadas</w:t>
            </w:r>
            <w:r w:rsidRPr="00B04309">
              <w:rPr>
                <w:rFonts w:ascii="Book Antiqua" w:eastAsia="Times New Roman" w:hAnsi="Book Antiqua" w:cs="Times New Roman"/>
                <w:b/>
                <w:sz w:val="18"/>
                <w:szCs w:val="18"/>
                <w:lang w:eastAsia="pt-BR"/>
              </w:rPr>
              <w:t>:</w:t>
            </w:r>
          </w:p>
          <w:p w14:paraId="526C11D1" w14:textId="77777777" w:rsidR="00B74E7F" w:rsidRPr="00B04309" w:rsidRDefault="00B74E7F" w:rsidP="00600EE5">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green"/>
                <w:lang w:eastAsia="pt-BR"/>
              </w:rPr>
              <w:t>EM VERDE</w:t>
            </w:r>
            <w:r w:rsidRPr="00B04309">
              <w:rPr>
                <w:rFonts w:ascii="Book Antiqua" w:eastAsia="Times New Roman" w:hAnsi="Book Antiqua" w:cs="Times New Roman"/>
                <w:sz w:val="18"/>
                <w:szCs w:val="18"/>
                <w:lang w:eastAsia="pt-BR"/>
              </w:rPr>
              <w:t>: destaque aos títulos, capítulos, bem como outras informações relevantes, etc.</w:t>
            </w:r>
          </w:p>
          <w:p w14:paraId="16F4717E" w14:textId="77777777" w:rsidR="00B74E7F" w:rsidRPr="00B04309" w:rsidRDefault="00B74E7F" w:rsidP="00600EE5">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magenta"/>
                <w:lang w:eastAsia="pt-BR"/>
              </w:rPr>
              <w:t>EM ROXO</w:t>
            </w:r>
            <w:r w:rsidRPr="00B04309">
              <w:rPr>
                <w:rFonts w:ascii="Book Antiqua" w:eastAsia="Times New Roman" w:hAnsi="Book Antiqua" w:cs="Times New Roman"/>
                <w:sz w:val="18"/>
                <w:szCs w:val="18"/>
                <w:lang w:eastAsia="pt-BR"/>
              </w:rPr>
              <w:t>: artigos que já foram cobrados em provas de concurso.</w:t>
            </w:r>
          </w:p>
          <w:p w14:paraId="3AB2BE33" w14:textId="01FF6092" w:rsidR="00B74E7F" w:rsidRPr="00B04309" w:rsidRDefault="00B74E7F" w:rsidP="00600EE5">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cyan"/>
                <w:lang w:eastAsia="pt-BR"/>
              </w:rPr>
              <w:t>EM AZUL</w:t>
            </w:r>
            <w:r w:rsidRPr="00B0430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Portaria 1.082/2014</w:t>
            </w:r>
            <w:r w:rsidRPr="00B04309">
              <w:rPr>
                <w:rFonts w:ascii="Book Antiqua" w:eastAsia="Times New Roman" w:hAnsi="Book Antiqua" w:cs="Times New Roman"/>
                <w:sz w:val="18"/>
                <w:szCs w:val="18"/>
                <w:lang w:eastAsia="pt-BR"/>
              </w:rPr>
              <w:t>).</w:t>
            </w:r>
          </w:p>
          <w:p w14:paraId="763772AE" w14:textId="77777777" w:rsidR="00B74E7F" w:rsidRPr="00B04309" w:rsidRDefault="00B74E7F" w:rsidP="00600EE5">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yellow"/>
                <w:lang w:eastAsia="pt-BR"/>
              </w:rPr>
              <w:t>EM AMARELO</w:t>
            </w:r>
            <w:r w:rsidRPr="00B04309">
              <w:rPr>
                <w:rFonts w:ascii="Book Antiqua" w:eastAsia="Times New Roman" w:hAnsi="Book Antiqua" w:cs="Times New Roman"/>
                <w:sz w:val="18"/>
                <w:szCs w:val="18"/>
                <w:lang w:eastAsia="pt-BR"/>
              </w:rPr>
              <w:t>: destaques importantes (ex.: critério pessoal)</w:t>
            </w:r>
          </w:p>
          <w:p w14:paraId="48377A57" w14:textId="77777777" w:rsidR="00B74E7F" w:rsidRPr="00B04309" w:rsidRDefault="00B74E7F" w:rsidP="00600EE5">
            <w:pPr>
              <w:jc w:val="both"/>
              <w:rPr>
                <w:rFonts w:ascii="Book Antiqua" w:eastAsia="Times New Roman" w:hAnsi="Book Antiqua" w:cs="Times New Roman"/>
                <w:sz w:val="18"/>
                <w:szCs w:val="18"/>
                <w:lang w:eastAsia="pt-BR"/>
              </w:rPr>
            </w:pPr>
          </w:p>
          <w:p w14:paraId="135D42A3" w14:textId="77777777" w:rsidR="00B74E7F" w:rsidRPr="00B04309" w:rsidRDefault="00B74E7F" w:rsidP="00600EE5">
            <w:pPr>
              <w:pStyle w:val="PargrafodaLista"/>
              <w:numPr>
                <w:ilvl w:val="0"/>
                <w:numId w:val="2"/>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color w:val="FF0000"/>
                <w:sz w:val="18"/>
                <w:szCs w:val="18"/>
                <w:lang w:eastAsia="pt-BR"/>
              </w:rPr>
              <w:t>Siglas utilizadas</w:t>
            </w:r>
            <w:r w:rsidRPr="00B04309">
              <w:rPr>
                <w:rFonts w:ascii="Book Antiqua" w:eastAsia="Times New Roman" w:hAnsi="Book Antiqua" w:cs="Times New Roman"/>
                <w:sz w:val="18"/>
                <w:szCs w:val="18"/>
                <w:lang w:eastAsia="pt-BR"/>
              </w:rPr>
              <w:t>:</w:t>
            </w:r>
          </w:p>
          <w:p w14:paraId="7BD21152" w14:textId="77777777" w:rsidR="00B74E7F" w:rsidRPr="00B04309" w:rsidRDefault="00B74E7F" w:rsidP="00600EE5">
            <w:pPr>
              <w:pStyle w:val="PargrafodaLista"/>
              <w:numPr>
                <w:ilvl w:val="0"/>
                <w:numId w:val="3"/>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lang w:eastAsia="pt-BR"/>
              </w:rPr>
              <w:t>MP (concursos do Ministério Público); M (concursos da Magistratura); BL (base legal, etc.</w:t>
            </w:r>
          </w:p>
          <w:p w14:paraId="44EF7A23" w14:textId="77777777" w:rsidR="00B74E7F" w:rsidRPr="00B04309" w:rsidRDefault="00B74E7F" w:rsidP="00600EE5">
            <w:pPr>
              <w:jc w:val="both"/>
              <w:rPr>
                <w:rFonts w:ascii="Book Antiqua" w:eastAsia="Times New Roman" w:hAnsi="Book Antiqua" w:cs="Times New Roman"/>
                <w:sz w:val="20"/>
                <w:szCs w:val="20"/>
                <w:lang w:eastAsia="pt-BR"/>
              </w:rPr>
            </w:pPr>
          </w:p>
        </w:tc>
      </w:tr>
    </w:tbl>
    <w:bookmarkEnd w:id="0"/>
    <w:p w14:paraId="7FDBB449" w14:textId="77777777" w:rsidR="00B74E7F" w:rsidRPr="00B74E7F" w:rsidRDefault="00B74E7F" w:rsidP="00B74E7F">
      <w:pPr>
        <w:spacing w:before="100" w:beforeAutospacing="1" w:after="100" w:afterAutospacing="1" w:line="240" w:lineRule="auto"/>
        <w:jc w:val="center"/>
        <w:outlineLvl w:val="0"/>
        <w:rPr>
          <w:rFonts w:ascii="Book Antiqua" w:eastAsia="Times New Roman" w:hAnsi="Book Antiqua" w:cs="Arial"/>
          <w:b/>
          <w:bCs/>
          <w:caps/>
          <w:color w:val="000000"/>
          <w:kern w:val="36"/>
          <w:sz w:val="20"/>
          <w:szCs w:val="20"/>
          <w:lang w:eastAsia="pt-BR"/>
        </w:rPr>
      </w:pPr>
      <w:r w:rsidRPr="00B74E7F">
        <w:rPr>
          <w:rFonts w:ascii="Book Antiqua" w:eastAsia="Times New Roman" w:hAnsi="Book Antiqua" w:cs="Arial"/>
          <w:b/>
          <w:bCs/>
          <w:caps/>
          <w:color w:val="000000"/>
          <w:kern w:val="36"/>
          <w:sz w:val="20"/>
          <w:szCs w:val="20"/>
          <w:lang w:eastAsia="pt-BR"/>
        </w:rPr>
        <w:t>PORTARIA Nº 1.082, DE 23 DE MAIO DE 2014</w:t>
      </w:r>
    </w:p>
    <w:p w14:paraId="2AA063B6" w14:textId="77777777" w:rsidR="00B74E7F" w:rsidRPr="00B74E7F" w:rsidRDefault="00B74E7F" w:rsidP="00B74E7F">
      <w:pPr>
        <w:spacing w:before="100" w:beforeAutospacing="1" w:after="450" w:line="240" w:lineRule="auto"/>
        <w:ind w:left="1985"/>
        <w:jc w:val="both"/>
        <w:rPr>
          <w:rFonts w:ascii="Book Antiqua" w:eastAsia="Times New Roman" w:hAnsi="Book Antiqua" w:cs="Arial"/>
          <w:b/>
          <w:bCs/>
          <w:i/>
          <w:iCs/>
          <w:color w:val="000000"/>
          <w:sz w:val="18"/>
          <w:szCs w:val="18"/>
          <w:lang w:eastAsia="pt-BR"/>
        </w:rPr>
      </w:pPr>
      <w:r w:rsidRPr="00B74E7F">
        <w:rPr>
          <w:rFonts w:ascii="Book Antiqua" w:eastAsia="Times New Roman" w:hAnsi="Book Antiqua" w:cs="Arial"/>
          <w:b/>
          <w:bCs/>
          <w:i/>
          <w:iCs/>
          <w:color w:val="000000"/>
          <w:sz w:val="18"/>
          <w:szCs w:val="18"/>
          <w:lang w:eastAsia="pt-BR"/>
        </w:rPr>
        <w:t>Redefine as diretrizes da Política Nacional de Atenção Integral à Saúde de Adolescentes em Conflito com a Lei, em Regime de Internação e Internação Provisória (PNAISARI), incluindo-se o cumprimento de medida socioeducativa em meio aberto e fechado; e estabelece novos critérios e fluxos para adesão e operacionalização da atenção integral à saúde de adolescentes em situação de privação de liberdade, em unidades de internação, de internação provisória e de semiliberdade.</w:t>
      </w:r>
    </w:p>
    <w:p w14:paraId="661DF51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O MINISTRO DE ESTADO DA SAÚDE, no uso das atribuições que lhe conferem os incisos I e II do parágrafo único do art. 87 da Constituição, e</w:t>
      </w:r>
    </w:p>
    <w:p w14:paraId="2650412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Lei nº 8.069, de 13 de julho de 1990, que dispõe sobre o Estatuto da Criança e do Adolescente e dá outras providências;</w:t>
      </w:r>
    </w:p>
    <w:p w14:paraId="6FDF7DA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Lei nº 8.080, de 19 de setembro de 1990 (Lei Orgânica da Saúde), que dispõe sobre as condições para promoção, proteção e recuperação da saúde, a organização e o funcionamento dos serviços correspondentes e dá outras providências;</w:t>
      </w:r>
    </w:p>
    <w:p w14:paraId="6BE47AB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Lei nº 10.216, de 6 de abril de 2001, que dispõe sobre a proteção e os direitos das pessoas portadoras de transtornos mentais e redireciona o modelo assistencial em saúde mental;</w:t>
      </w:r>
    </w:p>
    <w:p w14:paraId="37455CE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Lei nº 12.594, de 18 de janeiro de 2012, que institui o Sistema Nacional de Atendimento Socioeducativo (</w:t>
      </w:r>
      <w:proofErr w:type="spellStart"/>
      <w:r w:rsidRPr="0033145B">
        <w:rPr>
          <w:rFonts w:ascii="Book Antiqua" w:eastAsia="Times New Roman" w:hAnsi="Book Antiqua" w:cs="Arial"/>
          <w:color w:val="000000"/>
          <w:sz w:val="19"/>
          <w:szCs w:val="19"/>
          <w:lang w:eastAsia="pt-BR"/>
        </w:rPr>
        <w:t>Sinase</w:t>
      </w:r>
      <w:proofErr w:type="spellEnd"/>
      <w:r w:rsidRPr="0033145B">
        <w:rPr>
          <w:rFonts w:ascii="Book Antiqua" w:eastAsia="Times New Roman" w:hAnsi="Book Antiqua" w:cs="Arial"/>
          <w:color w:val="000000"/>
          <w:sz w:val="19"/>
          <w:szCs w:val="19"/>
          <w:lang w:eastAsia="pt-BR"/>
        </w:rPr>
        <w:t>) e regulamenta a execução das medidas socioeducativas destinadas a adolescente que pratique ato infracional;</w:t>
      </w:r>
    </w:p>
    <w:p w14:paraId="7B0B002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Considerando o Decreto nº 2, de 13 de julho de 2006, que institui a Comissão Intersetorial de Acompanhamento do </w:t>
      </w:r>
      <w:proofErr w:type="spellStart"/>
      <w:r w:rsidRPr="0033145B">
        <w:rPr>
          <w:rFonts w:ascii="Book Antiqua" w:eastAsia="Times New Roman" w:hAnsi="Book Antiqua" w:cs="Arial"/>
          <w:color w:val="000000"/>
          <w:sz w:val="19"/>
          <w:szCs w:val="19"/>
          <w:lang w:eastAsia="pt-BR"/>
        </w:rPr>
        <w:t>Sinase</w:t>
      </w:r>
      <w:proofErr w:type="spellEnd"/>
      <w:r w:rsidRPr="0033145B">
        <w:rPr>
          <w:rFonts w:ascii="Book Antiqua" w:eastAsia="Times New Roman" w:hAnsi="Book Antiqua" w:cs="Arial"/>
          <w:color w:val="000000"/>
          <w:sz w:val="19"/>
          <w:szCs w:val="19"/>
          <w:lang w:eastAsia="pt-BR"/>
        </w:rPr>
        <w:t>; Considerando o Decreto nº 7.508, de 28 de junho de 2011, que regulamenta a Lei Orgânica da Saúde;</w:t>
      </w:r>
    </w:p>
    <w:p w14:paraId="7012F03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Portaria nº 687/GM/MS, de 30 de março de 2006, que aprova a Política Nacional de Promoção da Saúde (PNPS);</w:t>
      </w:r>
    </w:p>
    <w:p w14:paraId="2196C34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Considerando a Portaria nº 204/GM/MS, de 29 de janeiro de 2007, que regulamenta o financiamento e a transferência dos recursos federais para as ações e os serviços de saúde na forma dos blocos de financiamento, com respectivo financiamento e controle;</w:t>
      </w:r>
    </w:p>
    <w:p w14:paraId="2FCF3FE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Portaria nº 4.279/GM/MS, de 30 de dezembro de 2010, que estabelece diretrizes para organização da Rede de Atenção à Saúde no âmbito do Sistema Único de Saúde (SUS);</w:t>
      </w:r>
    </w:p>
    <w:p w14:paraId="3CD3867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Portaria nº 1.459/GM/MS, de 24 de junho de 2011, que institui no SUS a Rede Cegonha;</w:t>
      </w:r>
    </w:p>
    <w:p w14:paraId="19D96AC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Portaria nº 2.488/GM/MS, de 21 de outubro de 2011, que aprova a Política Nacional de Atenção Básica (PNAB), estabelecendo a revisão de diretrizes e normas para a organização da Atenção Básica, para a Estratégia Saúde da Família (ESF) e o Programa de Agentes Comunitários de Saúde (PACS);</w:t>
      </w:r>
    </w:p>
    <w:p w14:paraId="44E12F7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Portaria nº 3.088/GM/MS, de 23 de dezembro de 2011, que institui a Rede de Atenção Psicossocial para pessoas com sofrimento ou transtorno mental e com necessidades decorrentes do uso de crack, álcool e outras drogas, no âmbito do SUS;</w:t>
      </w:r>
    </w:p>
    <w:p w14:paraId="0DE6379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Portaria nº 148/GM/MS, de 31 de janeiro de 2012, que define as normas de funcionamento e habilitação do Serviço Hospitalar de Referência para atenção a pessoas com sofrimento ou transtorno mental e com necessidades de saúde decorrentes do uso de álcool, crack e outras drogas, do Componente Hospitalar da Rede de Atenção Psicossocial, e institui incentivos financeiros de investimento e de custeio;</w:t>
      </w:r>
    </w:p>
    <w:p w14:paraId="53EFED3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 Resolução nº 119/CONANDA, de 11 de dezembro de 2006, que dispõe sobre o Sistema Nacional de Atendimento Socioeducativo e dá outras providências;</w:t>
      </w:r>
    </w:p>
    <w:p w14:paraId="366BD11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Considerando as Diretrizes Nacionais para a Atenção Integral à Saúde de Adolescentes e Jovens na Promoção, Proteção e Recuperação da Saúde da Série A - Normas e Manuais Técnicos - 2010, disponível no sítio eletrônico www.saude.gov.br/adolescente;</w:t>
      </w:r>
    </w:p>
    <w:p w14:paraId="61401F3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Considerando a necessidade de estabelecer diretrizes gerais para a atenção integral em saúde de adolescentes em conflito com a lei, que cumprem medidas socioeducativa em meio aberto; </w:t>
      </w:r>
    </w:p>
    <w:p w14:paraId="73FB4B7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Considerando a necessidade de redefinir normas, critérios e fluxos para adesão e operacionalização da Atenção Integral à Saúde de Adolescentes em situação de privação de liberdade, em unidades socioeducativas masculinas e femininas; e </w:t>
      </w:r>
    </w:p>
    <w:p w14:paraId="0A8BDC9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Considerando a pactuação ocorrida na 6ª Reunião Ordinária da Comissão </w:t>
      </w:r>
      <w:proofErr w:type="spellStart"/>
      <w:r w:rsidRPr="0033145B">
        <w:rPr>
          <w:rFonts w:ascii="Book Antiqua" w:eastAsia="Times New Roman" w:hAnsi="Book Antiqua" w:cs="Arial"/>
          <w:color w:val="000000"/>
          <w:sz w:val="19"/>
          <w:szCs w:val="19"/>
          <w:lang w:eastAsia="pt-BR"/>
        </w:rPr>
        <w:t>Intergestores</w:t>
      </w:r>
      <w:proofErr w:type="spellEnd"/>
      <w:r w:rsidRPr="0033145B">
        <w:rPr>
          <w:rFonts w:ascii="Book Antiqua" w:eastAsia="Times New Roman" w:hAnsi="Book Antiqua" w:cs="Arial"/>
          <w:color w:val="000000"/>
          <w:sz w:val="19"/>
          <w:szCs w:val="19"/>
          <w:lang w:eastAsia="pt-BR"/>
        </w:rPr>
        <w:t xml:space="preserve"> Tripartite (CIT), em 29 de agosto de 2013, resolve:</w:t>
      </w:r>
    </w:p>
    <w:p w14:paraId="32997EB8"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CAPÍTULO I</w:t>
      </w:r>
      <w:r w:rsidRPr="0033145B">
        <w:rPr>
          <w:rFonts w:ascii="Book Antiqua" w:eastAsia="Times New Roman" w:hAnsi="Book Antiqua" w:cs="Arial"/>
          <w:color w:val="000000"/>
          <w:sz w:val="19"/>
          <w:szCs w:val="19"/>
          <w:lang w:eastAsia="pt-BR"/>
        </w:rPr>
        <w:br/>
        <w:t>DAS DISPOSIÇÕES GERAIS</w:t>
      </w:r>
    </w:p>
    <w:p w14:paraId="459F1CBB" w14:textId="545E5424"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b/>
          <w:bCs/>
          <w:color w:val="000000"/>
          <w:sz w:val="19"/>
          <w:szCs w:val="19"/>
          <w:highlight w:val="magenta"/>
          <w:lang w:eastAsia="pt-BR"/>
        </w:rPr>
        <w:t>Art. 1º</w:t>
      </w:r>
      <w:r w:rsidRPr="0033145B">
        <w:rPr>
          <w:rFonts w:ascii="Book Antiqua" w:eastAsia="Times New Roman" w:hAnsi="Book Antiqua" w:cs="Arial"/>
          <w:color w:val="000000"/>
          <w:sz w:val="19"/>
          <w:szCs w:val="19"/>
          <w:lang w:eastAsia="pt-BR"/>
        </w:rPr>
        <w:t xml:space="preserve"> Esta Portaria redefine as diretrizes da Política Nacional de Atenção Integral à Saúde de Adolescentes em Conflito com a Lei em Regime de Internação e Internação Provisória (PNAISARI), incluindo-se o cumprimento de medida socioeducativa em meio aberto e fechado; e estabelece novos critérios e fluxos para adesão e operacionalização da atenção integral à saúde de adolescentes em situação de privação de liberdade, em unidades de internação, de internação provisória e de semiliberdade.</w:t>
      </w:r>
      <w:r w:rsidR="0033145B">
        <w:rPr>
          <w:rFonts w:ascii="Book Antiqua" w:eastAsia="Times New Roman" w:hAnsi="Book Antiqua" w:cs="Arial"/>
          <w:color w:val="000000"/>
          <w:sz w:val="19"/>
          <w:szCs w:val="19"/>
          <w:lang w:eastAsia="pt-BR"/>
        </w:rPr>
        <w:t xml:space="preserve"> </w:t>
      </w:r>
      <w:r w:rsidR="0033145B">
        <w:rPr>
          <w:rFonts w:ascii="Book Antiqua" w:eastAsia="Times New Roman" w:hAnsi="Book Antiqua" w:cs="Times New Roman"/>
          <w:b/>
          <w:bCs/>
          <w:color w:val="FF0000"/>
          <w:sz w:val="19"/>
          <w:szCs w:val="19"/>
          <w:u w:val="single"/>
          <w:lang w:eastAsia="pt-BR"/>
        </w:rPr>
        <w:t>(DPERJ-2021)</w:t>
      </w:r>
    </w:p>
    <w:p w14:paraId="041DFB2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b/>
          <w:bCs/>
          <w:color w:val="000000"/>
          <w:sz w:val="19"/>
          <w:szCs w:val="19"/>
          <w:highlight w:val="magenta"/>
          <w:lang w:eastAsia="pt-BR"/>
        </w:rPr>
        <w:t>Art. 2º</w:t>
      </w:r>
      <w:r w:rsidRPr="0033145B">
        <w:rPr>
          <w:rFonts w:ascii="Book Antiqua" w:eastAsia="Times New Roman" w:hAnsi="Book Antiqua" w:cs="Arial"/>
          <w:b/>
          <w:bCs/>
          <w:color w:val="000000"/>
          <w:sz w:val="19"/>
          <w:szCs w:val="19"/>
          <w:lang w:eastAsia="pt-BR"/>
        </w:rPr>
        <w:t xml:space="preserve"> </w:t>
      </w:r>
      <w:r w:rsidRPr="0033145B">
        <w:rPr>
          <w:rFonts w:ascii="Book Antiqua" w:eastAsia="Times New Roman" w:hAnsi="Book Antiqua" w:cs="Arial"/>
          <w:color w:val="000000"/>
          <w:sz w:val="19"/>
          <w:szCs w:val="19"/>
          <w:lang w:eastAsia="pt-BR"/>
        </w:rPr>
        <w:t>Para fins do disposto nesta Portaria, consideram-se as seguintes definições:</w:t>
      </w:r>
    </w:p>
    <w:p w14:paraId="0D38595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adolescente em conflito com a lei: aquele que cometeu algum ato infracional e que cumpre medida socioeducativa em meio aberto ou fechado, em situação de privação de liberdade, conforme definido na Lei nº 8.069, de 13 de julho de 1990 (Estatuto da Criança e do Adolescente);</w:t>
      </w:r>
    </w:p>
    <w:p w14:paraId="45C7259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II - medida socioeducativa em meio aberto: aquela cumprida na forma de prestação de serviço à comunidade e de liberdade assistida, conforme definido no Estatuto da Criança e do Adolescente;</w:t>
      </w:r>
    </w:p>
    <w:p w14:paraId="03FA997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privação de liberdade: cumprimento de medida socioeducativa de internação, de internação provisória e de semiliberdade, conforme definido no Estatuto da Criança e do Adolescente;</w:t>
      </w:r>
    </w:p>
    <w:p w14:paraId="3FDDD16E" w14:textId="3CFAD26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33145B">
        <w:rPr>
          <w:rFonts w:ascii="Book Antiqua" w:eastAsia="Times New Roman" w:hAnsi="Book Antiqua" w:cs="Arial"/>
          <w:color w:val="000000"/>
          <w:sz w:val="19"/>
          <w:szCs w:val="19"/>
          <w:lang w:eastAsia="pt-BR"/>
        </w:rPr>
        <w:t xml:space="preserve">IV - </w:t>
      </w:r>
      <w:r w:rsidRPr="0033145B">
        <w:rPr>
          <w:rFonts w:ascii="Book Antiqua" w:eastAsia="Times New Roman" w:hAnsi="Book Antiqua" w:cs="Arial"/>
          <w:b/>
          <w:bCs/>
          <w:caps/>
          <w:color w:val="000000"/>
          <w:sz w:val="19"/>
          <w:szCs w:val="19"/>
          <w:shd w:val="clear" w:color="auto" w:fill="F7CAAC" w:themeFill="accent2" w:themeFillTint="66"/>
          <w:lang w:eastAsia="pt-BR"/>
        </w:rPr>
        <w:t>Plano Operativo</w:t>
      </w:r>
      <w:r w:rsidRPr="0033145B">
        <w:rPr>
          <w:rFonts w:ascii="Book Antiqua" w:eastAsia="Times New Roman" w:hAnsi="Book Antiqua" w:cs="Arial"/>
          <w:color w:val="000000"/>
          <w:sz w:val="19"/>
          <w:szCs w:val="19"/>
          <w:lang w:eastAsia="pt-BR"/>
        </w:rPr>
        <w:t>: documento que tem por objetivo estabelecer diretrizes para a implantação e implementação de ações de saúde que incorporem os componentes da Atenção Básica, Média e Alta Complexidade com vistas a promover, proteger e recuperar a saúde da população adolescente em regime de internação, internação provisória e semiliberdade, descrevendo-se as atribuições e compromissos entre as esferas estadual e municipal de saúde e da gestão do sistema socioeducativo estadual na provisão dos cuidados em saúde dos adolescentes; e</w:t>
      </w:r>
      <w:r w:rsidR="0033145B">
        <w:rPr>
          <w:rFonts w:ascii="Book Antiqua" w:eastAsia="Times New Roman" w:hAnsi="Book Antiqua" w:cs="Arial"/>
          <w:color w:val="000000"/>
          <w:sz w:val="19"/>
          <w:szCs w:val="19"/>
          <w:lang w:eastAsia="pt-BR"/>
        </w:rPr>
        <w:t xml:space="preserve"> </w:t>
      </w:r>
      <w:r w:rsidR="0033145B" w:rsidRPr="0033145B">
        <w:rPr>
          <w:rFonts w:ascii="Book Antiqua" w:eastAsia="Times New Roman" w:hAnsi="Book Antiqua" w:cs="Arial"/>
          <w:b/>
          <w:bCs/>
          <w:color w:val="FF0000"/>
          <w:sz w:val="19"/>
          <w:szCs w:val="19"/>
          <w:u w:val="single"/>
          <w:lang w:eastAsia="pt-BR"/>
        </w:rPr>
        <w:t>(DPERJ-2021)</w:t>
      </w:r>
    </w:p>
    <w:p w14:paraId="3BB83E1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 - Plano de Ação Anual: documento elaborado anualmente que contém os compromissos firmados anualmente entre gestores da saúde, do socioeducativo e equipe de referência em saúde para atenção aos adolescentes em regime de internação, internação provisória e semiliberdade.</w:t>
      </w:r>
    </w:p>
    <w:p w14:paraId="26326C4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3º A execução de medidas socioeducativas privativas de liberdade é de responsabilidade da Secretaria Estadual gestora do Sistema Socioeducativo, cabendo às Secretarias Municipais de Assistência Social as medidas em meio aberto.</w:t>
      </w:r>
    </w:p>
    <w:p w14:paraId="777149B7"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CAPÍTULO II</w:t>
      </w:r>
      <w:r w:rsidRPr="0033145B">
        <w:rPr>
          <w:rFonts w:ascii="Book Antiqua" w:eastAsia="Times New Roman" w:hAnsi="Book Antiqua" w:cs="Arial"/>
          <w:color w:val="000000"/>
          <w:sz w:val="19"/>
          <w:szCs w:val="19"/>
          <w:lang w:eastAsia="pt-BR"/>
        </w:rPr>
        <w:br/>
        <w:t>DA ATENÇÃO INTEGRAL À SAÚDE DE ADOLESCENTES EM CONFLITO COM A LEI</w:t>
      </w:r>
    </w:p>
    <w:p w14:paraId="5025F4D4" w14:textId="6E1149D4"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33145B">
        <w:rPr>
          <w:rFonts w:ascii="Book Antiqua" w:eastAsia="Times New Roman" w:hAnsi="Book Antiqua" w:cs="Arial"/>
          <w:b/>
          <w:bCs/>
          <w:color w:val="000000"/>
          <w:sz w:val="19"/>
          <w:szCs w:val="19"/>
          <w:highlight w:val="magenta"/>
          <w:lang w:eastAsia="pt-BR"/>
        </w:rPr>
        <w:t>Art. 4º</w:t>
      </w:r>
      <w:r w:rsidRPr="0033145B">
        <w:rPr>
          <w:rFonts w:ascii="Book Antiqua" w:eastAsia="Times New Roman" w:hAnsi="Book Antiqua" w:cs="Arial"/>
          <w:color w:val="000000"/>
          <w:sz w:val="19"/>
          <w:szCs w:val="19"/>
          <w:lang w:eastAsia="pt-BR"/>
        </w:rPr>
        <w:t xml:space="preserve"> Ao adolescente em conflito com a lei, em cumprimento de medida socioeducativa em meio aberto e fechado, será garantida a atenção à saúde no Sistema Único de Saúde (SUS), no que diz respeito à promoção, prevenção, assistência e recuperação da saúde, </w:t>
      </w:r>
      <w:r w:rsidRPr="0033145B">
        <w:rPr>
          <w:rFonts w:ascii="Book Antiqua" w:eastAsia="Times New Roman" w:hAnsi="Book Antiqua" w:cs="Arial"/>
          <w:b/>
          <w:bCs/>
          <w:color w:val="000000"/>
          <w:sz w:val="19"/>
          <w:szCs w:val="19"/>
          <w:highlight w:val="cyan"/>
          <w:lang w:eastAsia="pt-BR"/>
        </w:rPr>
        <w:t>nas três esferas de gestão</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FF0000"/>
          <w:sz w:val="19"/>
          <w:szCs w:val="19"/>
          <w:u w:val="single"/>
          <w:lang w:eastAsia="pt-BR"/>
        </w:rPr>
        <w:t>(TJSC-2017)</w:t>
      </w:r>
    </w:p>
    <w:p w14:paraId="5B2E52E3"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Seção I</w:t>
      </w:r>
      <w:r w:rsidRPr="0033145B">
        <w:rPr>
          <w:rFonts w:ascii="Book Antiqua" w:eastAsia="Times New Roman" w:hAnsi="Book Antiqua" w:cs="Arial"/>
          <w:color w:val="000000"/>
          <w:sz w:val="19"/>
          <w:szCs w:val="19"/>
          <w:lang w:eastAsia="pt-BR"/>
        </w:rPr>
        <w:br/>
        <w:t>Dos Princípios</w:t>
      </w:r>
    </w:p>
    <w:p w14:paraId="1B2EC18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5º A organização das ações de atenção integral à saúde de adolescentes em conflito com a lei será realizada de acordo com os seguintes princípios:</w:t>
      </w:r>
    </w:p>
    <w:p w14:paraId="6BC43E6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respeito aos direitos humanos e à integridade física e mental dos adolescentes;</w:t>
      </w:r>
    </w:p>
    <w:p w14:paraId="629BAD4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 enfrentamento ao estigma e preconceito;</w:t>
      </w:r>
    </w:p>
    <w:p w14:paraId="0953099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respeito à condição peculiar dos adolescentes como pessoas em desenvolvimento;</w:t>
      </w:r>
    </w:p>
    <w:p w14:paraId="51A45B7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 garantia do acesso universal e integralidade na Rede de Atenção à Saúde, observando-se o princípio da incompletude institucional;</w:t>
      </w:r>
    </w:p>
    <w:p w14:paraId="2955F47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 - reafirmação da responsabilidade sanitária da gestão de saúde nos Municípios que possuem unidades socioeducativas em seu território;</w:t>
      </w:r>
    </w:p>
    <w:p w14:paraId="61906C5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 - atenção humanizada e de qualidade a esta população;</w:t>
      </w:r>
    </w:p>
    <w:p w14:paraId="7C985FA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 - organização da atenção à saúde, com definição das ações e serviços de saúde a partir das necessidades da população adolescente em conflito com a lei; e</w:t>
      </w:r>
    </w:p>
    <w:p w14:paraId="7C99752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VIII - permeabilidade das instituições socioeducativas à comunidade e ao controle social.</w:t>
      </w:r>
    </w:p>
    <w:p w14:paraId="26307F70"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Seção II</w:t>
      </w:r>
      <w:r w:rsidRPr="0033145B">
        <w:rPr>
          <w:rFonts w:ascii="Book Antiqua" w:eastAsia="Times New Roman" w:hAnsi="Book Antiqua" w:cs="Arial"/>
          <w:color w:val="000000"/>
          <w:sz w:val="19"/>
          <w:szCs w:val="19"/>
          <w:lang w:eastAsia="pt-BR"/>
        </w:rPr>
        <w:br/>
        <w:t>Dos Objetivos</w:t>
      </w:r>
    </w:p>
    <w:p w14:paraId="2D95A19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Art. 6º A PNAISARI tem como objetivo geral garantir e ampliar o acesso aos cuidados em saúde dos adolescentes em conflito com a lei em cumprimento de medidas socioeducativas em meio aberto, fechado e semiliberdade.</w:t>
      </w:r>
    </w:p>
    <w:p w14:paraId="6063DBC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b/>
          <w:bCs/>
          <w:color w:val="000000"/>
          <w:sz w:val="19"/>
          <w:szCs w:val="19"/>
          <w:highlight w:val="magenta"/>
          <w:lang w:eastAsia="pt-BR"/>
        </w:rPr>
        <w:t>Art. 7º</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aps/>
          <w:color w:val="000000"/>
          <w:sz w:val="19"/>
          <w:szCs w:val="19"/>
          <w:highlight w:val="green"/>
          <w:lang w:eastAsia="pt-BR"/>
        </w:rPr>
        <w:t>São</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aps/>
          <w:color w:val="000000"/>
          <w:sz w:val="19"/>
          <w:szCs w:val="19"/>
          <w:shd w:val="clear" w:color="auto" w:fill="F7CAAC" w:themeFill="accent2" w:themeFillTint="66"/>
          <w:lang w:eastAsia="pt-BR"/>
        </w:rPr>
        <w:t>objetivos específicos</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yellow"/>
          <w:lang w:eastAsia="pt-BR"/>
        </w:rPr>
        <w:t>da PNAISARI</w:t>
      </w:r>
      <w:r w:rsidRPr="0033145B">
        <w:rPr>
          <w:rFonts w:ascii="Book Antiqua" w:eastAsia="Times New Roman" w:hAnsi="Book Antiqua" w:cs="Arial"/>
          <w:color w:val="000000"/>
          <w:sz w:val="19"/>
          <w:szCs w:val="19"/>
          <w:lang w:eastAsia="pt-BR"/>
        </w:rPr>
        <w:t>:</w:t>
      </w:r>
    </w:p>
    <w:p w14:paraId="71F3C35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ampliar ações e serviços de saúde para adolescentes em conflito com a lei, em especial para os privados de liberdade;</w:t>
      </w:r>
    </w:p>
    <w:p w14:paraId="2F9A2DE9" w14:textId="22623694"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II - </w:t>
      </w:r>
      <w:r w:rsidRPr="0033145B">
        <w:rPr>
          <w:rFonts w:ascii="Book Antiqua" w:eastAsia="Times New Roman" w:hAnsi="Book Antiqua" w:cs="Arial"/>
          <w:b/>
          <w:bCs/>
          <w:caps/>
          <w:color w:val="000000"/>
          <w:sz w:val="19"/>
          <w:szCs w:val="19"/>
          <w:highlight w:val="green"/>
          <w:lang w:eastAsia="pt-BR"/>
        </w:rPr>
        <w:t>estimular</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cyan"/>
          <w:lang w:eastAsia="pt-BR"/>
        </w:rPr>
        <w:t>ações intersetoriais</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yellow"/>
          <w:lang w:eastAsia="pt-BR"/>
        </w:rPr>
        <w:t>para a responsabilização conjunta das equipes de saúde</w:t>
      </w:r>
      <w:r w:rsidRPr="0033145B">
        <w:rPr>
          <w:rFonts w:ascii="Book Antiqua" w:eastAsia="Times New Roman" w:hAnsi="Book Antiqua" w:cs="Arial"/>
          <w:color w:val="000000"/>
          <w:sz w:val="19"/>
          <w:szCs w:val="19"/>
          <w:lang w:eastAsia="pt-BR"/>
        </w:rPr>
        <w:t xml:space="preserve"> e </w:t>
      </w:r>
      <w:r w:rsidRPr="0033145B">
        <w:rPr>
          <w:rFonts w:ascii="Book Antiqua" w:eastAsia="Times New Roman" w:hAnsi="Book Antiqua" w:cs="Arial"/>
          <w:b/>
          <w:bCs/>
          <w:color w:val="000000"/>
          <w:sz w:val="19"/>
          <w:szCs w:val="19"/>
          <w:highlight w:val="yellow"/>
          <w:lang w:eastAsia="pt-BR"/>
        </w:rPr>
        <w:t>das equipes socioeducativas</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cyan"/>
          <w:lang w:eastAsia="pt-BR"/>
        </w:rPr>
        <w:t>para o cuidado</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yellow"/>
          <w:lang w:eastAsia="pt-BR"/>
        </w:rPr>
        <w:t>dos adolescentes em conflito com a lei</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FF0000"/>
          <w:sz w:val="19"/>
          <w:szCs w:val="19"/>
          <w:u w:val="single"/>
          <w:lang w:eastAsia="pt-BR"/>
        </w:rPr>
        <w:t>(TJSC-2017)</w:t>
      </w:r>
    </w:p>
    <w:p w14:paraId="48E011CB" w14:textId="402AFD3F"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III - </w:t>
      </w:r>
      <w:r w:rsidRPr="0033145B">
        <w:rPr>
          <w:rFonts w:ascii="Book Antiqua" w:eastAsia="Times New Roman" w:hAnsi="Book Antiqua" w:cs="Arial"/>
          <w:b/>
          <w:bCs/>
          <w:caps/>
          <w:color w:val="000000"/>
          <w:sz w:val="19"/>
          <w:szCs w:val="19"/>
          <w:highlight w:val="green"/>
          <w:lang w:eastAsia="pt-BR"/>
        </w:rPr>
        <w:t>incentivar</w:t>
      </w:r>
      <w:r w:rsidRPr="0033145B">
        <w:rPr>
          <w:rFonts w:ascii="Book Antiqua" w:eastAsia="Times New Roman" w:hAnsi="Book Antiqua" w:cs="Arial"/>
          <w:color w:val="000000"/>
          <w:sz w:val="19"/>
          <w:szCs w:val="19"/>
          <w:lang w:eastAsia="pt-BR"/>
        </w:rPr>
        <w:t xml:space="preserve"> a </w:t>
      </w:r>
      <w:r w:rsidRPr="0033145B">
        <w:rPr>
          <w:rFonts w:ascii="Book Antiqua" w:eastAsia="Times New Roman" w:hAnsi="Book Antiqua" w:cs="Arial"/>
          <w:b/>
          <w:bCs/>
          <w:color w:val="000000"/>
          <w:sz w:val="19"/>
          <w:szCs w:val="19"/>
          <w:highlight w:val="cyan"/>
          <w:lang w:eastAsia="pt-BR"/>
        </w:rPr>
        <w:t>articulação dos Projetos Terapêuticos Singulares</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aps/>
          <w:color w:val="000000"/>
          <w:sz w:val="19"/>
          <w:szCs w:val="19"/>
          <w:highlight w:val="green"/>
          <w:lang w:eastAsia="pt-BR"/>
        </w:rPr>
        <w:t>elaborados</w:t>
      </w:r>
      <w:r w:rsidRPr="0033145B">
        <w:rPr>
          <w:rFonts w:ascii="Book Antiqua" w:eastAsia="Times New Roman" w:hAnsi="Book Antiqua" w:cs="Arial"/>
          <w:b/>
          <w:bCs/>
          <w:color w:val="000000"/>
          <w:sz w:val="19"/>
          <w:szCs w:val="19"/>
          <w:lang w:eastAsia="pt-BR"/>
        </w:rPr>
        <w:t xml:space="preserve"> </w:t>
      </w:r>
      <w:r w:rsidRPr="0033145B">
        <w:rPr>
          <w:rFonts w:ascii="Book Antiqua" w:eastAsia="Times New Roman" w:hAnsi="Book Antiqua" w:cs="Arial"/>
          <w:b/>
          <w:bCs/>
          <w:color w:val="000000"/>
          <w:sz w:val="19"/>
          <w:szCs w:val="19"/>
          <w:highlight w:val="yellow"/>
          <w:lang w:eastAsia="pt-BR"/>
        </w:rPr>
        <w:t>pelas equipes de saúde aos Planos Individuais de Atendimento</w:t>
      </w:r>
      <w:r w:rsidRPr="0033145B">
        <w:rPr>
          <w:rFonts w:ascii="Book Antiqua" w:eastAsia="Times New Roman" w:hAnsi="Book Antiqua" w:cs="Arial"/>
          <w:color w:val="000000"/>
          <w:sz w:val="19"/>
          <w:szCs w:val="19"/>
          <w:lang w:eastAsia="pt-BR"/>
        </w:rPr>
        <w:t xml:space="preserve"> (PIA), </w:t>
      </w:r>
      <w:r w:rsidRPr="0033145B">
        <w:rPr>
          <w:rFonts w:ascii="Book Antiqua" w:eastAsia="Times New Roman" w:hAnsi="Book Antiqua" w:cs="Arial"/>
          <w:b/>
          <w:bCs/>
          <w:caps/>
          <w:color w:val="000000"/>
          <w:sz w:val="19"/>
          <w:szCs w:val="19"/>
          <w:highlight w:val="green"/>
          <w:lang w:eastAsia="pt-BR"/>
        </w:rPr>
        <w:t>previstos</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cyan"/>
          <w:lang w:eastAsia="pt-BR"/>
        </w:rPr>
        <w:t>no Sistema Nacional de Atendimento Socioeducativo</w:t>
      </w:r>
      <w:r w:rsidRPr="0033145B">
        <w:rPr>
          <w:rFonts w:ascii="Book Antiqua" w:eastAsia="Times New Roman" w:hAnsi="Book Antiqua" w:cs="Arial"/>
          <w:color w:val="000000"/>
          <w:sz w:val="19"/>
          <w:szCs w:val="19"/>
          <w:lang w:eastAsia="pt-BR"/>
        </w:rPr>
        <w:t xml:space="preserve"> (</w:t>
      </w:r>
      <w:proofErr w:type="spellStart"/>
      <w:r w:rsidRPr="0033145B">
        <w:rPr>
          <w:rFonts w:ascii="Book Antiqua" w:eastAsia="Times New Roman" w:hAnsi="Book Antiqua" w:cs="Arial"/>
          <w:color w:val="000000"/>
          <w:sz w:val="19"/>
          <w:szCs w:val="19"/>
          <w:lang w:eastAsia="pt-BR"/>
        </w:rPr>
        <w:t>Sinase</w:t>
      </w:r>
      <w:proofErr w:type="spellEnd"/>
      <w:r w:rsidRPr="0033145B">
        <w:rPr>
          <w:rFonts w:ascii="Book Antiqua" w:eastAsia="Times New Roman" w:hAnsi="Book Antiqua" w:cs="Arial"/>
          <w:color w:val="000000"/>
          <w:sz w:val="19"/>
          <w:szCs w:val="19"/>
          <w:lang w:eastAsia="pt-BR"/>
        </w:rPr>
        <w:t>), de modo a atender as complexas necessidades desta população;</w:t>
      </w:r>
    </w:p>
    <w:tbl>
      <w:tblPr>
        <w:tblStyle w:val="Tabelacomgrade"/>
        <w:tblW w:w="0" w:type="auto"/>
        <w:shd w:val="clear" w:color="auto" w:fill="CCFFFF"/>
        <w:tblLook w:val="04A0" w:firstRow="1" w:lastRow="0" w:firstColumn="1" w:lastColumn="0" w:noHBand="0" w:noVBand="1"/>
      </w:tblPr>
      <w:tblGrid>
        <w:gridCol w:w="8494"/>
      </w:tblGrid>
      <w:tr w:rsidR="00B74E7F" w:rsidRPr="0033145B" w14:paraId="0A04BF74" w14:textId="77777777" w:rsidTr="00B74E7F">
        <w:tc>
          <w:tcPr>
            <w:tcW w:w="8494" w:type="dxa"/>
            <w:shd w:val="clear" w:color="auto" w:fill="CCFFFF"/>
          </w:tcPr>
          <w:p w14:paraId="4ECC2DC5" w14:textId="1F3DCF45" w:rsidR="00B74E7F" w:rsidRPr="0033145B" w:rsidRDefault="00B74E7F" w:rsidP="00B74E7F">
            <w:pPr>
              <w:spacing w:before="100" w:beforeAutospacing="1" w:after="100" w:afterAutospacing="1"/>
              <w:jc w:val="both"/>
              <w:rPr>
                <w:rFonts w:ascii="Book Antiqua" w:eastAsia="Times New Roman" w:hAnsi="Book Antiqua" w:cs="Arial"/>
                <w:b/>
                <w:bCs/>
                <w:color w:val="000000"/>
                <w:sz w:val="19"/>
                <w:szCs w:val="19"/>
                <w:lang w:eastAsia="pt-BR"/>
              </w:rPr>
            </w:pPr>
            <w:r w:rsidRPr="0033145B">
              <w:rPr>
                <w:rFonts w:ascii="Book Antiqua" w:eastAsia="Times New Roman" w:hAnsi="Book Antiqua" w:cs="Arial"/>
                <w:b/>
                <w:bCs/>
                <w:color w:val="000000"/>
                <w:sz w:val="19"/>
                <w:szCs w:val="19"/>
                <w:lang w:eastAsia="pt-BR"/>
              </w:rPr>
              <w:t>(</w:t>
            </w:r>
            <w:r w:rsidRPr="0033145B">
              <w:rPr>
                <w:rFonts w:ascii="Book Antiqua" w:eastAsia="Times New Roman" w:hAnsi="Book Antiqua" w:cs="Arial"/>
                <w:b/>
                <w:bCs/>
                <w:color w:val="000000"/>
                <w:sz w:val="19"/>
                <w:szCs w:val="19"/>
                <w:highlight w:val="yellow"/>
                <w:lang w:eastAsia="pt-BR"/>
              </w:rPr>
              <w:t>TJSC-2017-FCC</w:t>
            </w:r>
            <w:r w:rsidRPr="0033145B">
              <w:rPr>
                <w:rFonts w:ascii="Book Antiqua" w:eastAsia="Times New Roman" w:hAnsi="Book Antiqua" w:cs="Arial"/>
                <w:b/>
                <w:bCs/>
                <w:color w:val="000000"/>
                <w:sz w:val="19"/>
                <w:szCs w:val="19"/>
                <w:lang w:eastAsia="pt-BR"/>
              </w:rPr>
              <w:t>)</w:t>
            </w:r>
            <w:r w:rsidRPr="0033145B">
              <w:rPr>
                <w:rFonts w:ascii="Book Antiqua" w:eastAsia="Times New Roman" w:hAnsi="Book Antiqua" w:cs="Arial"/>
                <w:color w:val="000000"/>
                <w:sz w:val="19"/>
                <w:szCs w:val="19"/>
                <w:lang w:eastAsia="pt-BR"/>
              </w:rPr>
              <w:t>:</w:t>
            </w:r>
            <w:r w:rsidRPr="0033145B">
              <w:rPr>
                <w:sz w:val="19"/>
                <w:szCs w:val="19"/>
              </w:rPr>
              <w:t xml:space="preserve"> </w:t>
            </w:r>
            <w:r w:rsidRPr="0033145B">
              <w:rPr>
                <w:rFonts w:ascii="Book Antiqua" w:eastAsia="Times New Roman" w:hAnsi="Book Antiqua" w:cs="Arial"/>
                <w:color w:val="000000"/>
                <w:sz w:val="19"/>
                <w:szCs w:val="19"/>
                <w:lang w:eastAsia="pt-BR"/>
              </w:rPr>
              <w:t xml:space="preserve">Segundo a Portaria n° 1.082/2014, do Ministério da Saúde, a qual dispõe sobre as diretrizes da Política Nacional de Atenção Integral à Saúde de Adolescentes em Conflito com a Lei, é correto afirmar que os projetos terapêuticos singulares elaborados pela área de saúde devem se articular com os planos individuais de atendimento previstos no SINASE − Sistema Nacional Socioeducativo. </w:t>
            </w:r>
            <w:r w:rsidRPr="0033145B">
              <w:rPr>
                <w:rFonts w:ascii="Book Antiqua" w:eastAsia="Times New Roman" w:hAnsi="Book Antiqua" w:cs="Arial"/>
                <w:b/>
                <w:bCs/>
                <w:color w:val="000000"/>
                <w:sz w:val="19"/>
                <w:szCs w:val="19"/>
                <w:lang w:eastAsia="pt-BR"/>
              </w:rPr>
              <w:t>BL: art. 7º, III, Portaria 1082/14.</w:t>
            </w:r>
          </w:p>
        </w:tc>
      </w:tr>
    </w:tbl>
    <w:p w14:paraId="571783E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 promover o acesso aos cuidados em saúde a essa população, sem quaisquer tipos de constrangimentos no acesso ao tratamento;</w:t>
      </w:r>
    </w:p>
    <w:p w14:paraId="3C2BB84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 - garantir ações da atenção psicossocial para adolescentes em conflito com a lei;</w:t>
      </w:r>
    </w:p>
    <w:p w14:paraId="7449CF63" w14:textId="5F5ECA8A"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VI - </w:t>
      </w:r>
      <w:r w:rsidRPr="0033145B">
        <w:rPr>
          <w:rFonts w:ascii="Book Antiqua" w:eastAsia="Times New Roman" w:hAnsi="Book Antiqua" w:cs="Arial"/>
          <w:b/>
          <w:bCs/>
          <w:caps/>
          <w:color w:val="000000"/>
          <w:sz w:val="19"/>
          <w:szCs w:val="19"/>
          <w:highlight w:val="green"/>
          <w:lang w:eastAsia="pt-BR"/>
        </w:rPr>
        <w:t>priorizar</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cyan"/>
          <w:lang w:eastAsia="pt-BR"/>
        </w:rPr>
        <w:t>ações de promoção da saúde</w:t>
      </w:r>
      <w:r w:rsidRPr="0033145B">
        <w:rPr>
          <w:rFonts w:ascii="Book Antiqua" w:eastAsia="Times New Roman" w:hAnsi="Book Antiqua" w:cs="Arial"/>
          <w:color w:val="000000"/>
          <w:sz w:val="19"/>
          <w:szCs w:val="19"/>
          <w:lang w:eastAsia="pt-BR"/>
        </w:rPr>
        <w:t xml:space="preserve"> e </w:t>
      </w:r>
      <w:r w:rsidRPr="0033145B">
        <w:rPr>
          <w:rFonts w:ascii="Book Antiqua" w:eastAsia="Times New Roman" w:hAnsi="Book Antiqua" w:cs="Arial"/>
          <w:b/>
          <w:bCs/>
          <w:color w:val="000000"/>
          <w:sz w:val="19"/>
          <w:szCs w:val="19"/>
          <w:highlight w:val="cyan"/>
          <w:lang w:eastAsia="pt-BR"/>
        </w:rPr>
        <w:t>redução de danos</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yellow"/>
          <w:lang w:eastAsia="pt-BR"/>
        </w:rPr>
        <w:t>provocados pelo consumo de álcool</w:t>
      </w:r>
      <w:r w:rsidRPr="0033145B">
        <w:rPr>
          <w:rFonts w:ascii="Book Antiqua" w:eastAsia="Times New Roman" w:hAnsi="Book Antiqua" w:cs="Arial"/>
          <w:b/>
          <w:bCs/>
          <w:color w:val="000000"/>
          <w:sz w:val="19"/>
          <w:szCs w:val="19"/>
          <w:lang w:eastAsia="pt-BR"/>
        </w:rPr>
        <w:t xml:space="preserve"> </w:t>
      </w:r>
      <w:r w:rsidRPr="0033145B">
        <w:rPr>
          <w:rFonts w:ascii="Book Antiqua" w:eastAsia="Times New Roman" w:hAnsi="Book Antiqua" w:cs="Arial"/>
          <w:color w:val="000000"/>
          <w:sz w:val="19"/>
          <w:szCs w:val="19"/>
          <w:lang w:eastAsia="pt-BR"/>
        </w:rPr>
        <w:t xml:space="preserve">e </w:t>
      </w:r>
      <w:r w:rsidRPr="0033145B">
        <w:rPr>
          <w:rFonts w:ascii="Book Antiqua" w:eastAsia="Times New Roman" w:hAnsi="Book Antiqua" w:cs="Arial"/>
          <w:b/>
          <w:bCs/>
          <w:color w:val="000000"/>
          <w:sz w:val="19"/>
          <w:szCs w:val="19"/>
          <w:highlight w:val="yellow"/>
          <w:lang w:eastAsia="pt-BR"/>
        </w:rPr>
        <w:t>outras drogas</w:t>
      </w:r>
      <w:r w:rsidRPr="0033145B">
        <w:rPr>
          <w:rFonts w:ascii="Book Antiqua" w:eastAsia="Times New Roman" w:hAnsi="Book Antiqua" w:cs="Arial"/>
          <w:color w:val="000000"/>
          <w:sz w:val="19"/>
          <w:szCs w:val="19"/>
          <w:lang w:eastAsia="pt-BR"/>
        </w:rPr>
        <w:t xml:space="preserve">; e </w:t>
      </w:r>
      <w:r w:rsidRPr="0033145B">
        <w:rPr>
          <w:rFonts w:ascii="Book Antiqua" w:eastAsia="Times New Roman" w:hAnsi="Book Antiqua" w:cs="Arial"/>
          <w:b/>
          <w:bCs/>
          <w:color w:val="FF0000"/>
          <w:sz w:val="19"/>
          <w:szCs w:val="19"/>
          <w:u w:val="single"/>
          <w:lang w:eastAsia="pt-BR"/>
        </w:rPr>
        <w:t>(TJSC-2017)</w:t>
      </w:r>
    </w:p>
    <w:p w14:paraId="4EA6075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 - promover a reinserção social dos adolescentes e, em especial, dos adolescentes com transtornos mentais e com problemas decorrentes do uso de álcool e outras drogas.</w:t>
      </w:r>
    </w:p>
    <w:p w14:paraId="52758B79"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Seção III</w:t>
      </w:r>
      <w:r w:rsidRPr="0033145B">
        <w:rPr>
          <w:rFonts w:ascii="Book Antiqua" w:eastAsia="Times New Roman" w:hAnsi="Book Antiqua" w:cs="Arial"/>
          <w:color w:val="000000"/>
          <w:sz w:val="19"/>
          <w:szCs w:val="19"/>
          <w:lang w:eastAsia="pt-BR"/>
        </w:rPr>
        <w:br/>
        <w:t>Da Organização</w:t>
      </w:r>
    </w:p>
    <w:p w14:paraId="0274712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8º Na organização da atenção integral à saúde de adolescentes em conflito com a lei serão contemplados os seguintes eixos:</w:t>
      </w:r>
    </w:p>
    <w:p w14:paraId="4824E67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promoção da saúde e prevenção de agravos;</w:t>
      </w:r>
    </w:p>
    <w:p w14:paraId="4AAA372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II - ações de assistência e reabilitação da saúde; e </w:t>
      </w:r>
    </w:p>
    <w:p w14:paraId="7F12AE6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educação permanente.</w:t>
      </w:r>
    </w:p>
    <w:p w14:paraId="0ABA94F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9º Na organização da atenção integral à saúde de adolescentes em conflito com a lei serão contemplados:</w:t>
      </w:r>
    </w:p>
    <w:p w14:paraId="32F0B97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o acompanhamento do seu crescimento e desenvolvimento físico e psicossocial;</w:t>
      </w:r>
    </w:p>
    <w:p w14:paraId="5807005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 a saúde sexual e a saúde reprodutiva;</w:t>
      </w:r>
    </w:p>
    <w:p w14:paraId="1FA5C13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a saúde bucal;</w:t>
      </w:r>
    </w:p>
    <w:p w14:paraId="34F2DF4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 a saúde mental;</w:t>
      </w:r>
    </w:p>
    <w:p w14:paraId="646CA7B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V - a prevenção ao uso de álcool e outras drogas;</w:t>
      </w:r>
    </w:p>
    <w:p w14:paraId="376C150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 - a prevenção e controle de agravos;</w:t>
      </w:r>
    </w:p>
    <w:p w14:paraId="486F10F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 - a educação em saúde; e</w:t>
      </w:r>
    </w:p>
    <w:p w14:paraId="67EBD89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VIII - os direitos humanos, a promoção da cultura de paz e a prevenção de violências e assistência às vítimas.</w:t>
      </w:r>
    </w:p>
    <w:p w14:paraId="5DE1A79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b/>
          <w:bCs/>
          <w:color w:val="000000"/>
          <w:sz w:val="19"/>
          <w:szCs w:val="19"/>
          <w:highlight w:val="magenta"/>
          <w:lang w:eastAsia="pt-BR"/>
        </w:rPr>
        <w:t>Art. 10</w:t>
      </w:r>
      <w:r w:rsidRPr="0033145B">
        <w:rPr>
          <w:rFonts w:ascii="Book Antiqua" w:eastAsia="Times New Roman" w:hAnsi="Book Antiqua" w:cs="Arial"/>
          <w:color w:val="000000"/>
          <w:sz w:val="19"/>
          <w:szCs w:val="19"/>
          <w:lang w:eastAsia="pt-BR"/>
        </w:rPr>
        <w:t xml:space="preserve">. A </w:t>
      </w:r>
      <w:r w:rsidRPr="0033145B">
        <w:rPr>
          <w:rFonts w:ascii="Book Antiqua" w:eastAsia="Times New Roman" w:hAnsi="Book Antiqua" w:cs="Arial"/>
          <w:b/>
          <w:bCs/>
          <w:caps/>
          <w:color w:val="000000"/>
          <w:sz w:val="19"/>
          <w:szCs w:val="19"/>
          <w:shd w:val="clear" w:color="auto" w:fill="F7CAAC" w:themeFill="accent2" w:themeFillTint="66"/>
          <w:lang w:eastAsia="pt-BR"/>
        </w:rPr>
        <w:t>atenção integral à saúde</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yellow"/>
          <w:lang w:eastAsia="pt-BR"/>
        </w:rPr>
        <w:t>de adolescentes em conflito com a lei</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aps/>
          <w:color w:val="000000"/>
          <w:sz w:val="19"/>
          <w:szCs w:val="19"/>
          <w:highlight w:val="green"/>
          <w:lang w:eastAsia="pt-BR"/>
        </w:rPr>
        <w:t>será organizada</w:t>
      </w:r>
      <w:r w:rsidRPr="0033145B">
        <w:rPr>
          <w:rFonts w:ascii="Book Antiqua" w:eastAsia="Times New Roman" w:hAnsi="Book Antiqua" w:cs="Arial"/>
          <w:color w:val="000000"/>
          <w:sz w:val="19"/>
          <w:szCs w:val="19"/>
          <w:lang w:eastAsia="pt-BR"/>
        </w:rPr>
        <w:t xml:space="preserve"> e </w:t>
      </w:r>
      <w:r w:rsidRPr="0033145B">
        <w:rPr>
          <w:rFonts w:ascii="Book Antiqua" w:eastAsia="Times New Roman" w:hAnsi="Book Antiqua" w:cs="Arial"/>
          <w:b/>
          <w:bCs/>
          <w:caps/>
          <w:color w:val="000000"/>
          <w:sz w:val="19"/>
          <w:szCs w:val="19"/>
          <w:highlight w:val="green"/>
          <w:lang w:eastAsia="pt-BR"/>
        </w:rPr>
        <w:t>estruturada</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olor w:val="000000"/>
          <w:sz w:val="19"/>
          <w:szCs w:val="19"/>
          <w:highlight w:val="cyan"/>
          <w:lang w:eastAsia="pt-BR"/>
        </w:rPr>
        <w:t>na Rede de Atenção à Saúde</w:t>
      </w:r>
      <w:r w:rsidRPr="0033145B">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b/>
          <w:bCs/>
          <w:caps/>
          <w:color w:val="000000"/>
          <w:sz w:val="19"/>
          <w:szCs w:val="19"/>
          <w:highlight w:val="green"/>
          <w:lang w:eastAsia="pt-BR"/>
        </w:rPr>
        <w:t>garantindo-se</w:t>
      </w:r>
      <w:r w:rsidRPr="0033145B">
        <w:rPr>
          <w:rFonts w:ascii="Book Antiqua" w:eastAsia="Times New Roman" w:hAnsi="Book Antiqua" w:cs="Arial"/>
          <w:color w:val="000000"/>
          <w:sz w:val="19"/>
          <w:szCs w:val="19"/>
          <w:lang w:eastAsia="pt-BR"/>
        </w:rPr>
        <w:t>:</w:t>
      </w:r>
    </w:p>
    <w:p w14:paraId="34E67025" w14:textId="13E81188"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I - </w:t>
      </w:r>
      <w:r w:rsidRPr="0033145B">
        <w:rPr>
          <w:rFonts w:ascii="Book Antiqua" w:eastAsia="Times New Roman" w:hAnsi="Book Antiqua" w:cs="Arial"/>
          <w:b/>
          <w:bCs/>
          <w:caps/>
          <w:color w:val="000000"/>
          <w:sz w:val="19"/>
          <w:szCs w:val="19"/>
          <w:shd w:val="clear" w:color="auto" w:fill="F7CAAC" w:themeFill="accent2" w:themeFillTint="66"/>
          <w:lang w:eastAsia="pt-BR"/>
        </w:rPr>
        <w:t>na Atenção Básica</w:t>
      </w:r>
      <w:r w:rsidRPr="0033145B">
        <w:rPr>
          <w:rFonts w:ascii="Book Antiqua" w:eastAsia="Times New Roman" w:hAnsi="Book Antiqua" w:cs="Arial"/>
          <w:color w:val="000000"/>
          <w:sz w:val="19"/>
          <w:szCs w:val="19"/>
          <w:lang w:eastAsia="pt-BR"/>
        </w:rPr>
        <w:t>:</w:t>
      </w:r>
      <w:r w:rsidR="00AC4AEC" w:rsidRPr="0033145B">
        <w:rPr>
          <w:rFonts w:ascii="Book Antiqua" w:eastAsia="Times New Roman" w:hAnsi="Book Antiqua" w:cs="Arial"/>
          <w:color w:val="000000"/>
          <w:sz w:val="19"/>
          <w:szCs w:val="19"/>
          <w:lang w:eastAsia="pt-BR"/>
        </w:rPr>
        <w:t xml:space="preserve"> </w:t>
      </w:r>
      <w:r w:rsidR="00AC4AEC" w:rsidRPr="0033145B">
        <w:rPr>
          <w:rFonts w:ascii="Book Antiqua" w:eastAsia="Times New Roman" w:hAnsi="Book Antiqua" w:cs="Arial"/>
          <w:b/>
          <w:bCs/>
          <w:color w:val="FF0000"/>
          <w:sz w:val="19"/>
          <w:szCs w:val="19"/>
          <w:u w:val="single"/>
          <w:lang w:eastAsia="pt-BR"/>
        </w:rPr>
        <w:t>(TJSC-2017)</w:t>
      </w:r>
    </w:p>
    <w:p w14:paraId="076908B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 as principais ações relacionadas à promoção da saúde, ao acompanhamento do crescimento e desenvolvimento físico e psicossocial, à prevenção e ao controle de agravos;</w:t>
      </w:r>
    </w:p>
    <w:p w14:paraId="637F528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b) as ações relativas à saúde sexual e saúde reprodutiva, com foco na ampla garantia de direitos;</w:t>
      </w:r>
    </w:p>
    <w:p w14:paraId="268EECC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 o acompanhamento do pré-natal e a vinculação ao serviço para o parto das adolescentes gestantes, com atenção especial às peculiaridades advindas da situação de privação de liberdade, seguindo- se as diretrizes da Rede Cegonha;</w:t>
      </w:r>
    </w:p>
    <w:p w14:paraId="541E43F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d) o aleitamento materno junto às adolescentes, sobretudo às adolescentes puérperas e mães em situação de privação de liberdade, seguindo-se as diretrizes da Rede Cegonha;</w:t>
      </w:r>
    </w:p>
    <w:p w14:paraId="2821507D" w14:textId="60C443FC"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e) </w:t>
      </w:r>
      <w:r w:rsidRPr="0033145B">
        <w:rPr>
          <w:rFonts w:ascii="Book Antiqua" w:eastAsia="Times New Roman" w:hAnsi="Book Antiqua" w:cs="Arial"/>
          <w:b/>
          <w:bCs/>
          <w:color w:val="000000"/>
          <w:sz w:val="19"/>
          <w:szCs w:val="19"/>
          <w:highlight w:val="yellow"/>
          <w:lang w:eastAsia="pt-BR"/>
        </w:rPr>
        <w:t>os cuidados de saúde bucal</w:t>
      </w:r>
      <w:r w:rsidRPr="0033145B">
        <w:rPr>
          <w:rFonts w:ascii="Book Antiqua" w:eastAsia="Times New Roman" w:hAnsi="Book Antiqua" w:cs="Arial"/>
          <w:color w:val="000000"/>
          <w:sz w:val="19"/>
          <w:szCs w:val="19"/>
          <w:lang w:eastAsia="pt-BR"/>
        </w:rPr>
        <w:t>;</w:t>
      </w:r>
      <w:r w:rsidR="00AC4AEC" w:rsidRPr="0033145B">
        <w:rPr>
          <w:rFonts w:ascii="Book Antiqua" w:eastAsia="Times New Roman" w:hAnsi="Book Antiqua" w:cs="Arial"/>
          <w:color w:val="000000"/>
          <w:sz w:val="19"/>
          <w:szCs w:val="19"/>
          <w:lang w:eastAsia="pt-BR"/>
        </w:rPr>
        <w:t xml:space="preserve"> </w:t>
      </w:r>
      <w:r w:rsidR="00AC4AEC" w:rsidRPr="0033145B">
        <w:rPr>
          <w:rFonts w:ascii="Book Antiqua" w:eastAsia="Times New Roman" w:hAnsi="Book Antiqua" w:cs="Arial"/>
          <w:b/>
          <w:bCs/>
          <w:color w:val="FF0000"/>
          <w:sz w:val="19"/>
          <w:szCs w:val="19"/>
          <w:u w:val="single"/>
          <w:lang w:eastAsia="pt-BR"/>
        </w:rPr>
        <w:t>(TJSC-2017)</w:t>
      </w:r>
    </w:p>
    <w:p w14:paraId="2119A06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f) o desenvolvimento na Rede de Atenção Psicossocial (RAPS) de ações de promoção de saúde mental, prevenção e cuidado dos transtornos mentais, ações de redução de danos e cuidado para pessoas com necessidades decorrentes do uso de álcool e outras drogas, compartilhadas, sempre que necessário, com os demais pontos da rede;</w:t>
      </w:r>
    </w:p>
    <w:p w14:paraId="6F2A825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g) a articulação com a RAPS, inclusive por meio dos Núcleos de Apoio à Saúde da Família (NASF), para possibilitar avaliações psicossociais que visem à identificação de situações de sofrimento psíquico, transtornos mentais e problemas decorrentes do uso de álcool e outras drogas, para a realização de intervenções terapêuticas; e</w:t>
      </w:r>
    </w:p>
    <w:p w14:paraId="4CD6A93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h) o desenvolvimento dos trabalhos com os determinantes sociais de saúde relacionados às vulnerabilidades pessoais e sociais desta população, além de outras ações que efetivamente sejam promotoras da saúde integral dos adolescentes em conflito com a lei;</w:t>
      </w:r>
    </w:p>
    <w:p w14:paraId="622718A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 na Atenção Especializada e Atenção às Urgências e Emergências:</w:t>
      </w:r>
    </w:p>
    <w:p w14:paraId="10EA48F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 o acesso à assistência de média e alta complexidade na rede de atenção do SUS;</w:t>
      </w:r>
    </w:p>
    <w:p w14:paraId="06FDF45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b) a implementação de estratégias para promoção de cuidados adequadas nos componentes ambulatorial especializado e hospitalar, considerando-se as especificidades de abordagem desta clientela e os agravos decorrentes da institucionalização;</w:t>
      </w:r>
    </w:p>
    <w:p w14:paraId="5793617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 o acesso aos cuidados em saúde nos pontos de atenção da Rede de urgência e Emergência, de modo a preservar suas especificidades; e</w:t>
      </w:r>
    </w:p>
    <w:p w14:paraId="4C0E93A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d) acesso a Serviço Hospitalar de Referência, em caso de necessidade, para atenção aos adolescentes com sofrimento ou transtorno mental e com necessidades decorrentes do uso de álcool e outras drogas, com o oferecimento de suporte hospitalar por meio de internações de curta duração, respeitando-se as determinações da Lei nº 10.216, de 6 de abril de 2001, e os acolhendo em regime de curta permanência.</w:t>
      </w:r>
    </w:p>
    <w:p w14:paraId="664358D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 1º Todos os pontos da rede de atenção à saúde devem garantir aos adolescentes em conflito com a Lei, segundo suas necessidades, o acesso aos sistemas de apoio diagnóstico e terapêutico e de assistência farmacêutica.</w:t>
      </w:r>
    </w:p>
    <w:p w14:paraId="40B31A0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2º A Atenção Básica tem como responsabilidade sanitária o cuidado dos adolescentes em conflito com a Lei, em especial os que se encontram em situação de privação de liberdade, e devem realizar essa atenção com base territorial.</w:t>
      </w:r>
    </w:p>
    <w:p w14:paraId="31FA38B0"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CAPÍTULO III</w:t>
      </w:r>
      <w:r w:rsidRPr="0033145B">
        <w:rPr>
          <w:rFonts w:ascii="Book Antiqua" w:eastAsia="Times New Roman" w:hAnsi="Book Antiqua" w:cs="Arial"/>
          <w:color w:val="000000"/>
          <w:sz w:val="19"/>
          <w:szCs w:val="19"/>
          <w:lang w:eastAsia="pt-BR"/>
        </w:rPr>
        <w:br/>
        <w:t>DA ATENÇÃO À SAÚDE DE ADOLESCENTES EM SITUAÇÃO DE PRIVAÇÃO DE LIBERDADE</w:t>
      </w:r>
    </w:p>
    <w:p w14:paraId="675D8FF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11. A atenção integral à saúde dos adolescentes em situação de privação de liberdade, ou seja, em regime de internação, internação provisória e semiliberdade, em função de suas características peculiares de maior vulnerabilidade, seguirá critérios e normas específicos constantes deste Capítulo.</w:t>
      </w:r>
    </w:p>
    <w:p w14:paraId="0B69541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12. A atenção integral à saúde dos adolescentes em situação de privação de liberdade será realizada, prioritariamente, na Atenção Básica, responsável pela coordenação do cuidado dos adolescentes na Rede de Atenção à Saúde.</w:t>
      </w:r>
    </w:p>
    <w:p w14:paraId="62CAFFB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1º Todas as unidades socioeducativas terão como referência uma equipe de saúde da Atenção Básica.</w:t>
      </w:r>
    </w:p>
    <w:p w14:paraId="20C2079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2º Nas situações em que houver equipe de saúde dentro da unidade socioeducativa, a equipe de saúde da Atenção Básica de referência articular-se-á com a mesma para, de modo complementar, inserir os adolescentes na Rede de Atenção à Saúde.</w:t>
      </w:r>
    </w:p>
    <w:p w14:paraId="4EAB324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3º Toda equipe de saúde existente dentro de unidade socioeducativa será cadastrada no Sistema de Cadastro Nacional de Estabelecimentos de Saúde (SCNES).</w:t>
      </w:r>
    </w:p>
    <w:p w14:paraId="18B5C87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13. Para a atenção em Saúde Mental de adolescentes em situação de privação de liberdade, a equipe de saúde da Atenção Básica de referência para esta população poderá ser acrescida de:</w:t>
      </w:r>
    </w:p>
    <w:p w14:paraId="10D8F0F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- 1 (um) profissional de Saúde Mental, para atenção à unidade socioeducativa com população até 40 (quarenta) adolescentes;</w:t>
      </w:r>
    </w:p>
    <w:p w14:paraId="6DA1559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- 2 (dois) profissionais de Saúde Mental, para atenção à unidade ou complexo socioeducativo com população entre 41 (quarenta e um) e 90 (noventa) adolescentes; e</w:t>
      </w:r>
    </w:p>
    <w:p w14:paraId="615CCF6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- 3 (três) profissionais de Saúde Mental, para atenção à unidade ou complexo socioeducativo com população, excepcionalmente, acima de 90 (noventa) adolescentes.</w:t>
      </w:r>
    </w:p>
    <w:p w14:paraId="408E7F8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1º Para fins do disposto neste artigo, compreende-se como profissionais de Saúde Mental médico psiquiatra, psicólogo, assistente social, enfermeiro ou terapeuta ocupacional, sendo necessário que os três últimos tenham especialização em saúde mental.</w:t>
      </w:r>
    </w:p>
    <w:p w14:paraId="35BE822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2º As equipes de Atenção Básica, sempre que possível, serão multiprofissionais, compondo-se com pelo menos 1 (um) psicólogo ou médico psiquiatra em cada equipe de saúde da Atenção Básica.</w:t>
      </w:r>
    </w:p>
    <w:p w14:paraId="6895046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3º Os profissionais de Saúde Mental que compuserem as equipes de saúde da Atenção Básica responsáveis pelas ações de saúde dos adolescentes em situação de privação de liberdade deverão ser cadastrados no SCNES da equipe de saúde da Atenção Básica de referência, com possibilidade de serem vinculados ao NASF.</w:t>
      </w:r>
    </w:p>
    <w:p w14:paraId="37D63676"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Seção I</w:t>
      </w:r>
      <w:r w:rsidRPr="0033145B">
        <w:rPr>
          <w:rFonts w:ascii="Book Antiqua" w:eastAsia="Times New Roman" w:hAnsi="Book Antiqua" w:cs="Arial"/>
          <w:color w:val="000000"/>
          <w:sz w:val="19"/>
          <w:szCs w:val="19"/>
          <w:lang w:eastAsia="pt-BR"/>
        </w:rPr>
        <w:br/>
        <w:t>Das Atribuições da União, do Distrito Federal, dos Estados e dos Municípios</w:t>
      </w:r>
    </w:p>
    <w:p w14:paraId="2FF4274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Art. 14. A implementação da atenção integral à saúde dos adolescentes em situação de privação de liberdade ocorrerá com a participação conjunta da União, dos Estados, do Distrito Federal e dos Municípios onde se localizar a unidade socioeducativa.</w:t>
      </w:r>
    </w:p>
    <w:p w14:paraId="4494BE6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Parágrafo único. Os entes federativos mencionados no "caput" incluirão a atenção integral à saúde dos adolescentes em situação de privação de liberdade nos seus respectivos planejamentos de saúde.</w:t>
      </w:r>
    </w:p>
    <w:p w14:paraId="1958E11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Art. 15. A Secretaria de Saúde dos Estados, do Distrito Federal e dos Municípios onde se localizarem as unidades socioeducativas, em conjunto e em articulação com a Secretaria Estadual gestora do Sistema Socioeducativo, organizarão o provimento de ações contínuas para a atenção à saúde dos adolescentes em situação de privação de liberdade na Rede de Atenção existente e conforme diretrizes contidas no Capítulo V da Lei nº 12.594, de 18 de janeiro de 2012, que institui o </w:t>
      </w:r>
      <w:proofErr w:type="spellStart"/>
      <w:r w:rsidRPr="0033145B">
        <w:rPr>
          <w:rFonts w:ascii="Book Antiqua" w:eastAsia="Times New Roman" w:hAnsi="Book Antiqua" w:cs="Arial"/>
          <w:color w:val="000000"/>
          <w:sz w:val="19"/>
          <w:szCs w:val="19"/>
          <w:lang w:eastAsia="pt-BR"/>
        </w:rPr>
        <w:t>Sinase</w:t>
      </w:r>
      <w:proofErr w:type="spellEnd"/>
      <w:r w:rsidRPr="0033145B">
        <w:rPr>
          <w:rFonts w:ascii="Book Antiqua" w:eastAsia="Times New Roman" w:hAnsi="Book Antiqua" w:cs="Arial"/>
          <w:color w:val="000000"/>
          <w:sz w:val="19"/>
          <w:szCs w:val="19"/>
          <w:lang w:eastAsia="pt-BR"/>
        </w:rPr>
        <w:t>.</w:t>
      </w:r>
    </w:p>
    <w:p w14:paraId="01C0E6C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16. Compete à União, por intermédio do Ministério da Saúde:</w:t>
      </w:r>
    </w:p>
    <w:p w14:paraId="6061766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coordenar e apoiar a implementação da PNAISARI;</w:t>
      </w:r>
    </w:p>
    <w:p w14:paraId="1608CDD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 participar do financiamento tripartite para a atenção integral à saúde da população adolescente em situação de privação de liberdade;</w:t>
      </w:r>
    </w:p>
    <w:p w14:paraId="6ACCF82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prestar assessoria técnica aos Estados, Distrito Federal e Municípios no processo de discussão e implementação dos Planos Operativos e Planos de Ação, conforme anexos II e III a esta Portaria;</w:t>
      </w:r>
    </w:p>
    <w:p w14:paraId="545914E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 monitorar, acompanhar e avaliar as ações desenvolvidas, tendo como base os Planos Operativos e Planos de Ação, conforme anexos II e III a esta Portaria;</w:t>
      </w:r>
    </w:p>
    <w:p w14:paraId="7884FF2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 - elaborar e disponibilizar diretrizes assistenciais a serem implementadas pelas unidades do sistema socioeducativo e pelos serviços referenciados vinculados ao SUS;</w:t>
      </w:r>
    </w:p>
    <w:p w14:paraId="213D24F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 - padronizar as normas de funcionamento dos estabelecimentos de saúde nas unidades de internação e internação provisória do sistema socioeducativo;</w:t>
      </w:r>
    </w:p>
    <w:p w14:paraId="41C0727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 - apoiar tecnicamente a Secretaria de Direitos Humanos da Presidência da República (SDH-PR) no planejamento e implementação das atividades relativas à criação ou melhoria da infraestrutura dos estabelecimentos de saúde das unidades de internação, compreendendo-se instalações físicas e equipamentos; e</w:t>
      </w:r>
    </w:p>
    <w:p w14:paraId="0EF3614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VIII - elaborar conteúdos mínimos de capacitação dos profissionais das equipes de saúde das unidades de internação e internação provisória, das redes de saúde e intersetoriais no âmbito da educação permanente a ser disponibilizada pelas Secretarias Estaduais e Municipais de Saúde.</w:t>
      </w:r>
    </w:p>
    <w:p w14:paraId="29E7767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17. Compete aos Estados, por intermédio das respectivas Secretarias de Saúde:</w:t>
      </w:r>
    </w:p>
    <w:p w14:paraId="2FB7E03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apoiar os Municípios na implementação da PNAISARI;</w:t>
      </w:r>
    </w:p>
    <w:p w14:paraId="3C21479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 instituir Grupo de Trabalho Intersetorial (GTI), em articulação com a Secretaria de Saúde Municipal e a Secretaria gestora do Sistema Socioeducativo, para a implementação e acompanhamento da PNAISARI;</w:t>
      </w:r>
    </w:p>
    <w:p w14:paraId="63C3583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apoiar e participar da elaboração e execução dos Planos Operativos e Planos de Ação Municipais, conforme Anexos II e III, em parceria com a Secretaria de Saúde Municipal e a Secretaria gestora do Sistema Socioeducativo, em consonância com o Plano Estadual de Atendimento Socioeducativo;</w:t>
      </w:r>
    </w:p>
    <w:p w14:paraId="581D492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 inserir no seu planejamento anual e no Plano Estadual de Saúde as ações previstas no Plano de Ação de Atenção Integral à Saúde de Adolescentes em situação de Privação de Liberdade;</w:t>
      </w:r>
    </w:p>
    <w:p w14:paraId="768CE01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V - apoiar e incentivar a inserção da população adolescente em conflito com a lei e a privada de liberdade nos programas e políticas da saúde promovidas pelo Estado e Municípios;</w:t>
      </w:r>
    </w:p>
    <w:p w14:paraId="157ED58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 - apoiar tecnicamente o desenvolvimento das ações previstas no Plano de Ação Anual dos Municípios;</w:t>
      </w:r>
    </w:p>
    <w:p w14:paraId="3DD1CAB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 - participar do financiamento tripartite das ações e serviços previstos nesta Portaria;</w:t>
      </w:r>
    </w:p>
    <w:p w14:paraId="345BD82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VIII - participar da organização da referência e contrarreferência para a prestação da assistência de média e alta complexidade em parceria com a gestão municipal de saúde;</w:t>
      </w:r>
    </w:p>
    <w:p w14:paraId="4280370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IX - capacitar as equipes de saúde das unidades de internação, internação provisória e semiliberdade, conforme pactuação tripartite;</w:t>
      </w:r>
    </w:p>
    <w:p w14:paraId="4BCC89E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X - prestar assessoria técnica aos Municípios no processo de discussão e implantação dos Planos Operativos e Planos de Ação Anuais; e</w:t>
      </w:r>
    </w:p>
    <w:p w14:paraId="00D2FB6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XI - monitorar e avaliar a implementação das ações constantes no Plano de Ação Anual em conjunto com os Municípios.</w:t>
      </w:r>
    </w:p>
    <w:p w14:paraId="390420E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b/>
          <w:bCs/>
          <w:color w:val="000000"/>
          <w:sz w:val="19"/>
          <w:szCs w:val="19"/>
          <w:highlight w:val="magenta"/>
          <w:lang w:eastAsia="pt-BR"/>
        </w:rPr>
        <w:t>Art. 18</w:t>
      </w:r>
      <w:r w:rsidRPr="0033145B">
        <w:rPr>
          <w:rFonts w:ascii="Book Antiqua" w:eastAsia="Times New Roman" w:hAnsi="Book Antiqua" w:cs="Arial"/>
          <w:color w:val="000000"/>
          <w:sz w:val="19"/>
          <w:szCs w:val="19"/>
          <w:lang w:eastAsia="pt-BR"/>
        </w:rPr>
        <w:t>. Compete aos Municípios, por intermédio das respectivas Secretarias de Saúde:</w:t>
      </w:r>
    </w:p>
    <w:p w14:paraId="6E6FCA8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instituir Grupo de Trabalho Intersetorial (GTI), em articulação com a Secretaria de Saúde Estadual e a Secretaria gestora do Sistema Socioeducativo, para a implementação e acompanhamento da PNAISARI;</w:t>
      </w:r>
    </w:p>
    <w:p w14:paraId="51B9D60A" w14:textId="7D669D72" w:rsidR="00B74E7F"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II - </w:t>
      </w:r>
      <w:r w:rsidRPr="0033145B">
        <w:rPr>
          <w:rFonts w:ascii="Book Antiqua" w:eastAsia="Times New Roman" w:hAnsi="Book Antiqua" w:cs="Arial"/>
          <w:b/>
          <w:bCs/>
          <w:caps/>
          <w:color w:val="000000"/>
          <w:sz w:val="19"/>
          <w:szCs w:val="19"/>
          <w:highlight w:val="green"/>
          <w:lang w:eastAsia="pt-BR"/>
        </w:rPr>
        <w:t>elaborar</w:t>
      </w:r>
      <w:r w:rsidRPr="0033145B">
        <w:rPr>
          <w:rFonts w:ascii="Book Antiqua" w:eastAsia="Times New Roman" w:hAnsi="Book Antiqua" w:cs="Arial"/>
          <w:color w:val="000000"/>
          <w:sz w:val="19"/>
          <w:szCs w:val="19"/>
          <w:lang w:eastAsia="pt-BR"/>
        </w:rPr>
        <w:t xml:space="preserve"> e executar o </w:t>
      </w:r>
      <w:r w:rsidRPr="0033145B">
        <w:rPr>
          <w:rFonts w:ascii="Book Antiqua" w:eastAsia="Times New Roman" w:hAnsi="Book Antiqua" w:cs="Arial"/>
          <w:b/>
          <w:bCs/>
          <w:caps/>
          <w:color w:val="000000"/>
          <w:sz w:val="19"/>
          <w:szCs w:val="19"/>
          <w:shd w:val="clear" w:color="auto" w:fill="F7CAAC" w:themeFill="accent2" w:themeFillTint="66"/>
          <w:lang w:eastAsia="pt-BR"/>
        </w:rPr>
        <w:t>Plano Operativo</w:t>
      </w:r>
      <w:r w:rsidRPr="0033145B">
        <w:rPr>
          <w:rFonts w:ascii="Book Antiqua" w:eastAsia="Times New Roman" w:hAnsi="Book Antiqua" w:cs="Arial"/>
          <w:color w:val="000000"/>
          <w:sz w:val="19"/>
          <w:szCs w:val="19"/>
          <w:lang w:eastAsia="pt-BR"/>
        </w:rPr>
        <w:t xml:space="preserve"> e o Plano de Ação Anual, conforme Anexos II e III, em parceria com a Secretaria de Saúde Estadual e a Secretaria gestora do Sistema Socioeducativo;</w:t>
      </w:r>
    </w:p>
    <w:tbl>
      <w:tblPr>
        <w:tblStyle w:val="Tabelacomgrade"/>
        <w:tblW w:w="0" w:type="auto"/>
        <w:tblLook w:val="04A0" w:firstRow="1" w:lastRow="0" w:firstColumn="1" w:lastColumn="0" w:noHBand="0" w:noVBand="1"/>
      </w:tblPr>
      <w:tblGrid>
        <w:gridCol w:w="8494"/>
      </w:tblGrid>
      <w:tr w:rsidR="0033145B" w14:paraId="6F42A5BE" w14:textId="77777777" w:rsidTr="0033145B">
        <w:tc>
          <w:tcPr>
            <w:tcW w:w="8494" w:type="dxa"/>
            <w:shd w:val="clear" w:color="auto" w:fill="CCFFFF"/>
          </w:tcPr>
          <w:p w14:paraId="6EEC032C" w14:textId="016A68CE" w:rsidR="0033145B" w:rsidRPr="0033145B" w:rsidRDefault="0033145B" w:rsidP="0033145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3145B">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color w:val="000000"/>
                <w:sz w:val="19"/>
                <w:szCs w:val="19"/>
                <w:lang w:eastAsia="pt-BR"/>
              </w:rPr>
              <w:t>Ao longo do ano de 2016, a Coordenadoria de Saúde e Tutela Coletiva (COSAU) e a Coordenadoria de Defesa dos Direitos da Criança e do Adolescente (CDEDICA) da Defensoria Pública do Estado do Rio de Janeiro vistoriaram todas as unidades de internação de adolescentes do Estado do Rio de Janeiro e verificaram a existência de inúmeras irregularidades que colocavam em risco a saúde das pessoas ali privadas de liberdade.</w:t>
            </w:r>
            <w:r>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color w:val="000000"/>
                <w:sz w:val="19"/>
                <w:szCs w:val="19"/>
                <w:lang w:eastAsia="pt-BR"/>
              </w:rPr>
              <w:t>Sobre a Política Nacional de Atenção Integral à Saúde de Adolescentes em Conflito com a Lei (PNAISARI) e o Sistema Nacional de Atendimento Socioeducativo, é correto afirmar que:</w:t>
            </w:r>
            <w:r>
              <w:rPr>
                <w:rFonts w:ascii="Book Antiqua" w:eastAsia="Times New Roman" w:hAnsi="Book Antiqua" w:cs="Arial"/>
                <w:color w:val="000000"/>
                <w:sz w:val="19"/>
                <w:szCs w:val="19"/>
                <w:lang w:eastAsia="pt-BR"/>
              </w:rPr>
              <w:t xml:space="preserve"> </w:t>
            </w:r>
            <w:r w:rsidRPr="0033145B">
              <w:rPr>
                <w:rFonts w:ascii="Book Antiqua" w:eastAsia="Times New Roman" w:hAnsi="Book Antiqua" w:cs="Arial"/>
                <w:color w:val="000000"/>
                <w:sz w:val="19"/>
                <w:szCs w:val="19"/>
                <w:lang w:eastAsia="pt-BR"/>
              </w:rPr>
              <w:t>o Plano Operativo é um importante instrumento de planejamento da PNAISARI que tem por objetivo estabelecer diretrizes para a implantação e a implementação de ações de saúde nos três níveis de complexidade, descrevendo as atribuições e compromissos entre as esferas municipal e estadual de saúde e da gestão do sistema socioeducativo estadual na provisão dos cuidados em saúde dos adolescentes. Em regra, ele é elaborado pelos Municípios e deve integrar o Plano de Atendimento Socioeducativo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IV</w:t>
            </w:r>
            <w:r>
              <w:rPr>
                <w:rStyle w:val="Refdenotaderodap"/>
                <w:rFonts w:ascii="Book Antiqua" w:eastAsia="Times New Roman" w:hAnsi="Book Antiqua" w:cs="Arial"/>
                <w:b/>
                <w:bCs/>
                <w:color w:val="000000"/>
                <w:sz w:val="19"/>
                <w:szCs w:val="19"/>
                <w:lang w:eastAsia="pt-BR"/>
              </w:rPr>
              <w:footnoteReference w:id="1"/>
            </w:r>
            <w:r>
              <w:rPr>
                <w:rFonts w:ascii="Book Antiqua" w:eastAsia="Times New Roman" w:hAnsi="Book Antiqua" w:cs="Arial"/>
                <w:b/>
                <w:bCs/>
                <w:color w:val="000000"/>
                <w:sz w:val="19"/>
                <w:szCs w:val="19"/>
                <w:lang w:eastAsia="pt-BR"/>
              </w:rPr>
              <w:t xml:space="preserve"> c/c art. 18, II da Portaria 1082/14.</w:t>
            </w:r>
          </w:p>
        </w:tc>
      </w:tr>
    </w:tbl>
    <w:p w14:paraId="6155299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inserir no seu planejamento anual e no Plano Municipal de Saúde as ações previstas no Plano de Ação de Atenção Integral à Saúde de Adolescentes em situação de Privação de Liberdade;</w:t>
      </w:r>
    </w:p>
    <w:p w14:paraId="1B29EF5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 participar do financiamento tripartite das ações e serviços previstos nesta Portaria;</w:t>
      </w:r>
    </w:p>
    <w:p w14:paraId="32CF696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V - inserir a população adolescente em conflito com a lei nos programas e políticas da saúde promovidas pelo Município;</w:t>
      </w:r>
    </w:p>
    <w:p w14:paraId="5A0C0A0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 - garantir o abastecimento de medicamento e insumos de acordo com a com as pactuações na CIT e CIB;</w:t>
      </w:r>
    </w:p>
    <w:p w14:paraId="1AE9BEC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 - capacitar as equipes de saúde das unidades de internação, internação provisória e semiliberdade, conforme pactuação tripartite;</w:t>
      </w:r>
    </w:p>
    <w:p w14:paraId="1448CB6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VIII - monitorar, acompanhar e avaliar as ações desenvolvidas, tendo como base o Plano Operativo e o Plano de Ação Anual;</w:t>
      </w:r>
    </w:p>
    <w:p w14:paraId="47AF487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IX - participar da elaboração de diretrizes assistenciais, com descrição das ações, serviços e procedimentos a serem realizados pelas unidades próprias de medidas socioeducativas e pelos serviços referenciados vinculados ao SUS; e</w:t>
      </w:r>
    </w:p>
    <w:p w14:paraId="2A7AE8B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X - inserir os adolescentes no processo de Cadastramento dos Usuários do SUS do Município.</w:t>
      </w:r>
    </w:p>
    <w:p w14:paraId="483EDA9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19. Ao Distrito Federal, por intermédio de sua Secretaria de Saúde, competem os direitos e obrigações reservados às Secretarias de Saúde dos Estados e Municípios.</w:t>
      </w:r>
    </w:p>
    <w:p w14:paraId="2E54EDC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20. O Plano Operativo integra e é parte complementar dos Planos de Atendimento Socioeducativo, previstos na Lei nº 12.594, de 18 de janeiro de 2012, e, portanto, deve estar de acordo com as proposições neles inscritas.</w:t>
      </w:r>
    </w:p>
    <w:p w14:paraId="0B33E9F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Parágrafo único. O Plano Operativo de que trata o "caput" tem prazo de validade de 4 (quatro) anos, e deve, ao final deste período, ser reapresentado no Conselho de Direitos da Criança e do Adolescente e à Coordenação-Geral de Saúde de Adolescentes e Jovens (CGSAJ/DAPES/SAS/MS), nos moldes dispostos no anexo II a esta Portaria.</w:t>
      </w:r>
    </w:p>
    <w:p w14:paraId="61A3019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21. O Plano de Ação Anual deve ser apresentado por cada Município onde se localiza a Unidade Socioeducativa de Internação, Internação Provisória e/ou Semiliberdade.</w:t>
      </w:r>
    </w:p>
    <w:p w14:paraId="4581EB4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Parágrafo único. As ações de saúde e as metas físicas previstas no Plano de Ação Anual de que trata o "caput" deverão ser atualizadas segundo necessidades em saúde da população socioeducativa.</w:t>
      </w:r>
    </w:p>
    <w:p w14:paraId="242BFDA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Art. 22. A Secretaria de Saúde dos Estados, em casos excepcionais, poderá elaborar Plano Operativo e assumir a gestão das ações de atenção integral à saúde de Adolescentes em situação de privação de liberdade de Município localizado em seu território, mediante pactuação na Comissão </w:t>
      </w:r>
      <w:proofErr w:type="spellStart"/>
      <w:r w:rsidRPr="0033145B">
        <w:rPr>
          <w:rFonts w:ascii="Book Antiqua" w:eastAsia="Times New Roman" w:hAnsi="Book Antiqua" w:cs="Arial"/>
          <w:color w:val="000000"/>
          <w:sz w:val="19"/>
          <w:szCs w:val="19"/>
          <w:lang w:eastAsia="pt-BR"/>
        </w:rPr>
        <w:t>Intergestores</w:t>
      </w:r>
      <w:proofErr w:type="spellEnd"/>
      <w:r w:rsidRPr="0033145B">
        <w:rPr>
          <w:rFonts w:ascii="Book Antiqua" w:eastAsia="Times New Roman" w:hAnsi="Book Antiqua" w:cs="Arial"/>
          <w:color w:val="000000"/>
          <w:sz w:val="19"/>
          <w:szCs w:val="19"/>
          <w:lang w:eastAsia="pt-BR"/>
        </w:rPr>
        <w:t xml:space="preserve"> Bipartite (CIB).</w:t>
      </w:r>
    </w:p>
    <w:p w14:paraId="46AFAB7E"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Seção II</w:t>
      </w:r>
      <w:r w:rsidRPr="0033145B">
        <w:rPr>
          <w:rFonts w:ascii="Book Antiqua" w:eastAsia="Times New Roman" w:hAnsi="Book Antiqua" w:cs="Arial"/>
          <w:color w:val="000000"/>
          <w:sz w:val="19"/>
          <w:szCs w:val="19"/>
          <w:lang w:eastAsia="pt-BR"/>
        </w:rPr>
        <w:br/>
        <w:t>Das Atribuições do Grupo de Trabalho Intersetorial (GTI)</w:t>
      </w:r>
    </w:p>
    <w:p w14:paraId="5C52CBD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23. Compete ao GTI instituído no âmbito do Estado ou do Município:</w:t>
      </w:r>
    </w:p>
    <w:p w14:paraId="6F63442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 a elaboração de Plano Operativo, conforme modelo constante do anexo II a esta Portaria;</w:t>
      </w:r>
    </w:p>
    <w:p w14:paraId="4E3B9EA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 a elaboração de Plano de Ação Anual, com definição das ações de saúde e as metas físicas para o ano de exercício por Município, conforme modelo constante do anexo III a esta Portaria;</w:t>
      </w:r>
    </w:p>
    <w:p w14:paraId="604370B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 o acompanhamento e monitoramento da efetiva implementação da atenção integral à saúde de adolescentes em situação de privação de liberdade; e</w:t>
      </w:r>
    </w:p>
    <w:p w14:paraId="1648382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 realização de diagnóstico da situação de saúde dos adolescentes em situação de privação de liberdade.</w:t>
      </w:r>
    </w:p>
    <w:p w14:paraId="6BA027C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 1º Poderão integrar o GTI de que trata o "caput" representantes dos seguintes órgãos e entidades:</w:t>
      </w:r>
    </w:p>
    <w:p w14:paraId="7A23132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 Secretaria Estadual de Saúde;</w:t>
      </w:r>
    </w:p>
    <w:p w14:paraId="2EA27D6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b) Secretaria Municipal de Saúde;</w:t>
      </w:r>
    </w:p>
    <w:p w14:paraId="2AB2E31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 Secretaria gestora do Sistema Socioeducativo em âmbito local;</w:t>
      </w:r>
    </w:p>
    <w:p w14:paraId="2BBDD18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d) unidades socioeducativas; e</w:t>
      </w:r>
    </w:p>
    <w:p w14:paraId="2C1CE7E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e) outras instituições e conselhos estratégicos.</w:t>
      </w:r>
    </w:p>
    <w:p w14:paraId="6BF9BFB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2º Constará no Plano Operativo a indicação da Secretaria de Saúde do ente federativo responsável pela gestão das ações de saúde para os adolescentes em situação de privação de liberdade.</w:t>
      </w:r>
    </w:p>
    <w:p w14:paraId="673DBDA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 3º Dar-se-á ciência do Plano Operativo ao Conselho de Saúde e à Comissão </w:t>
      </w:r>
      <w:proofErr w:type="spellStart"/>
      <w:r w:rsidRPr="0033145B">
        <w:rPr>
          <w:rFonts w:ascii="Book Antiqua" w:eastAsia="Times New Roman" w:hAnsi="Book Antiqua" w:cs="Arial"/>
          <w:color w:val="000000"/>
          <w:sz w:val="19"/>
          <w:szCs w:val="19"/>
          <w:lang w:eastAsia="pt-BR"/>
        </w:rPr>
        <w:t>Intergestores</w:t>
      </w:r>
      <w:proofErr w:type="spellEnd"/>
      <w:r w:rsidRPr="0033145B">
        <w:rPr>
          <w:rFonts w:ascii="Book Antiqua" w:eastAsia="Times New Roman" w:hAnsi="Book Antiqua" w:cs="Arial"/>
          <w:color w:val="000000"/>
          <w:sz w:val="19"/>
          <w:szCs w:val="19"/>
          <w:lang w:eastAsia="pt-BR"/>
        </w:rPr>
        <w:t xml:space="preserve"> Bipartite (CIB) ou, quando for o caso, a Comissão </w:t>
      </w:r>
      <w:proofErr w:type="spellStart"/>
      <w:r w:rsidRPr="0033145B">
        <w:rPr>
          <w:rFonts w:ascii="Book Antiqua" w:eastAsia="Times New Roman" w:hAnsi="Book Antiqua" w:cs="Arial"/>
          <w:color w:val="000000"/>
          <w:sz w:val="19"/>
          <w:szCs w:val="19"/>
          <w:lang w:eastAsia="pt-BR"/>
        </w:rPr>
        <w:t>Intergestores</w:t>
      </w:r>
      <w:proofErr w:type="spellEnd"/>
      <w:r w:rsidRPr="0033145B">
        <w:rPr>
          <w:rFonts w:ascii="Book Antiqua" w:eastAsia="Times New Roman" w:hAnsi="Book Antiqua" w:cs="Arial"/>
          <w:color w:val="000000"/>
          <w:sz w:val="19"/>
          <w:szCs w:val="19"/>
          <w:lang w:eastAsia="pt-BR"/>
        </w:rPr>
        <w:t xml:space="preserve"> Regional (CIR).</w:t>
      </w:r>
    </w:p>
    <w:p w14:paraId="46A1A39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4º O Plano Operativo deverá ser aprovado no Conselho de Direitos da Criança e do Adolescente.</w:t>
      </w:r>
    </w:p>
    <w:p w14:paraId="420D64E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5º A elaboração do Plano de Ação Anual deverá conter as ações de saúde e as metas físicas para o ano de exercício por Município, conforme modelo constante do anexo III a esta Portaria.</w:t>
      </w:r>
    </w:p>
    <w:p w14:paraId="16E46FE6"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Seção III</w:t>
      </w:r>
      <w:r w:rsidRPr="0033145B">
        <w:rPr>
          <w:rFonts w:ascii="Book Antiqua" w:eastAsia="Times New Roman" w:hAnsi="Book Antiqua" w:cs="Arial"/>
          <w:color w:val="000000"/>
          <w:sz w:val="19"/>
          <w:szCs w:val="19"/>
          <w:lang w:eastAsia="pt-BR"/>
        </w:rPr>
        <w:br/>
        <w:t>Do Financiamento</w:t>
      </w:r>
    </w:p>
    <w:p w14:paraId="54A581B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24. O ente federativo responsável pela gestão das ações de atenção integral à saúde dos adolescentes em situação de privação de liberdade fará jus a incentivo financeiro de custeio, que será instituído e pago pelo Ministério da Saúde, para o desenvolvimento dessas ações junto às unidades socioeducativas de internação, internação provisória e semiliberdade.</w:t>
      </w:r>
    </w:p>
    <w:p w14:paraId="6C6DA43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Parágrafo único. O incentivo financeiro de custeio de que trata o "caput" será instituído e regulamentado em ato específico do Ministro de Estado da Saúde e repassado em parcelas mensais e iguais pelo Fundo Nacional de Saúde para o Fundo de Saúde do ente federativo beneficiário.</w:t>
      </w:r>
    </w:p>
    <w:p w14:paraId="4542ADCC"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CAPÍTULO IV</w:t>
      </w:r>
      <w:r w:rsidRPr="0033145B">
        <w:rPr>
          <w:rFonts w:ascii="Book Antiqua" w:eastAsia="Times New Roman" w:hAnsi="Book Antiqua" w:cs="Arial"/>
          <w:color w:val="000000"/>
          <w:sz w:val="19"/>
          <w:szCs w:val="19"/>
          <w:lang w:eastAsia="pt-BR"/>
        </w:rPr>
        <w:br/>
        <w:t>DO MONITORAMENTO E AVALIAÇÃO</w:t>
      </w:r>
    </w:p>
    <w:p w14:paraId="2A124BD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25. O monitoramento e a avaliação da implementação da PNAISARI serão realizados por meio de sistemas de informação oficiais da saúde e do Sistema de Informações para Infância e Adolescência (SIPIA).</w:t>
      </w:r>
    </w:p>
    <w:p w14:paraId="1AF4640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Parágrafo único. O monitoramento e a avaliação de que trata o "caput" serão realizados pelo Ministério da Saúde, por meio do Departamento de Ações Programáticas Estratégicas (DAPES/SAS/MS).</w:t>
      </w:r>
    </w:p>
    <w:p w14:paraId="2CAF249C"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CAPÍTULO V</w:t>
      </w:r>
      <w:r w:rsidRPr="0033145B">
        <w:rPr>
          <w:rFonts w:ascii="Book Antiqua" w:eastAsia="Times New Roman" w:hAnsi="Book Antiqua" w:cs="Arial"/>
          <w:color w:val="000000"/>
          <w:sz w:val="19"/>
          <w:szCs w:val="19"/>
          <w:lang w:eastAsia="pt-BR"/>
        </w:rPr>
        <w:br/>
        <w:t>DAS DISPOSIÇÕES FINAIS</w:t>
      </w:r>
    </w:p>
    <w:p w14:paraId="561C3F0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26. Os casos não previstos nesta Portaria, relativos à atenção à saúde em favor dos adolescentes em cumprimento de medida socioeducativa, serão analisados pela CGSAJ/DAPES/SAS/MS.</w:t>
      </w:r>
    </w:p>
    <w:p w14:paraId="14A9C40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Art. 27. As ações de saúde previstas nesta Portaria serão integrados aos Planos de Saúde Estaduais, do Distrito Federal e Municipais, observada a legislação local específica.</w:t>
      </w:r>
    </w:p>
    <w:p w14:paraId="4FD2495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Art. 28. Esta Portaria entra em vigor na data de sua publicação.</w:t>
      </w:r>
    </w:p>
    <w:p w14:paraId="5155422F" w14:textId="77777777" w:rsidR="00B74E7F" w:rsidRPr="0033145B" w:rsidRDefault="00B74E7F" w:rsidP="00B74E7F">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rPr>
      </w:pPr>
      <w:r w:rsidRPr="0033145B">
        <w:rPr>
          <w:rFonts w:ascii="Book Antiqua" w:eastAsia="Times New Roman" w:hAnsi="Book Antiqua" w:cs="Arial"/>
          <w:b/>
          <w:bCs/>
          <w:caps/>
          <w:color w:val="000000"/>
          <w:kern w:val="36"/>
          <w:sz w:val="19"/>
          <w:szCs w:val="19"/>
          <w:lang w:eastAsia="pt-BR"/>
        </w:rPr>
        <w:t>ARTHUR CHIORO</w:t>
      </w:r>
    </w:p>
    <w:p w14:paraId="4ED8F744"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ANEXO I</w:t>
      </w:r>
    </w:p>
    <w:p w14:paraId="7492BEA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ATRIBUIÇÕES DAS EQUIPES DE REFERÊNCIA EM SAÚDE e responsabilidades setoriais INTERFEDERATIVAS</w:t>
      </w:r>
    </w:p>
    <w:p w14:paraId="3CA8C31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1. Atribuições das equipes de referência em saúde As equipes de referência em saúde preconizadas nesta Portaria integram a organização da Atenção Básica no SUS. Além de cumprir os princípios constitucionais e legais, a opção decorre do fato de que as Equipes de Atenção Básica detêm responsabilidade sanitária pela população residente nas unidades socioeducativas do seu território adstrito.</w:t>
      </w:r>
    </w:p>
    <w:p w14:paraId="3150383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As equipes de referência devem seguir as atribuições indicadas na Política Nacional de Atenção Básica (Portaria GM/MS nº 2.488, de 21/10/2011).</w:t>
      </w:r>
    </w:p>
    <w:p w14:paraId="6D899C6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Nesse sentido, ainda que haja equipe de saúde lotada e atuando somente dentro da unidade socioeducativa, é de fundamental importância que se garanta uma referência na rede de atenção à saúde pública externa a fim de garantir, mesmo de forma complementar, a realização de ações coletivas de promoção e de educação em saúde na lógica do SUS.</w:t>
      </w:r>
    </w:p>
    <w:p w14:paraId="5341F00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Essa estratégia favorece a permeabilidade da instituição socioeducativa à comunidade e atende aos princípios previstos no Estatuto da Criança e do Adolescente de incompletude institucional e reinserção social dos adolescentes em situação de privação de liberdade.</w:t>
      </w:r>
    </w:p>
    <w:p w14:paraId="23A17FC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O registro das condições clínicas e de saúde dos adolescentes deve fazer parte do Plano Individual de Atendimento (PIA), que deve ser acompanhado e avaliado periodicamente pela equipe multidisciplinar que os acompanha.</w:t>
      </w:r>
    </w:p>
    <w:p w14:paraId="05AFC33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Ao compor o PIA, dados relativos às ações e avaliações em saúde desenvolvidas ou </w:t>
      </w:r>
      <w:proofErr w:type="spellStart"/>
      <w:r w:rsidRPr="0033145B">
        <w:rPr>
          <w:rFonts w:ascii="Book Antiqua" w:eastAsia="Times New Roman" w:hAnsi="Book Antiqua" w:cs="Arial"/>
          <w:color w:val="000000"/>
          <w:sz w:val="19"/>
          <w:szCs w:val="19"/>
          <w:lang w:eastAsia="pt-BR"/>
        </w:rPr>
        <w:t>matriciadas</w:t>
      </w:r>
      <w:proofErr w:type="spellEnd"/>
      <w:r w:rsidRPr="0033145B">
        <w:rPr>
          <w:rFonts w:ascii="Book Antiqua" w:eastAsia="Times New Roman" w:hAnsi="Book Antiqua" w:cs="Arial"/>
          <w:color w:val="000000"/>
          <w:sz w:val="19"/>
          <w:szCs w:val="19"/>
          <w:lang w:eastAsia="pt-BR"/>
        </w:rPr>
        <w:t xml:space="preserve"> pela equipe responsável também serão a base para os relatórios encaminhados ao Juiz de execuções, bem como as suas modificações, que subsidiarão as decisões judiciais.</w:t>
      </w:r>
    </w:p>
    <w:p w14:paraId="42E1119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É importante, ainda, que a equipe de referência em saúde acompanhe a implementação das proposições do SINASE, que afetam direta e indiretamente a qualidade de vida e a produção de saúde da população.</w:t>
      </w:r>
    </w:p>
    <w:p w14:paraId="4F6C83F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1.1 Das atribuições específicas e do processo de trabalho dos profissionais de Saúde Mental</w:t>
      </w:r>
    </w:p>
    <w:p w14:paraId="110F070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Os profissionais de saúde mental que integrarão as equipes de saúde de referência para o socioeducativo têm papel estratégico na garantia da produção de saúde dos adolescentes dessas instituições.</w:t>
      </w:r>
    </w:p>
    <w:p w14:paraId="088D53C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A inclusão de profissionais de saúde mental para atuarem junto às equipes de saúde se justifica em virtude da importância da promoção de saúde mental em instituições fechadas, do reconhecimento do sofrimento psíquico decorrente da institucionalização, da necessidade de tratamento adequado aos adolescentes com transtornos mentais e problemas decorrentes do uso de álcool e outras drogas e da demanda de acompanhamento psicossocial, conforme indicação dada pelos </w:t>
      </w:r>
      <w:proofErr w:type="spellStart"/>
      <w:r w:rsidRPr="0033145B">
        <w:rPr>
          <w:rFonts w:ascii="Book Antiqua" w:eastAsia="Times New Roman" w:hAnsi="Book Antiqua" w:cs="Arial"/>
          <w:color w:val="000000"/>
          <w:sz w:val="19"/>
          <w:szCs w:val="19"/>
          <w:lang w:eastAsia="pt-BR"/>
        </w:rPr>
        <w:t>Arts</w:t>
      </w:r>
      <w:proofErr w:type="spellEnd"/>
      <w:r w:rsidRPr="0033145B">
        <w:rPr>
          <w:rFonts w:ascii="Book Antiqua" w:eastAsia="Times New Roman" w:hAnsi="Book Antiqua" w:cs="Arial"/>
          <w:color w:val="000000"/>
          <w:sz w:val="19"/>
          <w:szCs w:val="19"/>
          <w:lang w:eastAsia="pt-BR"/>
        </w:rPr>
        <w:t>. 60 e 64 da Lei nº 12.594, de 18/01/2012.</w:t>
      </w:r>
    </w:p>
    <w:p w14:paraId="30D4215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Sabe-se que nos contextos de privação de liberdade é comum a existência de problemas que afetam a saúde mental em diversas ordens, inclusive com relação ao uso de álcool e outras drogas. É importante esclarecer que isso não implica necessariamente na ocorrência de transtornos mentais, mas de um sofrimento psíquico que pode ser mais ou menos intenso em virtude da própria privação de liberdade, do afastamento da família e do convívio social, da violência institucional, entre outros.</w:t>
      </w:r>
    </w:p>
    <w:p w14:paraId="55108A0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As tecnologias desenvolvidas no campo da saúde mental podem contribuir para a melhoria na qualidade da assistência prestada nas unidades socioeducativas. As chamadas "tecnologias leves" referem- se ao desenvolvimento de vínculos, ao acolhimento de demandas com escuta qualificada, ao trabalho de produção de saúde mental com os adolescentes internos e com as equipes responsáveis pelo cuidado, assim como a atenção a aspectos da dinâmica institucional que são produtores de adoecimento psíquico.</w:t>
      </w:r>
    </w:p>
    <w:p w14:paraId="768B426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Toda a lógica de trabalho dos profissionais de saúde mental integrantes das equipes responsáveis pelas ações de saúde elencadas nestas diretrizes é baseada na estratégia do </w:t>
      </w:r>
      <w:proofErr w:type="spellStart"/>
      <w:r w:rsidRPr="0033145B">
        <w:rPr>
          <w:rFonts w:ascii="Book Antiqua" w:eastAsia="Times New Roman" w:hAnsi="Book Antiqua" w:cs="Arial"/>
          <w:color w:val="000000"/>
          <w:sz w:val="19"/>
          <w:szCs w:val="19"/>
          <w:lang w:eastAsia="pt-BR"/>
        </w:rPr>
        <w:t>matriciamento</w:t>
      </w:r>
      <w:proofErr w:type="spellEnd"/>
      <w:r w:rsidRPr="0033145B">
        <w:rPr>
          <w:rFonts w:ascii="Book Antiqua" w:eastAsia="Times New Roman" w:hAnsi="Book Antiqua" w:cs="Arial"/>
          <w:color w:val="000000"/>
          <w:sz w:val="19"/>
          <w:szCs w:val="19"/>
          <w:lang w:eastAsia="pt-BR"/>
        </w:rPr>
        <w:t xml:space="preserve">. Isso significa que esses profissionais não têm como prioridade o atendimento individual, ambulatorial, nem mesmo a realização de avaliações demandadas pelo Judiciário. Seu papel principal é o </w:t>
      </w:r>
      <w:proofErr w:type="spellStart"/>
      <w:r w:rsidRPr="0033145B">
        <w:rPr>
          <w:rFonts w:ascii="Book Antiqua" w:eastAsia="Times New Roman" w:hAnsi="Book Antiqua" w:cs="Arial"/>
          <w:color w:val="000000"/>
          <w:sz w:val="19"/>
          <w:szCs w:val="19"/>
          <w:lang w:eastAsia="pt-BR"/>
        </w:rPr>
        <w:t>matriciamento</w:t>
      </w:r>
      <w:proofErr w:type="spellEnd"/>
      <w:r w:rsidRPr="0033145B">
        <w:rPr>
          <w:rFonts w:ascii="Book Antiqua" w:eastAsia="Times New Roman" w:hAnsi="Book Antiqua" w:cs="Arial"/>
          <w:color w:val="000000"/>
          <w:sz w:val="19"/>
          <w:szCs w:val="19"/>
          <w:lang w:eastAsia="pt-BR"/>
        </w:rPr>
        <w:t xml:space="preserve"> das ações de saúde mental junto às equipes da saúde e do socioeducativo.</w:t>
      </w:r>
    </w:p>
    <w:p w14:paraId="577FFEF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Por </w:t>
      </w:r>
      <w:proofErr w:type="spellStart"/>
      <w:r w:rsidRPr="0033145B">
        <w:rPr>
          <w:rFonts w:ascii="Book Antiqua" w:eastAsia="Times New Roman" w:hAnsi="Book Antiqua" w:cs="Arial"/>
          <w:color w:val="000000"/>
          <w:sz w:val="19"/>
          <w:szCs w:val="19"/>
          <w:lang w:eastAsia="pt-BR"/>
        </w:rPr>
        <w:t>matriciamento</w:t>
      </w:r>
      <w:proofErr w:type="spellEnd"/>
      <w:r w:rsidRPr="0033145B">
        <w:rPr>
          <w:rFonts w:ascii="Book Antiqua" w:eastAsia="Times New Roman" w:hAnsi="Book Antiqua" w:cs="Arial"/>
          <w:color w:val="000000"/>
          <w:sz w:val="19"/>
          <w:szCs w:val="19"/>
          <w:lang w:eastAsia="pt-BR"/>
        </w:rPr>
        <w:t xml:space="preserve"> entende-se: i) discussão de casos </w:t>
      </w:r>
      <w:proofErr w:type="spellStart"/>
      <w:r w:rsidRPr="0033145B">
        <w:rPr>
          <w:rFonts w:ascii="Book Antiqua" w:eastAsia="Times New Roman" w:hAnsi="Book Antiqua" w:cs="Arial"/>
          <w:color w:val="000000"/>
          <w:sz w:val="19"/>
          <w:szCs w:val="19"/>
          <w:lang w:eastAsia="pt-BR"/>
        </w:rPr>
        <w:t>clínicos;ii</w:t>
      </w:r>
      <w:proofErr w:type="spellEnd"/>
      <w:r w:rsidRPr="0033145B">
        <w:rPr>
          <w:rFonts w:ascii="Book Antiqua" w:eastAsia="Times New Roman" w:hAnsi="Book Antiqua" w:cs="Arial"/>
          <w:color w:val="000000"/>
          <w:sz w:val="19"/>
          <w:szCs w:val="19"/>
          <w:lang w:eastAsia="pt-BR"/>
        </w:rPr>
        <w:t xml:space="preserve">) participação na elaboração do Projeto Terapêutico Singular, integrado ao PIA; </w:t>
      </w:r>
      <w:proofErr w:type="spellStart"/>
      <w:r w:rsidRPr="0033145B">
        <w:rPr>
          <w:rFonts w:ascii="Book Antiqua" w:eastAsia="Times New Roman" w:hAnsi="Book Antiqua" w:cs="Arial"/>
          <w:color w:val="000000"/>
          <w:sz w:val="19"/>
          <w:szCs w:val="19"/>
          <w:lang w:eastAsia="pt-BR"/>
        </w:rPr>
        <w:t>iii</w:t>
      </w:r>
      <w:proofErr w:type="spellEnd"/>
      <w:r w:rsidRPr="0033145B">
        <w:rPr>
          <w:rFonts w:ascii="Book Antiqua" w:eastAsia="Times New Roman" w:hAnsi="Book Antiqua" w:cs="Arial"/>
          <w:color w:val="000000"/>
          <w:sz w:val="19"/>
          <w:szCs w:val="19"/>
          <w:lang w:eastAsia="pt-BR"/>
        </w:rPr>
        <w:t xml:space="preserve">) atendimento psicossocial conjunto com outros profissionais da unidade socioeducativa e da rede intersetorial; </w:t>
      </w:r>
      <w:proofErr w:type="spellStart"/>
      <w:r w:rsidRPr="0033145B">
        <w:rPr>
          <w:rFonts w:ascii="Book Antiqua" w:eastAsia="Times New Roman" w:hAnsi="Book Antiqua" w:cs="Arial"/>
          <w:color w:val="000000"/>
          <w:sz w:val="19"/>
          <w:szCs w:val="19"/>
          <w:lang w:eastAsia="pt-BR"/>
        </w:rPr>
        <w:t>iv</w:t>
      </w:r>
      <w:proofErr w:type="spellEnd"/>
      <w:r w:rsidRPr="0033145B">
        <w:rPr>
          <w:rFonts w:ascii="Book Antiqua" w:eastAsia="Times New Roman" w:hAnsi="Book Antiqua" w:cs="Arial"/>
          <w:color w:val="000000"/>
          <w:sz w:val="19"/>
          <w:szCs w:val="19"/>
          <w:lang w:eastAsia="pt-BR"/>
        </w:rPr>
        <w:t>) colaboração nas intervenções terapêuticas da equipe de Atenção Básica de referência e de outros serviços de saúde necessários; v) agenciamento dos casos de saúde mental na rede, de modo a garantir a atenção integral à saúde; vi) realização de visitas domiciliares conjuntas.</w:t>
      </w:r>
    </w:p>
    <w:p w14:paraId="6464A8A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São atribuições dos profissionais de saúde mental e da equipe de saúde:</w:t>
      </w:r>
    </w:p>
    <w:p w14:paraId="04A83DC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1) Realização de análise da situação de saúde mental da população socioeducativa para o planejamento das intervenções;</w:t>
      </w:r>
    </w:p>
    <w:p w14:paraId="4557E7D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2) Articulação das redes de saúde e intersetorial disponíveis no território para atenção à saúde mental dos adolescentes;</w:t>
      </w:r>
    </w:p>
    <w:p w14:paraId="586530E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3) Avaliação psicossocial dos adolescentes com indícios de transtorno mental e/ou agenciamento dos casos que dela necessitem na Rede de Atenção à Saúde;</w:t>
      </w:r>
    </w:p>
    <w:p w14:paraId="3D1261B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4) Elaboração de estratégias de intervenção em saúde mental, em conjunto com a equipe de saúde responsável e a equipe do socioeducativo, a partir das demandas mais prevalentes;</w:t>
      </w:r>
    </w:p>
    <w:p w14:paraId="053C7C9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5) Desenvolvimento de ações e articulação com a rede para atenção à saúde e cuidados com as equipes que atendem às unidades socioeducativas;</w:t>
      </w:r>
    </w:p>
    <w:p w14:paraId="7C85243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6) Fomento a discussões sobre a medicalização dos problemas de saúde mental no sistema socioeducativo;</w:t>
      </w:r>
    </w:p>
    <w:p w14:paraId="1ACA5C7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7) Incentivo a intervenções e discussões sobre a dinâmica institucional para a produção de saúde mental no sistema socioeducativo;</w:t>
      </w:r>
    </w:p>
    <w:p w14:paraId="604B2ECE"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8) Contribuir nas discussões sobre a desinstitucionalização de adolescentes com transtornos mentais e/ou decorrentes do uso de álcool e outras drogas;</w:t>
      </w:r>
    </w:p>
    <w:p w14:paraId="3F4F774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9) Provisão de subsídios para o Plano Individual de Atendimento (PIA) do adolescente;</w:t>
      </w:r>
    </w:p>
    <w:p w14:paraId="66A045A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10) Promoção do seguimento do cuidado em saúde mental dos adolescentes após o cumprimento da medida socioeducativa.</w:t>
      </w:r>
    </w:p>
    <w:p w14:paraId="2D9CBD22"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ANEXO II</w:t>
      </w:r>
    </w:p>
    <w:p w14:paraId="7110944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PLANO OPERATIVO</w:t>
      </w:r>
    </w:p>
    <w:p w14:paraId="2416045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O Plano Operativo tem por objetivo estabelecer diretrizes para a implantação e implementação de ações de saúde que incorporem os componentes da Atenção Básica, média e alta complexidade com </w:t>
      </w:r>
      <w:r w:rsidRPr="0033145B">
        <w:rPr>
          <w:rFonts w:ascii="Book Antiqua" w:eastAsia="Times New Roman" w:hAnsi="Book Antiqua" w:cs="Arial"/>
          <w:color w:val="000000"/>
          <w:sz w:val="19"/>
          <w:szCs w:val="19"/>
          <w:lang w:eastAsia="pt-BR"/>
        </w:rPr>
        <w:lastRenderedPageBreak/>
        <w:t>vistas a promover, proteger e recuperar a saúde da população adolescente em regime de internação e internação provisória. Descreve as atribuições e compromissos entre as esferas municipal e estadual de saúde e da gestão do sistema socioeducativo estadual na provisão dos cuidados em saúde dos adolescentes.</w:t>
      </w:r>
    </w:p>
    <w:p w14:paraId="7BB2858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O Plano Operativo integra e é parte complementar dos Planos de Atendimento Socioeducativo e, portanto, deve estar de acordo com as proposições neles inscritas. Tem prazo de 4 (quatro) anos, devendo, ao final deste período ser reapresentado nas instâncias previstas no Art. 16, III desta Portaria. Posto isso, deve conter:</w:t>
      </w:r>
    </w:p>
    <w:p w14:paraId="0ABA78A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1. Apresentação</w:t>
      </w:r>
    </w:p>
    <w:p w14:paraId="2EB326B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Contextualização dos sistemas socioeducativo e de saúde para atenção a adolescentes e jovens no Município/Estado;</w:t>
      </w:r>
    </w:p>
    <w:p w14:paraId="29DFF22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Deve conter a média anual de adolescentes internados por unidade socioeducativa do Município/Estado;</w:t>
      </w:r>
    </w:p>
    <w:p w14:paraId="0F58745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do Grupo de Trabalho intersetorial responsável pela elaboração do Plano Operativo.</w:t>
      </w:r>
    </w:p>
    <w:p w14:paraId="4F7408B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2. Diagnóstico da situação de saúde dos adolescentes em situação de privação de liberdade</w:t>
      </w:r>
    </w:p>
    <w:p w14:paraId="317F4FE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Informações gerais sobre as condições de saúde da população adolescente em situação de privação de liberdade socioeducativa, com indicação dos principais agravos encontrados;</w:t>
      </w:r>
    </w:p>
    <w:p w14:paraId="7C28978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Diagnóstico sobre as condições sanitárias, de saneamento e outras estruturais que afetam a salubridade na unidade socioeducativa;</w:t>
      </w:r>
    </w:p>
    <w:p w14:paraId="3C49C44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Informações sobre a organização do serviço de saúde, no âmbito físico, de processos e procedimentos com descrição dos ambientes disponíveis na Unidade socioeducativa, se houver.</w:t>
      </w:r>
    </w:p>
    <w:p w14:paraId="74FB8E1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3. Coordenação das Ações de Saúde:</w:t>
      </w:r>
    </w:p>
    <w:p w14:paraId="7187E2D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Descrição de como as Secretarias Municipal e Estadual de Saúde, em parceria com a Secretaria Gestora do Sistema Socioeducativo, irão coordenar o processo de implantação das diretrizes e de como pretendem gerir o Plano Operativo, com explicitação de competências e atribuições.</w:t>
      </w:r>
    </w:p>
    <w:p w14:paraId="05158EE6"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4. Equipe responsável pelo desenvolvimento das ações de saúde em cada unidade socioeducativa:</w:t>
      </w:r>
    </w:p>
    <w:p w14:paraId="2717C3B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 Informações sobre a Rede de Atenção </w:t>
      </w:r>
      <w:proofErr w:type="spellStart"/>
      <w:r w:rsidRPr="0033145B">
        <w:rPr>
          <w:rFonts w:ascii="Book Antiqua" w:eastAsia="Times New Roman" w:hAnsi="Book Antiqua" w:cs="Arial"/>
          <w:color w:val="000000"/>
          <w:sz w:val="19"/>
          <w:szCs w:val="19"/>
          <w:lang w:eastAsia="pt-BR"/>
        </w:rPr>
        <w:t>á</w:t>
      </w:r>
      <w:proofErr w:type="spellEnd"/>
      <w:r w:rsidRPr="0033145B">
        <w:rPr>
          <w:rFonts w:ascii="Book Antiqua" w:eastAsia="Times New Roman" w:hAnsi="Book Antiqua" w:cs="Arial"/>
          <w:color w:val="000000"/>
          <w:sz w:val="19"/>
          <w:szCs w:val="19"/>
          <w:lang w:eastAsia="pt-BR"/>
        </w:rPr>
        <w:t xml:space="preserve"> Saúde disponível no território;</w:t>
      </w:r>
    </w:p>
    <w:p w14:paraId="55BC9CE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do número do Cadastro Nacional de Estabelecimentos de Saúde - CNES referente à equipe de Atenção Básica ou Equipe de Saúde da Família, com Equipe de Saúde Bucal, de referência em saúde para cada unidade socioeducativa do município;</w:t>
      </w:r>
    </w:p>
    <w:p w14:paraId="3FDCE83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Para o caso da equipe responsável ser do socioeducativo (atuação dentro das unidades): informações sobre a composição, carga horária e órgão responsável pelo contrato da equipe de saúde responsável pelo desenvolvimento do Plano de Ação nas unidades socioeducativas do município;</w:t>
      </w:r>
    </w:p>
    <w:p w14:paraId="18C5880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do(s) profissional(</w:t>
      </w:r>
      <w:proofErr w:type="spellStart"/>
      <w:r w:rsidRPr="0033145B">
        <w:rPr>
          <w:rFonts w:ascii="Book Antiqua" w:eastAsia="Times New Roman" w:hAnsi="Book Antiqua" w:cs="Arial"/>
          <w:color w:val="000000"/>
          <w:sz w:val="19"/>
          <w:szCs w:val="19"/>
          <w:lang w:eastAsia="pt-BR"/>
        </w:rPr>
        <w:t>is</w:t>
      </w:r>
      <w:proofErr w:type="spellEnd"/>
      <w:r w:rsidRPr="0033145B">
        <w:rPr>
          <w:rFonts w:ascii="Book Antiqua" w:eastAsia="Times New Roman" w:hAnsi="Book Antiqua" w:cs="Arial"/>
          <w:color w:val="000000"/>
          <w:sz w:val="19"/>
          <w:szCs w:val="19"/>
          <w:lang w:eastAsia="pt-BR"/>
        </w:rPr>
        <w:t>) de Saúde Mental que comporá(</w:t>
      </w:r>
      <w:proofErr w:type="spellStart"/>
      <w:r w:rsidRPr="0033145B">
        <w:rPr>
          <w:rFonts w:ascii="Book Antiqua" w:eastAsia="Times New Roman" w:hAnsi="Book Antiqua" w:cs="Arial"/>
          <w:color w:val="000000"/>
          <w:sz w:val="19"/>
          <w:szCs w:val="19"/>
          <w:lang w:eastAsia="pt-BR"/>
        </w:rPr>
        <w:t>ão</w:t>
      </w:r>
      <w:proofErr w:type="spellEnd"/>
      <w:r w:rsidRPr="0033145B">
        <w:rPr>
          <w:rFonts w:ascii="Book Antiqua" w:eastAsia="Times New Roman" w:hAnsi="Book Antiqua" w:cs="Arial"/>
          <w:color w:val="000000"/>
          <w:sz w:val="19"/>
          <w:szCs w:val="19"/>
          <w:lang w:eastAsia="pt-BR"/>
        </w:rPr>
        <w:t>) a equipe de saúde de referência, com a(s) respectiva(s) carga horária.</w:t>
      </w:r>
    </w:p>
    <w:p w14:paraId="6D01678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dos números do Cadastro Nacional de Estabelecimentos de Saúde - CNES referentes à unidade socioeducativa que possuir estabelecimento de saúde (código 109).</w:t>
      </w:r>
    </w:p>
    <w:p w14:paraId="69ECF20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do número atual de profissionais de saúde existentes em cada unidade socioeducativa.</w:t>
      </w:r>
    </w:p>
    <w:p w14:paraId="420E67B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 xml:space="preserve">5. Fluxo e </w:t>
      </w:r>
      <w:proofErr w:type="spellStart"/>
      <w:r w:rsidRPr="0033145B">
        <w:rPr>
          <w:rFonts w:ascii="Book Antiqua" w:eastAsia="Times New Roman" w:hAnsi="Book Antiqua" w:cs="Arial"/>
          <w:color w:val="000000"/>
          <w:sz w:val="19"/>
          <w:szCs w:val="19"/>
          <w:lang w:eastAsia="pt-BR"/>
        </w:rPr>
        <w:t>contra-fluxo</w:t>
      </w:r>
      <w:proofErr w:type="spellEnd"/>
      <w:r w:rsidRPr="0033145B">
        <w:rPr>
          <w:rFonts w:ascii="Book Antiqua" w:eastAsia="Times New Roman" w:hAnsi="Book Antiqua" w:cs="Arial"/>
          <w:color w:val="000000"/>
          <w:sz w:val="19"/>
          <w:szCs w:val="19"/>
          <w:lang w:eastAsia="pt-BR"/>
        </w:rPr>
        <w:t xml:space="preserve"> do cuidado com adolescentes nos pontos de atenção à saúde</w:t>
      </w:r>
    </w:p>
    <w:p w14:paraId="3DAE8C0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dos serviços de Atenção Básica, média e alta complexidade que serão referências para a atenção integral aos adolescentes de cada unidade socioeducativa, respeitadas as pactuações de articulação e conectividade da Rede de Atenção à Saúde;</w:t>
      </w:r>
    </w:p>
    <w:p w14:paraId="6C3F0EF5"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 Indicação da organização de fluxos e </w:t>
      </w:r>
      <w:proofErr w:type="spellStart"/>
      <w:r w:rsidRPr="0033145B">
        <w:rPr>
          <w:rFonts w:ascii="Book Antiqua" w:eastAsia="Times New Roman" w:hAnsi="Book Antiqua" w:cs="Arial"/>
          <w:color w:val="000000"/>
          <w:sz w:val="19"/>
          <w:szCs w:val="19"/>
          <w:lang w:eastAsia="pt-BR"/>
        </w:rPr>
        <w:t>contra-fluxos</w:t>
      </w:r>
      <w:proofErr w:type="spellEnd"/>
      <w:r w:rsidRPr="0033145B">
        <w:rPr>
          <w:rFonts w:ascii="Book Antiqua" w:eastAsia="Times New Roman" w:hAnsi="Book Antiqua" w:cs="Arial"/>
          <w:color w:val="000000"/>
          <w:sz w:val="19"/>
          <w:szCs w:val="19"/>
          <w:lang w:eastAsia="pt-BR"/>
        </w:rPr>
        <w:t xml:space="preserve"> dos usuários pelos diversos pontos de atenção à saúde, no sistema de serviços de saúde;</w:t>
      </w:r>
    </w:p>
    <w:p w14:paraId="4A2DB71A"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de fluxos e compromissos intersetoriais para atenção à saúde mental de adolescentes;</w:t>
      </w:r>
    </w:p>
    <w:p w14:paraId="56D6421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Quando necessário, podem ser considerados os serviços de saúde de referência da Região de Saúde pactuada por estados e municípios.</w:t>
      </w:r>
    </w:p>
    <w:p w14:paraId="74B1C6B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6. Assistência Farmacêutica e Insumos</w:t>
      </w:r>
    </w:p>
    <w:p w14:paraId="632239D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Estabelecimento dos fluxos de abastecimento de medicamentos e insumos destinados à atenção à saúde de adolescentes em situação de privação de liberdade. Programação para recebimento dos materiais;</w:t>
      </w:r>
    </w:p>
    <w:p w14:paraId="3310FC3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de responsabilidades e compromissos entre as esferas federativas para o suprimento das necessidades farmacêuticas;</w:t>
      </w:r>
    </w:p>
    <w:p w14:paraId="2DA7A18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Fluxo para dispensação e administração de medicamentos.</w:t>
      </w:r>
    </w:p>
    <w:p w14:paraId="12ED1EC0"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7. Parcerias governamentais e não-governamentais previstas: </w:t>
      </w:r>
    </w:p>
    <w:p w14:paraId="2DC169A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Apresentação das parcerias já existentes e as necessárias/fundamentais para a atenção à saúde integral de adolescentes em situação de privação de liberdade constantes no Plano de Ação, com as respectivas atribuições acordadas.</w:t>
      </w:r>
    </w:p>
    <w:p w14:paraId="6FFE93C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8. Financiamento:</w:t>
      </w:r>
    </w:p>
    <w:p w14:paraId="1477A23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Explicitação das participações de cada uma das Secretarias envolvidas e de outras instituições parceiras no financiamento para a realização do Plano de Ação e implementação das diretrizes: 9. Acompanhamento e Avaliação do Plano Operativo</w:t>
      </w:r>
    </w:p>
    <w:p w14:paraId="4C96F3E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Descrição de como a Secretarias Municipais e Estaduais de Saúde, bem como as secretarias gestoras do sistema socioeducativo - por meio do grupo gestor - farão o acompanhamento e avaliação da atenção à saúde dos adolescentes;</w:t>
      </w:r>
    </w:p>
    <w:p w14:paraId="5618535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dos responsáveis pela coleta de informações e envio de dados consolidados, de acordo com o monitoramento proposto;</w:t>
      </w:r>
    </w:p>
    <w:p w14:paraId="7E4209B1"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Indicação de como os Conselhos de Direitos da Criança e do Adolescente e os Conselhos de Saúde acompanharão a implementação do Plano Operativo.</w:t>
      </w:r>
    </w:p>
    <w:p w14:paraId="467ACA61" w14:textId="77777777" w:rsidR="00B74E7F" w:rsidRPr="0033145B" w:rsidRDefault="00B74E7F" w:rsidP="00B74E7F">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ANEXO III</w:t>
      </w:r>
    </w:p>
    <w:p w14:paraId="6FB2C77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PLANO DE AÇÃO</w:t>
      </w:r>
    </w:p>
    <w:p w14:paraId="389B5DC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O Plano de Ação Anual deve conter os compromissos firmados anualmente entre gestores da saúde, do socioeducativo e equipe de referência em saúde para atenção aos adolescentes em regime de internação e internação provisória. As ações de saúde e as metas físicas previstas no Plano de Ação Anual deverão ser atualizadas segundo necessidades em saúde da população socioeducativa.</w:t>
      </w:r>
    </w:p>
    <w:p w14:paraId="3B6A4A3B"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lastRenderedPageBreak/>
        <w:t>Cada Município onde se localiza a Unidade Socioeducativa de Internação, Internação Provisória e/ou Semiliberdade deve elaborar e desenvolver um Plano de Ação anual.</w:t>
      </w:r>
    </w:p>
    <w:p w14:paraId="77AE7B38"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O planejamento anual deve ter a participação, sempre que possível, das equipes responsáveis pela atenção à saúde dos adolescentes.</w:t>
      </w:r>
    </w:p>
    <w:p w14:paraId="7BB9FF9D"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Modelo de Plano de Ação</w:t>
      </w:r>
    </w:p>
    <w:p w14:paraId="29901602"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 Identificação do Município;</w:t>
      </w:r>
    </w:p>
    <w:p w14:paraId="17A91AD4"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 Identificação das Unidades Socioeducativas (USE):</w:t>
      </w:r>
    </w:p>
    <w:p w14:paraId="4D76F129"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a) nome das USE;</w:t>
      </w:r>
    </w:p>
    <w:p w14:paraId="670E89EF"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b) média de adolescentes atendidos no último ano</w:t>
      </w:r>
    </w:p>
    <w:p w14:paraId="33CE8013"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c) Indicação das equipes responsáveis pelo desenvolvimento das ações de saúde (equipe de atenção básica - incluindo os profissionais de saúde mental - e equipe de saúde da USE, quando houver) em cada USE do município, com o respectivo número do CNES;</w:t>
      </w:r>
    </w:p>
    <w:p w14:paraId="1414221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III) Indicação dos principais agravos de saúde dos adolescentes no ano anterior: diagnóstico situacional de saúde;</w:t>
      </w:r>
    </w:p>
    <w:p w14:paraId="636D5167"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IV) Indicação das ações a serem desenvolvidas em todas as unidades:</w:t>
      </w:r>
    </w:p>
    <w:tbl>
      <w:tblPr>
        <w:tblW w:w="10410" w:type="dxa"/>
        <w:jc w:val="center"/>
        <w:tblCellMar>
          <w:top w:w="20" w:type="dxa"/>
          <w:left w:w="20" w:type="dxa"/>
          <w:bottom w:w="20" w:type="dxa"/>
          <w:right w:w="20" w:type="dxa"/>
        </w:tblCellMar>
        <w:tblLook w:val="04A0" w:firstRow="1" w:lastRow="0" w:firstColumn="1" w:lastColumn="0" w:noHBand="0" w:noVBand="1"/>
      </w:tblPr>
      <w:tblGrid>
        <w:gridCol w:w="315"/>
        <w:gridCol w:w="7848"/>
        <w:gridCol w:w="539"/>
        <w:gridCol w:w="525"/>
        <w:gridCol w:w="1183"/>
      </w:tblGrid>
      <w:tr w:rsidR="00B74E7F" w:rsidRPr="0033145B" w14:paraId="77476435" w14:textId="77777777" w:rsidTr="00B74E7F">
        <w:trPr>
          <w:jc w:val="center"/>
        </w:trPr>
        <w:tc>
          <w:tcPr>
            <w:tcW w:w="315"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D8D653" w14:textId="77777777" w:rsidR="00B74E7F" w:rsidRPr="0033145B" w:rsidRDefault="00B74E7F" w:rsidP="00B74E7F">
            <w:pPr>
              <w:spacing w:after="0" w:line="240" w:lineRule="auto"/>
              <w:rPr>
                <w:rFonts w:ascii="Book Antiqua" w:eastAsia="Times New Roman" w:hAnsi="Book Antiqua" w:cs="Times New Roman"/>
                <w:sz w:val="19"/>
                <w:szCs w:val="19"/>
                <w:lang w:eastAsia="pt-BR"/>
              </w:rPr>
            </w:pPr>
          </w:p>
        </w:tc>
        <w:tc>
          <w:tcPr>
            <w:tcW w:w="7365"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A31C4C"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Linhas de Ação </w:t>
            </w:r>
          </w:p>
        </w:tc>
        <w:tc>
          <w:tcPr>
            <w:tcW w:w="5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816A0C"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Ação </w:t>
            </w:r>
          </w:p>
        </w:tc>
        <w:tc>
          <w:tcPr>
            <w:tcW w:w="525"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CE316A"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Meta </w:t>
            </w:r>
          </w:p>
        </w:tc>
        <w:tc>
          <w:tcPr>
            <w:tcW w:w="1185"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4A8E70"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Responsável </w:t>
            </w:r>
          </w:p>
        </w:tc>
      </w:tr>
      <w:tr w:rsidR="00B74E7F" w:rsidRPr="0033145B" w14:paraId="058734AA" w14:textId="77777777" w:rsidTr="00B74E7F">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DC3979"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A)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957FF2"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Acompanhamento do crescimento e desenvolvimento físico e psicossocial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95A281B"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C14856"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00CB62"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r>
      <w:tr w:rsidR="00B74E7F" w:rsidRPr="0033145B" w14:paraId="6233C281" w14:textId="77777777" w:rsidTr="00B74E7F">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FC0ADE"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B)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39A777"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Saúde Sexual e Saúde Reprodutivos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DA3847"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ADD08A"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9260252"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r>
      <w:tr w:rsidR="00B74E7F" w:rsidRPr="0033145B" w14:paraId="4F901542" w14:textId="77777777" w:rsidTr="00B74E7F">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B9A9F9"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C)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BBAB0DD"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Saúde bucal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1FEE6B"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0A5A6E"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3C2CD0"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r>
      <w:tr w:rsidR="00B74E7F" w:rsidRPr="0033145B" w14:paraId="2904C43D" w14:textId="77777777" w:rsidTr="00B74E7F">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8C5BD1"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D)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AB4EC5"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Saúde mental e prevenção ao uso de álcool e outras drogas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F9C058"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A54D592"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922791"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r>
      <w:tr w:rsidR="00B74E7F" w:rsidRPr="0033145B" w14:paraId="029445DF" w14:textId="77777777" w:rsidTr="00B74E7F">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E9147A"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E)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C36EA1"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Prevenção e Controle de agravos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77D5F4"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57C5B6"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48A950"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r>
      <w:tr w:rsidR="00B74E7F" w:rsidRPr="0033145B" w14:paraId="7C83A302" w14:textId="77777777" w:rsidTr="00B74E7F">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D492D65"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F)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B5F23B5"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Educação em Saúde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E9A113"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D527A6"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5EEBAA"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r>
      <w:tr w:rsidR="00B74E7F" w:rsidRPr="0033145B" w14:paraId="743B2B94" w14:textId="77777777" w:rsidTr="00B74E7F">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118427" w14:textId="77777777" w:rsidR="00B74E7F" w:rsidRPr="0033145B" w:rsidRDefault="00B74E7F" w:rsidP="00B74E7F">
            <w:pPr>
              <w:spacing w:after="0" w:line="240" w:lineRule="auto"/>
              <w:jc w:val="center"/>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G)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07B2E4"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Direitos Humanos, Promoção da Cultura de Paz, prevenção de violências e assistência a vítimas </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66D627" w14:textId="77777777" w:rsidR="00B74E7F" w:rsidRPr="0033145B" w:rsidRDefault="00B74E7F" w:rsidP="00B74E7F">
            <w:pPr>
              <w:spacing w:after="0" w:line="240" w:lineRule="auto"/>
              <w:rPr>
                <w:rFonts w:ascii="Book Antiqua" w:eastAsia="Times New Roman" w:hAnsi="Book Antiqua" w:cs="Arial"/>
                <w:color w:val="000000"/>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3283CA"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F6AC42" w14:textId="77777777" w:rsidR="00B74E7F" w:rsidRPr="0033145B" w:rsidRDefault="00B74E7F" w:rsidP="00B74E7F">
            <w:pPr>
              <w:spacing w:after="0" w:line="240" w:lineRule="auto"/>
              <w:jc w:val="center"/>
              <w:rPr>
                <w:rFonts w:ascii="Book Antiqua" w:eastAsia="Times New Roman" w:hAnsi="Book Antiqua" w:cs="Times New Roman"/>
                <w:sz w:val="19"/>
                <w:szCs w:val="19"/>
                <w:lang w:eastAsia="pt-BR"/>
              </w:rPr>
            </w:pPr>
          </w:p>
        </w:tc>
      </w:tr>
    </w:tbl>
    <w:p w14:paraId="1D03B12C" w14:textId="77777777" w:rsidR="00B74E7F" w:rsidRPr="0033145B" w:rsidRDefault="00B74E7F" w:rsidP="00B74E7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3145B">
        <w:rPr>
          <w:rFonts w:ascii="Book Antiqua" w:eastAsia="Times New Roman" w:hAnsi="Book Antiqua" w:cs="Arial"/>
          <w:color w:val="000000"/>
          <w:sz w:val="19"/>
          <w:szCs w:val="19"/>
          <w:lang w:eastAsia="pt-BR"/>
        </w:rPr>
        <w:t xml:space="preserve">V - Assinatura pelo gestor municipal/estadual de saúde e gestor do sistema socioeducativo. </w:t>
      </w:r>
    </w:p>
    <w:p w14:paraId="31B0A7BF" w14:textId="77777777" w:rsidR="00B74E7F" w:rsidRPr="0033145B" w:rsidRDefault="00A12339" w:rsidP="00B74E7F">
      <w:pPr>
        <w:spacing w:line="240" w:lineRule="auto"/>
        <w:jc w:val="center"/>
        <w:rPr>
          <w:rFonts w:ascii="Book Antiqua" w:eastAsia="Times New Roman" w:hAnsi="Book Antiqua" w:cs="Times New Roman"/>
          <w:b/>
          <w:bCs/>
          <w:color w:val="003366"/>
          <w:sz w:val="19"/>
          <w:szCs w:val="19"/>
          <w:lang w:eastAsia="pt-BR"/>
        </w:rPr>
      </w:pPr>
      <w:hyperlink r:id="rId8" w:tgtFrame="_blank" w:tooltip="ir para página do Saúde Legis" w:history="1">
        <w:r w:rsidR="00B74E7F" w:rsidRPr="0033145B">
          <w:rPr>
            <w:rFonts w:ascii="Book Antiqua" w:eastAsia="Times New Roman" w:hAnsi="Book Antiqua" w:cs="Times New Roman"/>
            <w:b/>
            <w:bCs/>
            <w:color w:val="003366"/>
            <w:sz w:val="19"/>
            <w:szCs w:val="19"/>
            <w:lang w:eastAsia="pt-BR"/>
          </w:rPr>
          <w:t>Saúde Legis - Sistema de Legislação da Saúde</w:t>
        </w:r>
      </w:hyperlink>
      <w:r w:rsidR="00B74E7F" w:rsidRPr="0033145B">
        <w:rPr>
          <w:rFonts w:ascii="Book Antiqua" w:eastAsia="Times New Roman" w:hAnsi="Book Antiqua" w:cs="Times New Roman"/>
          <w:b/>
          <w:bCs/>
          <w:color w:val="003366"/>
          <w:sz w:val="19"/>
          <w:szCs w:val="19"/>
          <w:lang w:eastAsia="pt-BR"/>
        </w:rPr>
        <w:t xml:space="preserve"> </w:t>
      </w:r>
    </w:p>
    <w:p w14:paraId="231E7A01" w14:textId="77777777" w:rsidR="003A7091" w:rsidRPr="00B74E7F" w:rsidRDefault="003A7091">
      <w:pPr>
        <w:rPr>
          <w:rFonts w:ascii="Book Antiqua" w:hAnsi="Book Antiqua"/>
          <w:sz w:val="20"/>
          <w:szCs w:val="20"/>
        </w:rPr>
      </w:pPr>
    </w:p>
    <w:sectPr w:rsidR="003A7091" w:rsidRPr="00B74E7F" w:rsidSect="00B74E7F">
      <w:pgSz w:w="11906" w:h="16838"/>
      <w:pgMar w:top="1135"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77E16" w14:textId="77777777" w:rsidR="00A12339" w:rsidRDefault="00A12339" w:rsidP="0033145B">
      <w:pPr>
        <w:spacing w:after="0" w:line="240" w:lineRule="auto"/>
      </w:pPr>
      <w:r>
        <w:separator/>
      </w:r>
    </w:p>
  </w:endnote>
  <w:endnote w:type="continuationSeparator" w:id="0">
    <w:p w14:paraId="24035D59" w14:textId="77777777" w:rsidR="00A12339" w:rsidRDefault="00A12339" w:rsidP="00331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C0732" w14:textId="77777777" w:rsidR="00A12339" w:rsidRDefault="00A12339" w:rsidP="0033145B">
      <w:pPr>
        <w:spacing w:after="0" w:line="240" w:lineRule="auto"/>
      </w:pPr>
      <w:r>
        <w:separator/>
      </w:r>
    </w:p>
  </w:footnote>
  <w:footnote w:type="continuationSeparator" w:id="0">
    <w:p w14:paraId="6200EA7E" w14:textId="77777777" w:rsidR="00A12339" w:rsidRDefault="00A12339" w:rsidP="0033145B">
      <w:pPr>
        <w:spacing w:after="0" w:line="240" w:lineRule="auto"/>
      </w:pPr>
      <w:r>
        <w:continuationSeparator/>
      </w:r>
    </w:p>
  </w:footnote>
  <w:footnote w:id="1">
    <w:p w14:paraId="6A434E8C" w14:textId="179F25E5" w:rsidR="0033145B" w:rsidRPr="0033145B" w:rsidRDefault="0033145B" w:rsidP="0033145B">
      <w:pPr>
        <w:pStyle w:val="Textodenotaderodap"/>
        <w:jc w:val="both"/>
        <w:rPr>
          <w:rFonts w:ascii="Book Antiqua" w:hAnsi="Book Antiqua"/>
        </w:rPr>
      </w:pPr>
      <w:r w:rsidRPr="0033145B">
        <w:rPr>
          <w:rStyle w:val="Refdenotaderodap"/>
          <w:rFonts w:ascii="Book Antiqua" w:hAnsi="Book Antiqua"/>
          <w:sz w:val="18"/>
          <w:szCs w:val="18"/>
        </w:rPr>
        <w:footnoteRef/>
      </w:r>
      <w:r w:rsidRPr="0033145B">
        <w:rPr>
          <w:rFonts w:ascii="Book Antiqua" w:hAnsi="Book Antiqua"/>
          <w:sz w:val="18"/>
          <w:szCs w:val="18"/>
        </w:rPr>
        <w:t xml:space="preserve"> </w:t>
      </w:r>
      <w:r w:rsidRPr="0033145B">
        <w:rPr>
          <w:rFonts w:ascii="Book Antiqua" w:hAnsi="Book Antiqua"/>
          <w:sz w:val="18"/>
          <w:szCs w:val="18"/>
        </w:rPr>
        <w:t>Art. 2º Para fins do disposto nesta Portaria, consideram-se as seguintes definições:</w:t>
      </w:r>
      <w:r w:rsidRPr="0033145B">
        <w:rPr>
          <w:rFonts w:ascii="Book Antiqua" w:hAnsi="Book Antiqua"/>
          <w:sz w:val="18"/>
          <w:szCs w:val="18"/>
        </w:rPr>
        <w:t xml:space="preserve"> (...) </w:t>
      </w:r>
      <w:r w:rsidRPr="0033145B">
        <w:rPr>
          <w:rFonts w:ascii="Book Antiqua" w:hAnsi="Book Antiqua"/>
          <w:sz w:val="18"/>
          <w:szCs w:val="18"/>
        </w:rPr>
        <w:t xml:space="preserve">IV - </w:t>
      </w:r>
      <w:r w:rsidRPr="0033145B">
        <w:rPr>
          <w:rFonts w:ascii="Book Antiqua" w:hAnsi="Book Antiqua"/>
          <w:b/>
          <w:bCs/>
          <w:sz w:val="18"/>
          <w:szCs w:val="18"/>
          <w:shd w:val="clear" w:color="auto" w:fill="F7CAAC" w:themeFill="accent2" w:themeFillTint="66"/>
        </w:rPr>
        <w:t>Plano Operativo</w:t>
      </w:r>
      <w:r w:rsidRPr="0033145B">
        <w:rPr>
          <w:rFonts w:ascii="Book Antiqua" w:hAnsi="Book Antiqua"/>
          <w:sz w:val="18"/>
          <w:szCs w:val="18"/>
        </w:rPr>
        <w:t>: documento que tem por objetivo estabelecer diretrizes para a implantação e implementação de ações de saúde que incorporem os componentes da Atenção Básica, Média e Alta Complexidade com vistas a promover, proteger e recuperar a saúde da população adolescente em regime de internação, internação provisória e semiliberdade, descrevendo-se as atribuições e compromissos entre as esferas estadual e municipal de saúde e da gestão do sistema socioeducativo estadual na provisão dos cuidados em saúde dos adolescentes; e</w:t>
      </w:r>
      <w:r w:rsidRPr="0033145B">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91"/>
    <w:rsid w:val="00016F5A"/>
    <w:rsid w:val="0033145B"/>
    <w:rsid w:val="003A7091"/>
    <w:rsid w:val="00A12339"/>
    <w:rsid w:val="00A22102"/>
    <w:rsid w:val="00AC4AEC"/>
    <w:rsid w:val="00B74E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C748"/>
  <w15:chartTrackingRefBased/>
  <w15:docId w15:val="{05E96197-CD98-409D-A90B-C065352B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74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74E7F"/>
    <w:pPr>
      <w:ind w:left="720"/>
      <w:contextualSpacing/>
    </w:pPr>
  </w:style>
  <w:style w:type="paragraph" w:styleId="Textodenotaderodap">
    <w:name w:val="footnote text"/>
    <w:basedOn w:val="Normal"/>
    <w:link w:val="TextodenotaderodapChar"/>
    <w:uiPriority w:val="99"/>
    <w:semiHidden/>
    <w:unhideWhenUsed/>
    <w:rsid w:val="0033145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145B"/>
    <w:rPr>
      <w:sz w:val="20"/>
      <w:szCs w:val="20"/>
    </w:rPr>
  </w:style>
  <w:style w:type="character" w:styleId="Refdenotaderodap">
    <w:name w:val="footnote reference"/>
    <w:basedOn w:val="Fontepargpadro"/>
    <w:uiPriority w:val="99"/>
    <w:semiHidden/>
    <w:unhideWhenUsed/>
    <w:rsid w:val="003314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027767">
      <w:bodyDiv w:val="1"/>
      <w:marLeft w:val="150"/>
      <w:marRight w:val="150"/>
      <w:marTop w:val="150"/>
      <w:marBottom w:val="0"/>
      <w:divBdr>
        <w:top w:val="none" w:sz="0" w:space="0" w:color="auto"/>
        <w:left w:val="none" w:sz="0" w:space="0" w:color="auto"/>
        <w:bottom w:val="none" w:sz="0" w:space="0" w:color="auto"/>
        <w:right w:val="none" w:sz="0" w:space="0" w:color="auto"/>
      </w:divBdr>
      <w:divsChild>
        <w:div w:id="1751847608">
          <w:marLeft w:val="0"/>
          <w:marRight w:val="0"/>
          <w:marTop w:val="0"/>
          <w:marBottom w:val="0"/>
          <w:divBdr>
            <w:top w:val="none" w:sz="0" w:space="0" w:color="auto"/>
            <w:left w:val="none" w:sz="0" w:space="0" w:color="auto"/>
            <w:bottom w:val="none" w:sz="0" w:space="0" w:color="auto"/>
            <w:right w:val="none" w:sz="0" w:space="0" w:color="auto"/>
          </w:divBdr>
          <w:divsChild>
            <w:div w:id="1770000280">
              <w:marLeft w:val="0"/>
              <w:marRight w:val="0"/>
              <w:marTop w:val="0"/>
              <w:marBottom w:val="0"/>
              <w:divBdr>
                <w:top w:val="single" w:sz="6" w:space="2" w:color="666666"/>
                <w:left w:val="none" w:sz="0" w:space="0" w:color="auto"/>
                <w:bottom w:val="single" w:sz="6" w:space="2" w:color="666666"/>
                <w:right w:val="none" w:sz="0" w:space="0" w:color="auto"/>
              </w:divBdr>
            </w:div>
            <w:div w:id="1202282748">
              <w:marLeft w:val="0"/>
              <w:marRight w:val="0"/>
              <w:marTop w:val="150"/>
              <w:marBottom w:val="150"/>
              <w:divBdr>
                <w:top w:val="none" w:sz="0" w:space="0" w:color="auto"/>
                <w:left w:val="none" w:sz="0" w:space="0" w:color="auto"/>
                <w:bottom w:val="none" w:sz="0" w:space="0" w:color="auto"/>
                <w:right w:val="none" w:sz="0" w:space="0" w:color="auto"/>
              </w:divBdr>
            </w:div>
            <w:div w:id="938608026">
              <w:marLeft w:val="0"/>
              <w:marRight w:val="0"/>
              <w:marTop w:val="75"/>
              <w:marBottom w:val="300"/>
              <w:divBdr>
                <w:top w:val="none" w:sz="0" w:space="0" w:color="auto"/>
                <w:left w:val="none" w:sz="0" w:space="0" w:color="auto"/>
                <w:bottom w:val="none" w:sz="0" w:space="0" w:color="auto"/>
                <w:right w:val="none" w:sz="0" w:space="0" w:color="auto"/>
              </w:divBdr>
            </w:div>
            <w:div w:id="1555040459">
              <w:marLeft w:val="0"/>
              <w:marRight w:val="0"/>
              <w:marTop w:val="750"/>
              <w:marBottom w:val="300"/>
              <w:divBdr>
                <w:top w:val="single" w:sz="6" w:space="4" w:color="666666"/>
                <w:left w:val="none" w:sz="0" w:space="0" w:color="auto"/>
                <w:bottom w:val="single" w:sz="6" w:space="4" w:color="666666"/>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ude.gov.br/saudelegi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EE9DA-6226-48BB-B953-2C1CE14B8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6582</Words>
  <Characters>35543</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2020-03-31T20:17:00Z</dcterms:created>
  <dcterms:modified xsi:type="dcterms:W3CDTF">2021-07-24T20:20:00Z</dcterms:modified>
</cp:coreProperties>
</file>