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7ED0B1" w14:textId="357771B1" w:rsidR="00C73B36" w:rsidRPr="00C73B36" w:rsidRDefault="00C73B36" w:rsidP="00C73B36">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C73B36">
        <w:rPr>
          <w:rFonts w:ascii="Book Antiqua" w:eastAsia="Times New Roman" w:hAnsi="Book Antiqua" w:cs="Times New Roman"/>
          <w:b/>
          <w:bCs/>
          <w:color w:val="FF0000"/>
          <w:kern w:val="0"/>
          <w:sz w:val="19"/>
          <w:szCs w:val="19"/>
          <w:lang w:eastAsia="pt-BR"/>
          <w14:ligatures w14:val="none"/>
        </w:rPr>
        <w:t xml:space="preserve">(Atualização em </w:t>
      </w:r>
      <w:r w:rsidR="00021FFF">
        <w:rPr>
          <w:rFonts w:ascii="Book Antiqua" w:eastAsia="Times New Roman" w:hAnsi="Book Antiqua" w:cs="Times New Roman"/>
          <w:b/>
          <w:bCs/>
          <w:color w:val="FF0000"/>
          <w:kern w:val="0"/>
          <w:sz w:val="19"/>
          <w:szCs w:val="19"/>
          <w:lang w:eastAsia="pt-BR"/>
          <w14:ligatures w14:val="none"/>
        </w:rPr>
        <w:t>3</w:t>
      </w:r>
      <w:r w:rsidRPr="00C73B36">
        <w:rPr>
          <w:rFonts w:ascii="Book Antiqua" w:eastAsia="Times New Roman" w:hAnsi="Book Antiqua" w:cs="Times New Roman"/>
          <w:b/>
          <w:bCs/>
          <w:color w:val="FF0000"/>
          <w:kern w:val="0"/>
          <w:sz w:val="19"/>
          <w:szCs w:val="19"/>
          <w:lang w:eastAsia="pt-BR"/>
          <w14:ligatures w14:val="none"/>
        </w:rPr>
        <w:t>1/03/2024: questões de concurso)</w:t>
      </w:r>
    </w:p>
    <w:p w14:paraId="33505D27" w14:textId="53F8EBE7" w:rsidR="00C73B36" w:rsidRPr="00C73B36" w:rsidRDefault="00C73B36" w:rsidP="00C73B36">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C73B36">
        <w:rPr>
          <w:rFonts w:ascii="Book Antiqua" w:eastAsia="Times New Roman" w:hAnsi="Book Antiqua" w:cs="Times New Roman"/>
          <w:noProof/>
          <w:color w:val="000000"/>
          <w:kern w:val="0"/>
          <w:sz w:val="19"/>
          <w:szCs w:val="19"/>
          <w:lang w:eastAsia="pt-BR"/>
          <w14:ligatures w14:val="none"/>
        </w:rPr>
        <w:drawing>
          <wp:inline distT="0" distB="0" distL="0" distR="0" wp14:anchorId="1B606ADF" wp14:editId="5CF0A19C">
            <wp:extent cx="549910" cy="578485"/>
            <wp:effectExtent l="0" t="0" r="254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9910" cy="578485"/>
                    </a:xfrm>
                    <a:prstGeom prst="rect">
                      <a:avLst/>
                    </a:prstGeom>
                    <a:noFill/>
                    <a:ln>
                      <a:noFill/>
                    </a:ln>
                  </pic:spPr>
                </pic:pic>
              </a:graphicData>
            </a:graphic>
          </wp:inline>
        </w:drawing>
      </w:r>
    </w:p>
    <w:p w14:paraId="2D126F8B" w14:textId="77777777" w:rsidR="00C73B36" w:rsidRPr="00C73B36" w:rsidRDefault="00C73B36" w:rsidP="00C73B36">
      <w:pPr>
        <w:spacing w:before="100" w:beforeAutospacing="1" w:after="100" w:afterAutospacing="1" w:line="240" w:lineRule="auto"/>
        <w:jc w:val="center"/>
        <w:rPr>
          <w:rFonts w:ascii="Book Antiqua" w:eastAsia="Times New Roman" w:hAnsi="Book Antiqua" w:cs="Times New Roman"/>
          <w:b/>
          <w:bCs/>
          <w:color w:val="003366"/>
          <w:kern w:val="0"/>
          <w:sz w:val="19"/>
          <w:szCs w:val="19"/>
          <w:lang w:eastAsia="pt-BR"/>
          <w14:ligatures w14:val="none"/>
        </w:rPr>
      </w:pPr>
      <w:proofErr w:type="spellStart"/>
      <w:r w:rsidRPr="00C73B36">
        <w:rPr>
          <w:rFonts w:ascii="Book Antiqua" w:eastAsia="Times New Roman" w:hAnsi="Book Antiqua" w:cs="Times New Roman"/>
          <w:b/>
          <w:bCs/>
          <w:color w:val="003366"/>
          <w:kern w:val="0"/>
          <w:sz w:val="19"/>
          <w:szCs w:val="19"/>
          <w:lang w:eastAsia="pt-BR"/>
          <w14:ligatures w14:val="none"/>
        </w:rPr>
        <w:t>Minist</w:t>
      </w:r>
      <w:r w:rsidRPr="00C73B36">
        <w:rPr>
          <w:rFonts w:ascii="Tahoma" w:eastAsia="Times New Roman" w:hAnsi="Tahoma" w:cs="Tahoma"/>
          <w:b/>
          <w:bCs/>
          <w:color w:val="003366"/>
          <w:kern w:val="0"/>
          <w:sz w:val="19"/>
          <w:szCs w:val="19"/>
          <w:lang w:eastAsia="pt-BR"/>
          <w14:ligatures w14:val="none"/>
        </w:rPr>
        <w:t>�</w:t>
      </w:r>
      <w:r w:rsidRPr="00C73B36">
        <w:rPr>
          <w:rFonts w:ascii="Book Antiqua" w:eastAsia="Times New Roman" w:hAnsi="Book Antiqua" w:cs="Times New Roman"/>
          <w:b/>
          <w:bCs/>
          <w:color w:val="003366"/>
          <w:kern w:val="0"/>
          <w:sz w:val="19"/>
          <w:szCs w:val="19"/>
          <w:lang w:eastAsia="pt-BR"/>
          <w14:ligatures w14:val="none"/>
        </w:rPr>
        <w:t>rio</w:t>
      </w:r>
      <w:proofErr w:type="spellEnd"/>
      <w:r w:rsidRPr="00C73B36">
        <w:rPr>
          <w:rFonts w:ascii="Book Antiqua" w:eastAsia="Times New Roman" w:hAnsi="Book Antiqua" w:cs="Times New Roman"/>
          <w:b/>
          <w:bCs/>
          <w:color w:val="003366"/>
          <w:kern w:val="0"/>
          <w:sz w:val="19"/>
          <w:szCs w:val="19"/>
          <w:lang w:eastAsia="pt-BR"/>
          <w14:ligatures w14:val="none"/>
        </w:rPr>
        <w:t xml:space="preserve"> da </w:t>
      </w:r>
      <w:proofErr w:type="spellStart"/>
      <w:r w:rsidRPr="00C73B36">
        <w:rPr>
          <w:rFonts w:ascii="Book Antiqua" w:eastAsia="Times New Roman" w:hAnsi="Book Antiqua" w:cs="Times New Roman"/>
          <w:b/>
          <w:bCs/>
          <w:color w:val="003366"/>
          <w:kern w:val="0"/>
          <w:sz w:val="19"/>
          <w:szCs w:val="19"/>
          <w:lang w:eastAsia="pt-BR"/>
          <w14:ligatures w14:val="none"/>
        </w:rPr>
        <w:t>Sa</w:t>
      </w:r>
      <w:r w:rsidRPr="00C73B36">
        <w:rPr>
          <w:rFonts w:ascii="Tahoma" w:eastAsia="Times New Roman" w:hAnsi="Tahoma" w:cs="Tahoma"/>
          <w:b/>
          <w:bCs/>
          <w:color w:val="003366"/>
          <w:kern w:val="0"/>
          <w:sz w:val="19"/>
          <w:szCs w:val="19"/>
          <w:lang w:eastAsia="pt-BR"/>
          <w14:ligatures w14:val="none"/>
        </w:rPr>
        <w:t>�</w:t>
      </w:r>
      <w:r w:rsidRPr="00C73B36">
        <w:rPr>
          <w:rFonts w:ascii="Book Antiqua" w:eastAsia="Times New Roman" w:hAnsi="Book Antiqua" w:cs="Times New Roman"/>
          <w:b/>
          <w:bCs/>
          <w:color w:val="003366"/>
          <w:kern w:val="0"/>
          <w:sz w:val="19"/>
          <w:szCs w:val="19"/>
          <w:lang w:eastAsia="pt-BR"/>
          <w14:ligatures w14:val="none"/>
        </w:rPr>
        <w:t>de</w:t>
      </w:r>
      <w:proofErr w:type="spellEnd"/>
      <w:r w:rsidRPr="00C73B36">
        <w:rPr>
          <w:rFonts w:ascii="Book Antiqua" w:eastAsia="Times New Roman" w:hAnsi="Book Antiqua" w:cs="Times New Roman"/>
          <w:b/>
          <w:bCs/>
          <w:color w:val="003366"/>
          <w:kern w:val="0"/>
          <w:sz w:val="19"/>
          <w:szCs w:val="19"/>
          <w:lang w:eastAsia="pt-BR"/>
          <w14:ligatures w14:val="none"/>
        </w:rPr>
        <w:br/>
        <w:t>Gabinete do Ministro</w:t>
      </w:r>
    </w:p>
    <w:p w14:paraId="374E0130" w14:textId="77777777" w:rsidR="00C73B36" w:rsidRPr="00C73B36" w:rsidRDefault="00C73B36" w:rsidP="00C73B36">
      <w:pPr>
        <w:spacing w:before="100" w:beforeAutospacing="1" w:after="100" w:afterAutospacing="1" w:line="240" w:lineRule="auto"/>
        <w:jc w:val="center"/>
        <w:outlineLvl w:val="0"/>
        <w:rPr>
          <w:rFonts w:ascii="Book Antiqua" w:eastAsia="Times New Roman" w:hAnsi="Book Antiqua" w:cs="Arial"/>
          <w:b/>
          <w:bCs/>
          <w:caps/>
          <w:color w:val="000000"/>
          <w:kern w:val="36"/>
          <w:sz w:val="19"/>
          <w:szCs w:val="19"/>
          <w:lang w:eastAsia="pt-BR"/>
          <w14:ligatures w14:val="none"/>
        </w:rPr>
      </w:pPr>
      <w:r w:rsidRPr="00C73B36">
        <w:rPr>
          <w:rFonts w:ascii="Book Antiqua" w:eastAsia="Times New Roman" w:hAnsi="Book Antiqua" w:cs="Arial"/>
          <w:b/>
          <w:bCs/>
          <w:caps/>
          <w:color w:val="000000"/>
          <w:kern w:val="36"/>
          <w:sz w:val="19"/>
          <w:szCs w:val="19"/>
          <w:lang w:eastAsia="pt-BR"/>
          <w14:ligatures w14:val="none"/>
        </w:rPr>
        <w:t>PORTARIA Nº 2.528 DE 19 DE OUTUBRO DE 2006</w:t>
      </w:r>
    </w:p>
    <w:p w14:paraId="4690522C" w14:textId="77777777" w:rsidR="00C73B36" w:rsidRPr="00C73B36" w:rsidRDefault="00C73B36" w:rsidP="00C73B36">
      <w:pPr>
        <w:spacing w:before="100" w:beforeAutospacing="1" w:after="100" w:afterAutospacing="1" w:line="240" w:lineRule="auto"/>
        <w:ind w:left="5850"/>
        <w:jc w:val="both"/>
        <w:rPr>
          <w:rFonts w:ascii="Book Antiqua" w:eastAsia="Times New Roman" w:hAnsi="Book Antiqua" w:cs="Arial"/>
          <w:b/>
          <w:bCs/>
          <w:i/>
          <w:iCs/>
          <w:color w:val="000000"/>
          <w:kern w:val="0"/>
          <w:sz w:val="19"/>
          <w:szCs w:val="19"/>
          <w:lang w:eastAsia="pt-BR"/>
          <w14:ligatures w14:val="none"/>
        </w:rPr>
      </w:pPr>
      <w:r w:rsidRPr="00C73B36">
        <w:rPr>
          <w:rFonts w:ascii="Book Antiqua" w:eastAsia="Times New Roman" w:hAnsi="Book Antiqua" w:cs="Arial"/>
          <w:b/>
          <w:bCs/>
          <w:i/>
          <w:iCs/>
          <w:color w:val="000000"/>
          <w:kern w:val="0"/>
          <w:sz w:val="19"/>
          <w:szCs w:val="19"/>
          <w:lang w:eastAsia="pt-BR"/>
          <w14:ligatures w14:val="none"/>
        </w:rPr>
        <w:t>Aprova a Política Nacional de Saúde da Pessoa Idosa.</w:t>
      </w:r>
    </w:p>
    <w:p w14:paraId="29AD439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O MINISTRO DE ESTADO DA SAÚDE, no uso de suas atribuições, e</w:t>
      </w:r>
    </w:p>
    <w:p w14:paraId="7707D1D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Considerando a necessidade de que o setor saúde disponha de uma política atualizada relacionada à saúde do idoso;</w:t>
      </w:r>
    </w:p>
    <w:p w14:paraId="020B512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Considerando a conclusão do processo de revisão e atualização do constante da Portaria n° 1.395/GM, de 10 de dezembro de 1999;</w:t>
      </w:r>
    </w:p>
    <w:p w14:paraId="0735D3E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Considerando a publicação da Portaria nº 399/GM, de 22 de fevereiro de 2006, que divulga o Pacto pela Saúde 2006 - Consolidação do SUS e aprova as Diretrizes Operacionais do referido Pacto; e</w:t>
      </w:r>
    </w:p>
    <w:p w14:paraId="370E693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Considerando a pactuação da Política na reunião da Comissão </w:t>
      </w:r>
      <w:proofErr w:type="spellStart"/>
      <w:r w:rsidRPr="00C73B36">
        <w:rPr>
          <w:rFonts w:ascii="Book Antiqua" w:eastAsia="Times New Roman" w:hAnsi="Book Antiqua" w:cs="Arial"/>
          <w:color w:val="000000"/>
          <w:kern w:val="0"/>
          <w:sz w:val="19"/>
          <w:szCs w:val="19"/>
          <w:lang w:eastAsia="pt-BR"/>
          <w14:ligatures w14:val="none"/>
        </w:rPr>
        <w:t>Intergestores</w:t>
      </w:r>
      <w:proofErr w:type="spellEnd"/>
      <w:r w:rsidRPr="00C73B36">
        <w:rPr>
          <w:rFonts w:ascii="Book Antiqua" w:eastAsia="Times New Roman" w:hAnsi="Book Antiqua" w:cs="Arial"/>
          <w:color w:val="000000"/>
          <w:kern w:val="0"/>
          <w:sz w:val="19"/>
          <w:szCs w:val="19"/>
          <w:lang w:eastAsia="pt-BR"/>
          <w14:ligatures w14:val="none"/>
        </w:rPr>
        <w:t xml:space="preserve"> Tripartite do dia 5 de outubro de 2006 e a aprovação da proposta da Política, pelo Conselho Nacional de Saúde, por meio do Memorando nº 500/SE/CNS/ 2006, resolve:</w:t>
      </w:r>
    </w:p>
    <w:p w14:paraId="3EE6FA8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Art. 1</w:t>
      </w:r>
      <w:proofErr w:type="gramStart"/>
      <w:r w:rsidRPr="00C73B36">
        <w:rPr>
          <w:rFonts w:ascii="Book Antiqua" w:eastAsia="Times New Roman" w:hAnsi="Book Antiqua" w:cs="Arial"/>
          <w:color w:val="000000"/>
          <w:kern w:val="0"/>
          <w:sz w:val="19"/>
          <w:szCs w:val="19"/>
          <w:lang w:eastAsia="pt-BR"/>
          <w14:ligatures w14:val="none"/>
        </w:rPr>
        <w:t>º  Aprovar</w:t>
      </w:r>
      <w:proofErr w:type="gramEnd"/>
      <w:r w:rsidRPr="00C73B36">
        <w:rPr>
          <w:rFonts w:ascii="Book Antiqua" w:eastAsia="Times New Roman" w:hAnsi="Book Antiqua" w:cs="Arial"/>
          <w:color w:val="000000"/>
          <w:kern w:val="0"/>
          <w:sz w:val="19"/>
          <w:szCs w:val="19"/>
          <w:lang w:eastAsia="pt-BR"/>
          <w14:ligatures w14:val="none"/>
        </w:rPr>
        <w:t xml:space="preserve"> a Política Nacional de Saúde da Pessoa Idosa, cujas disposições constam do Anexo a esta Portaria e dela são parte integrante.</w:t>
      </w:r>
    </w:p>
    <w:p w14:paraId="3E24CC6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Art. 2</w:t>
      </w:r>
      <w:proofErr w:type="gramStart"/>
      <w:r w:rsidRPr="00C73B36">
        <w:rPr>
          <w:rFonts w:ascii="Book Antiqua" w:eastAsia="Times New Roman" w:hAnsi="Book Antiqua" w:cs="Arial"/>
          <w:color w:val="000000"/>
          <w:kern w:val="0"/>
          <w:sz w:val="19"/>
          <w:szCs w:val="19"/>
          <w:lang w:eastAsia="pt-BR"/>
          <w14:ligatures w14:val="none"/>
        </w:rPr>
        <w:t>º  Determinar</w:t>
      </w:r>
      <w:proofErr w:type="gramEnd"/>
      <w:r w:rsidRPr="00C73B36">
        <w:rPr>
          <w:rFonts w:ascii="Book Antiqua" w:eastAsia="Times New Roman" w:hAnsi="Book Antiqua" w:cs="Arial"/>
          <w:color w:val="000000"/>
          <w:kern w:val="0"/>
          <w:sz w:val="19"/>
          <w:szCs w:val="19"/>
          <w:lang w:eastAsia="pt-BR"/>
          <w14:ligatures w14:val="none"/>
        </w:rPr>
        <w:t xml:space="preserve"> que os órgãos e entidades do Ministério da Saúde, cujas ações se relacionem com o tema objeto da Política ora aprovada, promovam a elaboração ou a readequação de seus programas, projetos e atividades em conformidade com as diretrizes e responsabilidades nela estabelecidas.</w:t>
      </w:r>
    </w:p>
    <w:p w14:paraId="24C2655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Art.3</w:t>
      </w:r>
      <w:proofErr w:type="gramStart"/>
      <w:r w:rsidRPr="00C73B36">
        <w:rPr>
          <w:rFonts w:ascii="Book Antiqua" w:eastAsia="Times New Roman" w:hAnsi="Book Antiqua" w:cs="Arial"/>
          <w:color w:val="000000"/>
          <w:kern w:val="0"/>
          <w:sz w:val="19"/>
          <w:szCs w:val="19"/>
          <w:lang w:eastAsia="pt-BR"/>
          <w14:ligatures w14:val="none"/>
        </w:rPr>
        <w:t>º  Fixar</w:t>
      </w:r>
      <w:proofErr w:type="gramEnd"/>
      <w:r w:rsidRPr="00C73B36">
        <w:rPr>
          <w:rFonts w:ascii="Book Antiqua" w:eastAsia="Times New Roman" w:hAnsi="Book Antiqua" w:cs="Arial"/>
          <w:color w:val="000000"/>
          <w:kern w:val="0"/>
          <w:sz w:val="19"/>
          <w:szCs w:val="19"/>
          <w:lang w:eastAsia="pt-BR"/>
          <w14:ligatures w14:val="none"/>
        </w:rPr>
        <w:t xml:space="preserve"> o prazo de 60 (sessenta) dias, a contar da data de publicação desta Portaria, para que o Ministério da Saúde adote as providências necessárias à revisão das Portarias nº 702/GM, de 12 de abril de 2002, e n° 249/SAS/MS, de 16 de abril de 2002, que criam os mecanismos de organização e implantação de Redes Estaduais de Assistência à Saúde do Idoso, compatibilizando-as com as diretrizes estabelecidas na Política Nacional de Saúde da Pessoa Idosa aprovada neste ato.</w:t>
      </w:r>
    </w:p>
    <w:p w14:paraId="50B6468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Art. 4</w:t>
      </w:r>
      <w:proofErr w:type="gramStart"/>
      <w:r w:rsidRPr="00C73B36">
        <w:rPr>
          <w:rFonts w:ascii="Book Antiqua" w:eastAsia="Times New Roman" w:hAnsi="Book Antiqua" w:cs="Arial"/>
          <w:color w:val="000000"/>
          <w:kern w:val="0"/>
          <w:sz w:val="19"/>
          <w:szCs w:val="19"/>
          <w:lang w:eastAsia="pt-BR"/>
          <w14:ligatures w14:val="none"/>
        </w:rPr>
        <w:t>º  Esta</w:t>
      </w:r>
      <w:proofErr w:type="gramEnd"/>
      <w:r w:rsidRPr="00C73B36">
        <w:rPr>
          <w:rFonts w:ascii="Book Antiqua" w:eastAsia="Times New Roman" w:hAnsi="Book Antiqua" w:cs="Arial"/>
          <w:color w:val="000000"/>
          <w:kern w:val="0"/>
          <w:sz w:val="19"/>
          <w:szCs w:val="19"/>
          <w:lang w:eastAsia="pt-BR"/>
          <w14:ligatures w14:val="none"/>
        </w:rPr>
        <w:t xml:space="preserve"> Portaria entra em vigor na data de sua publicação.</w:t>
      </w:r>
    </w:p>
    <w:p w14:paraId="7BBC319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Art. 5º Fica revogada a Portaria nº 1.395/GM, de 10 de dezembro de 1999, publicada no Diário Oficial da União nº 237-E, de 13 de dezembro de 1999, página 20, seção 1.</w:t>
      </w:r>
    </w:p>
    <w:p w14:paraId="7DC71617" w14:textId="77777777" w:rsidR="00C73B36" w:rsidRPr="00C73B36" w:rsidRDefault="00C73B36" w:rsidP="00C73B36">
      <w:pPr>
        <w:spacing w:before="100" w:beforeAutospacing="1" w:after="100" w:afterAutospacing="1" w:line="240" w:lineRule="auto"/>
        <w:jc w:val="center"/>
        <w:outlineLvl w:val="1"/>
        <w:rPr>
          <w:rFonts w:ascii="Book Antiqua" w:eastAsia="Times New Roman" w:hAnsi="Book Antiqua" w:cs="Arial"/>
          <w:b/>
          <w:bCs/>
          <w:color w:val="000000"/>
          <w:kern w:val="0"/>
          <w:sz w:val="19"/>
          <w:szCs w:val="19"/>
          <w:lang w:eastAsia="pt-BR"/>
          <w14:ligatures w14:val="none"/>
        </w:rPr>
      </w:pPr>
      <w:r w:rsidRPr="00C73B36">
        <w:rPr>
          <w:rFonts w:ascii="Book Antiqua" w:eastAsia="Times New Roman" w:hAnsi="Book Antiqua" w:cs="Arial"/>
          <w:b/>
          <w:bCs/>
          <w:color w:val="000000"/>
          <w:kern w:val="0"/>
          <w:sz w:val="19"/>
          <w:szCs w:val="19"/>
          <w:lang w:eastAsia="pt-BR"/>
          <w14:ligatures w14:val="none"/>
        </w:rPr>
        <w:t>JOSÉ AGENOR ÁLVARES DA SILVA</w:t>
      </w:r>
    </w:p>
    <w:p w14:paraId="59A75F06" w14:textId="77777777" w:rsidR="00C73B36" w:rsidRPr="00C73B36" w:rsidRDefault="00C73B36" w:rsidP="00C73B3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ANEXO</w:t>
      </w:r>
    </w:p>
    <w:p w14:paraId="04F54DF6" w14:textId="77777777" w:rsidR="00C73B36" w:rsidRPr="00C73B36" w:rsidRDefault="00C73B36" w:rsidP="00C73B3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POLÍTICA NACIONAL DE SAÚDE DA PESSOA IDOSA</w:t>
      </w:r>
    </w:p>
    <w:p w14:paraId="51BC959B" w14:textId="77777777" w:rsidR="00C73B36" w:rsidRPr="00C73B36" w:rsidRDefault="00C73B36" w:rsidP="00C73B36">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INTRODUÇÃO</w:t>
      </w:r>
    </w:p>
    <w:p w14:paraId="4AC440D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No Brasil, o direito universal e integral à saúde foi conquistado pela sociedade na Constituição de 1988 e reafirmado com a criação do Sistema Único de Saúde (SUS), por meio da Lei Orgânica da Saúde nº 8.080/90. Por esse direito, entende-se o acesso universal e equânime a serviços e ações de promoção, proteção e recuperação da saúde, garantindo a integralidade da atenção, indo ao encontro das diferentes realidades e necessidades de saúde da população e dos indivíduos. Esses preceitos constitucionais encontram-se reafirmados pela Lei nº 8.142, de 28 de dezembro de 1990, que dispôs sobre a participação da comunidade na gestão do Sistema Único de Saúde e sobre as transferências intergovernamentais de recursos financeiros na área de saúde e as Normas Operacionais Básicas (NOB), editadas em 1991, 1993 e 1996, que, por sua vez, regulamentam e definem estratégias e movimentos táticos que orientam a operacionalidade do Sistema.</w:t>
      </w:r>
    </w:p>
    <w:p w14:paraId="65F8304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regulamentação do SUS estabelece princípios e direciona a implantação de um modelo de atenção à saúde que priorize a descentralização, a universalidade, a integralidade da atenção, a </w:t>
      </w:r>
      <w:proofErr w:type="spellStart"/>
      <w:r w:rsidRPr="00C73B36">
        <w:rPr>
          <w:rFonts w:ascii="Book Antiqua" w:eastAsia="Times New Roman" w:hAnsi="Book Antiqua" w:cs="Arial"/>
          <w:color w:val="000000"/>
          <w:kern w:val="0"/>
          <w:sz w:val="19"/>
          <w:szCs w:val="19"/>
          <w:lang w:eastAsia="pt-BR"/>
          <w14:ligatures w14:val="none"/>
        </w:rPr>
        <w:t>eqüidade</w:t>
      </w:r>
      <w:proofErr w:type="spellEnd"/>
      <w:r w:rsidRPr="00C73B36">
        <w:rPr>
          <w:rFonts w:ascii="Book Antiqua" w:eastAsia="Times New Roman" w:hAnsi="Book Antiqua" w:cs="Arial"/>
          <w:color w:val="000000"/>
          <w:kern w:val="0"/>
          <w:sz w:val="19"/>
          <w:szCs w:val="19"/>
          <w:lang w:eastAsia="pt-BR"/>
          <w14:ligatures w14:val="none"/>
        </w:rPr>
        <w:t xml:space="preserve"> e o controle social, ao mesmo tempo em que incorpora, em sua organização, o princípio da territorialidade para facilitar o acesso das demandas populacionais aos serviços de saúde. Com o objetivo de reorganizar a prática assistencial é criado em 1994, pelo Ministério da Saúde, o Programa de Saúde da Família (PSF), tornando-se a estratégia setorial de reordenação do modelo de atenção à saúde, como eixo estruturante para reorganização da prática assistencial, imprimindo nova dinâmica nos serviços de saúde e estabelecendo uma relação de vínculo com a comunidade, humanizando esta prática direcionada à vigilância na saúde, na perspectiva da intersetorialidade (Brasil, 1994), denominando-se não mais programa e sim Estratégia Saúde da Família (ESF).</w:t>
      </w:r>
    </w:p>
    <w:p w14:paraId="7D61DCA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Concomitante à regulamentação do SUS, o Brasil organiza-se para responder às crescentes demandas de sua população que envelhece. A Política Nacional do Idoso, promulgada em 1994 e regulamentada em 1996, assegura direitos sociais à pessoa idosa, criando condições para promover sua autonomia, integração e participação efetiva na sociedade e reafirmando o direito à saúde nos diversos níveis de atendimento do SUS (Lei nº 8.842/94 e Decreto nº 1.948/96).</w:t>
      </w:r>
    </w:p>
    <w:p w14:paraId="2E5AD4F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Em 1999, a Portaria Ministerial nº 1.395 anuncia a Política Nacional de Saúde do Idoso, a qual determina que os órgãos e entidades do Ministério da Saúde relacionados ao tema promovam a elaboração ou a readequação de planos, projetos e atividades na conformidade das diretrizes e responsabilidades nela estabelecidas (Brasil, 1999). Essa política assume que o principal problema que pode afetar o idoso é a perda de sua capacidade funcional, isto é, a perda das habilidades físicas e mentais necessárias para realização de atividades básicas e instrumentais da vida diária.</w:t>
      </w:r>
    </w:p>
    <w:p w14:paraId="6DA93A4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Em 2002, é proposta a organização e a implantação de Redes Estaduais de Assistência à Saúde do Idoso (Portaria nº 702/SAS/MS, de 2002), tendo como base as condições de gestão e a divisão de responsabilidades definida pela Norma Operacional de Assistência à Saúde (NOAS). Como parte de operacionalização das redes, são criadas as normas para cadastramento de Centros de Referência em Atenção à Saúde do Idoso (Portaria nº 249/SAS/MS, de 2002).</w:t>
      </w:r>
    </w:p>
    <w:p w14:paraId="102DD69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Em 2003, o Congresso Nacional aprova e o Presidente da República sanciona o Estatuto do Idoso, elaborado com intensa participação de entidades de defesa dos interesses dos idosos. O Estatuto do Idoso amplia a resposta do Estado e da sociedade às necessidades da população idosa, mas não traz consigo meios para financiar as ações propostas. O Capítulo IV do Estatuto reza especificamente sobre o papel do SUS na garantia da atenção à saúde da pessoa idosa de forma integral, em todos os níveis de atenção.</w:t>
      </w:r>
    </w:p>
    <w:p w14:paraId="498E313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Assim, embora a legislação brasileira relativa aos cuidados da população idosa seja bastante avançada, a prática ainda é insatisfatória. A vigência do Estatuto do Idoso e seu uso como instrumento para a conquista de direitos dos idosos, a ampliação da Estratégia Saúde da Família que revela a presença de idosos e famílias frágeis e em situação de grande vulnerabilidade social e a inserção ainda incipiente das Redes Estaduais de Assistência à Saúde do Idoso tornaram imperiosa a readequação da Política Nacional de Saúde da Pessoa Idosa (PNSPI).</w:t>
      </w:r>
    </w:p>
    <w:p w14:paraId="6F02634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Em fevereiro de 2006, foi publicado, por meio da Portaria nº 399/GM, o documento das Diretrizes do Pacto pela Saúde que contempla o Pacto pela Vida. Neste documento, a saúde do idoso aparece como uma das seis prioridades pactuadas entre as três esferas de governo sendo apresentada </w:t>
      </w:r>
      <w:r w:rsidRPr="00C73B36">
        <w:rPr>
          <w:rFonts w:ascii="Book Antiqua" w:eastAsia="Times New Roman" w:hAnsi="Book Antiqua" w:cs="Arial"/>
          <w:color w:val="000000"/>
          <w:kern w:val="0"/>
          <w:sz w:val="19"/>
          <w:szCs w:val="19"/>
          <w:lang w:eastAsia="pt-BR"/>
          <w14:ligatures w14:val="none"/>
        </w:rPr>
        <w:lastRenderedPageBreak/>
        <w:t>uma série de ações que visam, em última instância, à implementação de algumas das diretrizes da Política Nacional de Atenção à Saúde do Idoso.</w:t>
      </w:r>
    </w:p>
    <w:p w14:paraId="49A71D91" w14:textId="3A45767D"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publicação do Pacto pela Vida, particularmente no que diz respeito à saúde da população idosa, representa, sem sombra de dúvida, um avanço importante. Entretanto, muito há que se fazer para que o Sistema Único de Saúde dê respostas efetivas e eficazes às necessidades e demandas de saúde da população idosa brasileira. Dessa maneira, a participação da Comissão </w:t>
      </w:r>
      <w:proofErr w:type="spellStart"/>
      <w:r w:rsidRPr="00C73B36">
        <w:rPr>
          <w:rFonts w:ascii="Book Antiqua" w:eastAsia="Times New Roman" w:hAnsi="Book Antiqua" w:cs="Arial"/>
          <w:color w:val="000000"/>
          <w:kern w:val="0"/>
          <w:sz w:val="19"/>
          <w:szCs w:val="19"/>
          <w:lang w:eastAsia="pt-BR"/>
          <w14:ligatures w14:val="none"/>
        </w:rPr>
        <w:t>Intergestores</w:t>
      </w:r>
      <w:proofErr w:type="spellEnd"/>
      <w:r w:rsidRPr="00C73B36">
        <w:rPr>
          <w:rFonts w:ascii="Book Antiqua" w:eastAsia="Times New Roman" w:hAnsi="Book Antiqua" w:cs="Arial"/>
          <w:color w:val="000000"/>
          <w:kern w:val="0"/>
          <w:sz w:val="19"/>
          <w:szCs w:val="19"/>
          <w:lang w:eastAsia="pt-BR"/>
          <w14:ligatures w14:val="none"/>
        </w:rPr>
        <w:t xml:space="preserve"> Tripartite e do Conselho Nacional de Saúde, no âmbito nacional, </w:t>
      </w:r>
      <w:r w:rsidRPr="00021FFF">
        <w:rPr>
          <w:rFonts w:ascii="Book Antiqua" w:eastAsia="Times New Roman" w:hAnsi="Book Antiqua" w:cs="Arial"/>
          <w:b/>
          <w:bCs/>
          <w:color w:val="000000"/>
          <w:kern w:val="0"/>
          <w:sz w:val="19"/>
          <w:szCs w:val="19"/>
          <w:highlight w:val="yellow"/>
          <w:lang w:eastAsia="pt-BR"/>
          <w14:ligatures w14:val="none"/>
        </w:rPr>
        <w:t>é de fundamental importância para a discussão e formulação de estratégias de ação capazes de dar conta da heterogeneidade da população idosa e, por conseguinte, da diversidade de questões apresentadas</w:t>
      </w:r>
      <w:r w:rsidRPr="00C73B36">
        <w:rPr>
          <w:rFonts w:ascii="Book Antiqua" w:eastAsia="Times New Roman" w:hAnsi="Book Antiqua" w:cs="Arial"/>
          <w:color w:val="000000"/>
          <w:kern w:val="0"/>
          <w:sz w:val="19"/>
          <w:szCs w:val="19"/>
          <w:lang w:eastAsia="pt-BR"/>
          <w14:ligatures w14:val="none"/>
        </w:rPr>
        <w:t>.</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2B2612E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Cabe destacar, por fim, que a organização da rede do SUS é fundamental para que as diretrizes dessa Política sejam plenamente alcançadas. Dessa maneira, torna-se imperiosa a revisão da Portaria nº 702/GM, de 12 de abril de 2002, que cria os mecanismos de organização e implantação de Redes Estaduais de Assistência à Saúde do Idoso e a Portaria nº 249/SAS, de 16 de abril de 2002, com posterior pactuação na Comissão </w:t>
      </w:r>
      <w:proofErr w:type="spellStart"/>
      <w:r w:rsidRPr="00C73B36">
        <w:rPr>
          <w:rFonts w:ascii="Book Antiqua" w:eastAsia="Times New Roman" w:hAnsi="Book Antiqua" w:cs="Arial"/>
          <w:color w:val="000000"/>
          <w:kern w:val="0"/>
          <w:sz w:val="19"/>
          <w:szCs w:val="19"/>
          <w:lang w:eastAsia="pt-BR"/>
          <w14:ligatures w14:val="none"/>
        </w:rPr>
        <w:t>Intergestores</w:t>
      </w:r>
      <w:proofErr w:type="spellEnd"/>
      <w:r w:rsidRPr="00C73B36">
        <w:rPr>
          <w:rFonts w:ascii="Book Antiqua" w:eastAsia="Times New Roman" w:hAnsi="Book Antiqua" w:cs="Arial"/>
          <w:color w:val="000000"/>
          <w:kern w:val="0"/>
          <w:sz w:val="19"/>
          <w:szCs w:val="19"/>
          <w:lang w:eastAsia="pt-BR"/>
          <w14:ligatures w14:val="none"/>
        </w:rPr>
        <w:t xml:space="preserve"> Tripartite.</w:t>
      </w:r>
    </w:p>
    <w:p w14:paraId="6EAEF4F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meta final deve ser uma atenção à saúde adequada e digna para os idosos e idosas brasileiras, principalmente para aquela parcela da população idosa que teve, por uma série de razões, um processo de envelhecimento marcado por doenças e agravos que impõem sérias limitações ao seu bem-estar.</w:t>
      </w:r>
    </w:p>
    <w:p w14:paraId="48F9710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C73B36">
        <w:rPr>
          <w:rFonts w:ascii="Book Antiqua" w:eastAsia="Times New Roman" w:hAnsi="Book Antiqua" w:cs="Arial"/>
          <w:b/>
          <w:bCs/>
          <w:color w:val="000000"/>
          <w:kern w:val="0"/>
          <w:sz w:val="19"/>
          <w:szCs w:val="19"/>
          <w:highlight w:val="magenta"/>
          <w:lang w:eastAsia="pt-BR"/>
          <w14:ligatures w14:val="none"/>
        </w:rPr>
        <w:t>1</w:t>
      </w:r>
      <w:r w:rsidRPr="00C73B36">
        <w:rPr>
          <w:rFonts w:ascii="Book Antiqua" w:eastAsia="Times New Roman" w:hAnsi="Book Antiqua" w:cs="Arial"/>
          <w:b/>
          <w:bCs/>
          <w:color w:val="000000"/>
          <w:kern w:val="0"/>
          <w:sz w:val="19"/>
          <w:szCs w:val="19"/>
          <w:lang w:eastAsia="pt-BR"/>
          <w14:ligatures w14:val="none"/>
        </w:rPr>
        <w:t>. Finalidade</w:t>
      </w:r>
    </w:p>
    <w:p w14:paraId="24727276" w14:textId="7FEFDC9B" w:rsidR="00C73B36" w:rsidRPr="00021FFF" w:rsidRDefault="00C73B36" w:rsidP="00C73B36">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C73B36">
        <w:rPr>
          <w:rFonts w:ascii="Book Antiqua" w:eastAsia="Times New Roman" w:hAnsi="Book Antiqua" w:cs="Arial"/>
          <w:b/>
          <w:bCs/>
          <w:color w:val="000000"/>
          <w:kern w:val="0"/>
          <w:sz w:val="19"/>
          <w:szCs w:val="19"/>
          <w:lang w:eastAsia="pt-BR"/>
          <w14:ligatures w14:val="none"/>
        </w:rPr>
        <w:t>A finalidade primordial da Política Nacional de Saúde da Pessoa Idosa é recuperar, manter e promover a autonomia e a independência dos indivíduos idosos, direcionando medidas coletivas e individuais de saúde para esse fim, em consonância com os princípios e diretrizes do Sistema Único de Saúde. É alvo dessa política todo cidadão e cidadã brasileiros com 60 anos ou mais de idade</w:t>
      </w:r>
      <w:r w:rsidRPr="00C73B36">
        <w:rPr>
          <w:rFonts w:ascii="Book Antiqua" w:eastAsia="Times New Roman" w:hAnsi="Book Antiqua" w:cs="Arial"/>
          <w:color w:val="000000"/>
          <w:kern w:val="0"/>
          <w:sz w:val="16"/>
          <w:szCs w:val="16"/>
          <w:lang w:eastAsia="pt-BR"/>
          <w14:ligatures w14:val="none"/>
        </w:rPr>
        <w:t xml:space="preserve">. </w:t>
      </w:r>
      <w:r w:rsidRPr="00C73B36">
        <w:rPr>
          <w:rFonts w:ascii="Book Antiqua" w:eastAsia="Times New Roman" w:hAnsi="Book Antiqua" w:cs="Arial"/>
          <w:b/>
          <w:bCs/>
          <w:color w:val="FF0000"/>
          <w:kern w:val="0"/>
          <w:sz w:val="16"/>
          <w:szCs w:val="16"/>
          <w:u w:val="single"/>
          <w:lang w:eastAsia="pt-BR"/>
          <w14:ligatures w14:val="none"/>
        </w:rPr>
        <w:t>(DPEPI-2022)</w:t>
      </w:r>
      <w:r w:rsidR="00021FFF">
        <w:rPr>
          <w:rFonts w:ascii="Book Antiqua" w:eastAsia="Times New Roman" w:hAnsi="Book Antiqua" w:cs="Arial"/>
          <w:b/>
          <w:bCs/>
          <w:color w:val="FF0000"/>
          <w:kern w:val="0"/>
          <w:sz w:val="16"/>
          <w:szCs w:val="16"/>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tbl>
      <w:tblPr>
        <w:tblStyle w:val="Tabelacomgrade"/>
        <w:tblW w:w="0" w:type="auto"/>
        <w:tblLook w:val="04A0" w:firstRow="1" w:lastRow="0" w:firstColumn="1" w:lastColumn="0" w:noHBand="0" w:noVBand="1"/>
      </w:tblPr>
      <w:tblGrid>
        <w:gridCol w:w="8494"/>
      </w:tblGrid>
      <w:tr w:rsidR="00C73B36" w14:paraId="5E3339A0" w14:textId="77777777" w:rsidTr="00C73B36">
        <w:tc>
          <w:tcPr>
            <w:tcW w:w="8494" w:type="dxa"/>
            <w:shd w:val="clear" w:color="auto" w:fill="CCFFFF"/>
          </w:tcPr>
          <w:p w14:paraId="6791C4AE" w14:textId="1E036FBB" w:rsidR="00C73B36" w:rsidRPr="00C73B36" w:rsidRDefault="00C73B36" w:rsidP="00C73B36">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73B36">
              <w:rPr>
                <w:rFonts w:ascii="Book Antiqua" w:eastAsia="Times New Roman" w:hAnsi="Book Antiqua" w:cs="Arial"/>
                <w:b/>
                <w:bCs/>
                <w:color w:val="000000"/>
                <w:kern w:val="0"/>
                <w:sz w:val="19"/>
                <w:szCs w:val="19"/>
                <w:highlight w:val="yellow"/>
                <w:lang w:eastAsia="pt-BR"/>
                <w14:ligatures w14:val="none"/>
              </w:rPr>
              <w:t>DPEPI-2022-CESPE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C73B36">
              <w:rPr>
                <w:rFonts w:ascii="Book Antiqua" w:eastAsia="Times New Roman" w:hAnsi="Book Antiqua" w:cs="Arial"/>
                <w:color w:val="000000"/>
                <w:kern w:val="0"/>
                <w:sz w:val="19"/>
                <w:szCs w:val="19"/>
                <w:lang w:eastAsia="pt-BR"/>
                <w14:ligatures w14:val="none"/>
              </w:rPr>
              <w:t>O acelerado processo de envelhecimento da sociedade brasileira tem acontecido em meio a sérias dificuldades de expansão do sistema de proteção social para todos os grupos etários, em particular para os idosos. Com relação ao direito à saúde nesse contexto, julgue o próximo ite</w:t>
            </w:r>
            <w:r>
              <w:rPr>
                <w:rFonts w:ascii="Book Antiqua" w:eastAsia="Times New Roman" w:hAnsi="Book Antiqua" w:cs="Arial"/>
                <w:color w:val="000000"/>
                <w:kern w:val="0"/>
                <w:sz w:val="19"/>
                <w:szCs w:val="19"/>
                <w:lang w:eastAsia="pt-BR"/>
                <w14:ligatures w14:val="none"/>
              </w:rPr>
              <w:t xml:space="preserve">m: </w:t>
            </w:r>
            <w:r w:rsidRPr="00C73B36">
              <w:rPr>
                <w:rFonts w:ascii="Book Antiqua" w:eastAsia="Times New Roman" w:hAnsi="Book Antiqua" w:cs="Arial"/>
                <w:color w:val="000000"/>
                <w:kern w:val="0"/>
                <w:sz w:val="19"/>
                <w:szCs w:val="19"/>
                <w:lang w:eastAsia="pt-BR"/>
                <w14:ligatures w14:val="none"/>
              </w:rPr>
              <w:t>A finalidade primordial da Política Nacional de Saúde da Pessoa Idosa é recuperar, manter e promover a autonomia e a independência dos indivíduos idosos, direcionando medidas coletivas e individuais de saúde para esse fim, em consonância com os princípios e as diretrizes do Sistema Único de Saúde.</w:t>
            </w:r>
          </w:p>
        </w:tc>
      </w:tr>
    </w:tbl>
    <w:p w14:paraId="559DECF0" w14:textId="753230EC"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Considerando:</w:t>
      </w:r>
    </w:p>
    <w:p w14:paraId="2697856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o contínuo e intenso processo de envelhecimento populacional brasileiro;</w:t>
      </w:r>
    </w:p>
    <w:p w14:paraId="1DE4E46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os inegáveis avanços políticos e técnicos no campo da gestão da saúde;</w:t>
      </w:r>
    </w:p>
    <w:p w14:paraId="711B418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o conhecimento atual da Ciência;</w:t>
      </w:r>
    </w:p>
    <w:p w14:paraId="3DAD800E" w14:textId="02CAF6C1"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lang w:eastAsia="pt-BR"/>
          <w14:ligatures w14:val="none"/>
        </w:rPr>
        <w:t>d) o conceito de saúde para o indivíduo idoso se traduz mais pela sua condição de autonomia e independência que pela presença ou ausência de doença orgânica</w:t>
      </w:r>
      <w:r w:rsidRPr="00C73B36">
        <w:rPr>
          <w:rFonts w:ascii="Book Antiqua" w:eastAsia="Times New Roman" w:hAnsi="Book Antiqua" w:cs="Arial"/>
          <w:color w:val="000000"/>
          <w:kern w:val="0"/>
          <w:sz w:val="19"/>
          <w:szCs w:val="19"/>
          <w:lang w:eastAsia="pt-BR"/>
          <w14:ligatures w14:val="none"/>
        </w:rPr>
        <w:t>;</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441672E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a necessidade de buscar a qualidade da atenção aos indivíduos idosos por meio de ações fundamentadas no paradigma da promoção da saúde;</w:t>
      </w:r>
    </w:p>
    <w:p w14:paraId="2C43BFC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f) o compromisso brasileiro com a </w:t>
      </w:r>
      <w:proofErr w:type="spellStart"/>
      <w:r w:rsidRPr="00C73B36">
        <w:rPr>
          <w:rFonts w:ascii="Book Antiqua" w:eastAsia="Times New Roman" w:hAnsi="Book Antiqua" w:cs="Arial"/>
          <w:color w:val="000000"/>
          <w:kern w:val="0"/>
          <w:sz w:val="19"/>
          <w:szCs w:val="19"/>
          <w:lang w:eastAsia="pt-BR"/>
          <w14:ligatures w14:val="none"/>
        </w:rPr>
        <w:t>Assembléia</w:t>
      </w:r>
      <w:proofErr w:type="spellEnd"/>
      <w:r w:rsidRPr="00C73B36">
        <w:rPr>
          <w:rFonts w:ascii="Book Antiqua" w:eastAsia="Times New Roman" w:hAnsi="Book Antiqua" w:cs="Arial"/>
          <w:color w:val="000000"/>
          <w:kern w:val="0"/>
          <w:sz w:val="19"/>
          <w:szCs w:val="19"/>
          <w:lang w:eastAsia="pt-BR"/>
          <w14:ligatures w14:val="none"/>
        </w:rPr>
        <w:t xml:space="preserve"> Mundial para o Envelhecimento de 2002, cujo Plano de Madri fundamenta-se em: (a) participação ativa dos idosos na sociedade, no desenvolvimento e na luta contra a pobreza; (b) fomento à saúde e bem-estar na velhice: promoção do envelhecimento saudável; e (c) criação de um entorno propício e favorável ao envelhecimento; e</w:t>
      </w:r>
    </w:p>
    <w:p w14:paraId="3E20C1F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g) escassez de recursos </w:t>
      </w:r>
      <w:proofErr w:type="spellStart"/>
      <w:r w:rsidRPr="00C73B36">
        <w:rPr>
          <w:rFonts w:ascii="Book Antiqua" w:eastAsia="Times New Roman" w:hAnsi="Book Antiqua" w:cs="Arial"/>
          <w:color w:val="000000"/>
          <w:kern w:val="0"/>
          <w:sz w:val="19"/>
          <w:szCs w:val="19"/>
          <w:lang w:eastAsia="pt-BR"/>
          <w14:ligatures w14:val="none"/>
        </w:rPr>
        <w:t>sócio-educativos</w:t>
      </w:r>
      <w:proofErr w:type="spellEnd"/>
      <w:r w:rsidRPr="00C73B36">
        <w:rPr>
          <w:rFonts w:ascii="Book Antiqua" w:eastAsia="Times New Roman" w:hAnsi="Book Antiqua" w:cs="Arial"/>
          <w:color w:val="000000"/>
          <w:kern w:val="0"/>
          <w:sz w:val="19"/>
          <w:szCs w:val="19"/>
          <w:lang w:eastAsia="pt-BR"/>
          <w14:ligatures w14:val="none"/>
        </w:rPr>
        <w:t xml:space="preserve"> e de saúde direcionados ao atendimento ao idoso;</w:t>
      </w:r>
    </w:p>
    <w:p w14:paraId="09BDA23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A necessidade de enfrentamento de desafios como:</w:t>
      </w:r>
    </w:p>
    <w:p w14:paraId="4B057D3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a escassez de estruturas de cuidado intermediário ao idoso no SUS, ou seja, estruturas de suporte qualificado para idosos e seus familiares destinadas a promover intermediação segura entre a alta hospitalar e a ida para o domicílio;</w:t>
      </w:r>
    </w:p>
    <w:p w14:paraId="2CA0666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número insuficiente de serviços de cuidado domiciliar ao idoso frágil previsto no Estatuto do Idoso. Sendo a família, via de regra, a executora do cuidado ao idoso, evidencia-se a necessidade de se estabelecer um suporte qualificado e constante aos responsáveis por esses cuidados, tendo a atenção básica por meio da Estratégia Saúde da Família um papel fundamental;</w:t>
      </w:r>
    </w:p>
    <w:p w14:paraId="2085D16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a escassez de equipes multiprofissionais e interdisciplinares com conhecimento em envelhecimento e saúde da pessoa idosa; e</w:t>
      </w:r>
    </w:p>
    <w:p w14:paraId="48BEBDD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a implementação insuficiente ou mesmo a falta de implementação das Redes de Assistência à Saúde do Idoso.</w:t>
      </w:r>
    </w:p>
    <w:p w14:paraId="5886037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2. Justificativa</w:t>
      </w:r>
    </w:p>
    <w:p w14:paraId="28402A6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O Brasil envelhece de forma rápida e intensa. No Censo de 2000, contava com mais de 14,5 milhões de idosos (IBGE, 2002), em sua maioria com baixo nível socioeconômico e educacional e com uma alta prevalência de doenças crônicas e causadoras de limitações funcionais e de incapacidades (Lima-Costa et al, 2003; Ramos, 2002). A cada ano, 650 mil novos idosos são incorporados à população brasileira (IBGE, 2000). Essa transição demográfica repercute na área da saúde, em relação à necessidade de (</w:t>
      </w:r>
      <w:proofErr w:type="spellStart"/>
      <w:r w:rsidRPr="00C73B36">
        <w:rPr>
          <w:rFonts w:ascii="Book Antiqua" w:eastAsia="Times New Roman" w:hAnsi="Book Antiqua" w:cs="Arial"/>
          <w:color w:val="000000"/>
          <w:kern w:val="0"/>
          <w:sz w:val="19"/>
          <w:szCs w:val="19"/>
          <w:lang w:eastAsia="pt-BR"/>
          <w14:ligatures w14:val="none"/>
        </w:rPr>
        <w:t>re</w:t>
      </w:r>
      <w:proofErr w:type="spellEnd"/>
      <w:r w:rsidRPr="00C73B36">
        <w:rPr>
          <w:rFonts w:ascii="Book Antiqua" w:eastAsia="Times New Roman" w:hAnsi="Book Antiqua" w:cs="Arial"/>
          <w:color w:val="000000"/>
          <w:kern w:val="0"/>
          <w:sz w:val="19"/>
          <w:szCs w:val="19"/>
          <w:lang w:eastAsia="pt-BR"/>
          <w14:ligatures w14:val="none"/>
        </w:rPr>
        <w:t>)organizar os modelos assistenciais (Lima-Costa &amp; Veras, 2003). A maior causa de mortalidade entre idosos brasileiros é o acidente vascular cerebral (Lima-Costa et al., 2000). Na transição epidemiológica brasileira ocorrem incapacidades resultantes do não-controle de fatores de risco preveníveis (Lima-Costa et al., 2003).</w:t>
      </w:r>
    </w:p>
    <w:p w14:paraId="40A7650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O sistema de saúde brasileiro tradicionalmente está organizado para atender à saúde materno-infantil e não tem considerado o envelhecimento como uma de suas prioridades. Uma importante </w:t>
      </w:r>
      <w:proofErr w:type="spellStart"/>
      <w:r w:rsidRPr="00C73B36">
        <w:rPr>
          <w:rFonts w:ascii="Book Antiqua" w:eastAsia="Times New Roman" w:hAnsi="Book Antiqua" w:cs="Arial"/>
          <w:color w:val="000000"/>
          <w:kern w:val="0"/>
          <w:sz w:val="19"/>
          <w:szCs w:val="19"/>
          <w:lang w:eastAsia="pt-BR"/>
          <w14:ligatures w14:val="none"/>
        </w:rPr>
        <w:t>conseqüência</w:t>
      </w:r>
      <w:proofErr w:type="spellEnd"/>
      <w:r w:rsidRPr="00C73B36">
        <w:rPr>
          <w:rFonts w:ascii="Book Antiqua" w:eastAsia="Times New Roman" w:hAnsi="Book Antiqua" w:cs="Arial"/>
          <w:color w:val="000000"/>
          <w:kern w:val="0"/>
          <w:sz w:val="19"/>
          <w:szCs w:val="19"/>
          <w:lang w:eastAsia="pt-BR"/>
          <w14:ligatures w14:val="none"/>
        </w:rPr>
        <w:t xml:space="preserve"> do aumento do número de pessoas idosas em uma população é que esses indivíduos provavelmente apresentarão um maior número de doenças e/ou condições crônicas que requerem mais serviços sociais e médicos e por mais tempo (Firmo et al, 2003). Isso já pode ser notado, uma vez que a população idosa, que hoje representa cerca de 9% da população, consome mais de 26% dos recursos de internação hospitalar no SUS (Lima-Costa et al, 2000). Além disso, é notável a carência de profissionais qualificados para o cuidado ao idoso, em todos os níveis de atenção.</w:t>
      </w:r>
    </w:p>
    <w:p w14:paraId="70DC369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Outro fato importante a ser considerado é que saúde para a população idosa não se restringe ao controle e à prevenção de agravos de doenças crônicas não-transmissíveis. Saúde da pessoa idosa é a interação entre a saúde física, a saúde mental, a independência financeira, a capacidade funcional e o suporte social (Ramos, 2002).</w:t>
      </w:r>
    </w:p>
    <w:p w14:paraId="4B27A97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As políticas públicas de saúde, objetivando assegurar atenção a toda população, têm dado visibilidade a um segmento populacional até então pouco notado pela saúde pública - os idosos e as idosas com alto grau de dependência funcional -. É possível a criação de ambientes físicos, sociais e atitudinais que possibilitem melhorar a saúde das pessoas com incapacidades tendo como uma das metas ampliar a participação social dessas pessoas na sociedade (</w:t>
      </w:r>
      <w:proofErr w:type="spellStart"/>
      <w:r w:rsidRPr="00C73B36">
        <w:rPr>
          <w:rFonts w:ascii="Book Antiqua" w:eastAsia="Times New Roman" w:hAnsi="Book Antiqua" w:cs="Arial"/>
          <w:color w:val="000000"/>
          <w:kern w:val="0"/>
          <w:sz w:val="19"/>
          <w:szCs w:val="19"/>
          <w:lang w:eastAsia="pt-BR"/>
          <w14:ligatures w14:val="none"/>
        </w:rPr>
        <w:t>Lollar</w:t>
      </w:r>
      <w:proofErr w:type="spellEnd"/>
      <w:r w:rsidRPr="00C73B36">
        <w:rPr>
          <w:rFonts w:ascii="Book Antiqua" w:eastAsia="Times New Roman" w:hAnsi="Book Antiqua" w:cs="Arial"/>
          <w:color w:val="000000"/>
          <w:kern w:val="0"/>
          <w:sz w:val="19"/>
          <w:szCs w:val="19"/>
          <w:lang w:eastAsia="pt-BR"/>
          <w14:ligatures w14:val="none"/>
        </w:rPr>
        <w:t xml:space="preserve"> &amp; </w:t>
      </w:r>
      <w:proofErr w:type="spellStart"/>
      <w:r w:rsidRPr="00C73B36">
        <w:rPr>
          <w:rFonts w:ascii="Book Antiqua" w:eastAsia="Times New Roman" w:hAnsi="Book Antiqua" w:cs="Arial"/>
          <w:color w:val="000000"/>
          <w:kern w:val="0"/>
          <w:sz w:val="19"/>
          <w:szCs w:val="19"/>
          <w:lang w:eastAsia="pt-BR"/>
          <w14:ligatures w14:val="none"/>
        </w:rPr>
        <w:t>Crews</w:t>
      </w:r>
      <w:proofErr w:type="spellEnd"/>
      <w:r w:rsidRPr="00C73B36">
        <w:rPr>
          <w:rFonts w:ascii="Book Antiqua" w:eastAsia="Times New Roman" w:hAnsi="Book Antiqua" w:cs="Arial"/>
          <w:color w:val="000000"/>
          <w:kern w:val="0"/>
          <w:sz w:val="19"/>
          <w:szCs w:val="19"/>
          <w:lang w:eastAsia="pt-BR"/>
          <w14:ligatures w14:val="none"/>
        </w:rPr>
        <w:t>, 2002). Por isso mesmo, é imprescindível oferecer cuidados sistematizados e adequados a partir dos recursos físicos, financeiros e humanos de que se dispõe hoje.</w:t>
      </w:r>
    </w:p>
    <w:p w14:paraId="4B9CBC8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highlight w:val="magenta"/>
          <w:u w:val="single"/>
          <w:lang w:eastAsia="pt-BR"/>
          <w14:ligatures w14:val="none"/>
        </w:rPr>
        <w:t>2.1</w:t>
      </w:r>
      <w:r w:rsidRPr="00C73B36">
        <w:rPr>
          <w:rFonts w:ascii="Book Antiqua" w:eastAsia="Times New Roman" w:hAnsi="Book Antiqua" w:cs="Arial"/>
          <w:color w:val="000000"/>
          <w:kern w:val="0"/>
          <w:sz w:val="19"/>
          <w:szCs w:val="19"/>
          <w:lang w:eastAsia="pt-BR"/>
          <w14:ligatures w14:val="none"/>
        </w:rPr>
        <w:t>. O Grande Desafio: o Envelhecimento Populacional em Condição de Desigualdade Social e de Gênero</w:t>
      </w:r>
    </w:p>
    <w:p w14:paraId="56FA5F4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Envelhecimento populacional é definido como a mudança na estrutura etária da população, o que produz um aumento do peso relativo das pessoas acima de determinada idade, considerada como </w:t>
      </w:r>
      <w:r w:rsidRPr="00C73B36">
        <w:rPr>
          <w:rFonts w:ascii="Book Antiqua" w:eastAsia="Times New Roman" w:hAnsi="Book Antiqua" w:cs="Arial"/>
          <w:color w:val="000000"/>
          <w:kern w:val="0"/>
          <w:sz w:val="19"/>
          <w:szCs w:val="19"/>
          <w:lang w:eastAsia="pt-BR"/>
          <w14:ligatures w14:val="none"/>
        </w:rPr>
        <w:lastRenderedPageBreak/>
        <w:t>definidora do início da velhice (Carvalho &amp; Garcia, 2003). No Brasil, é definida como idosa a pessoa que tem 60 anos ou mais de idade (BRASIL, 2003).</w:t>
      </w:r>
    </w:p>
    <w:p w14:paraId="5E2578B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Nos últimos 60 anos, o número absoluto de pessoas com 60 anos ou mais de idade aumentou nove vezes (Beltrão, Camarano e </w:t>
      </w:r>
      <w:proofErr w:type="spellStart"/>
      <w:r w:rsidRPr="00C73B36">
        <w:rPr>
          <w:rFonts w:ascii="Book Antiqua" w:eastAsia="Times New Roman" w:hAnsi="Book Antiqua" w:cs="Arial"/>
          <w:color w:val="000000"/>
          <w:kern w:val="0"/>
          <w:sz w:val="19"/>
          <w:szCs w:val="19"/>
          <w:lang w:eastAsia="pt-BR"/>
          <w14:ligatures w14:val="none"/>
        </w:rPr>
        <w:t>Kanso</w:t>
      </w:r>
      <w:proofErr w:type="spellEnd"/>
      <w:r w:rsidRPr="00C73B36">
        <w:rPr>
          <w:rFonts w:ascii="Book Antiqua" w:eastAsia="Times New Roman" w:hAnsi="Book Antiqua" w:cs="Arial"/>
          <w:color w:val="000000"/>
          <w:kern w:val="0"/>
          <w:sz w:val="19"/>
          <w:szCs w:val="19"/>
          <w:lang w:eastAsia="pt-BR"/>
          <w14:ligatures w14:val="none"/>
        </w:rPr>
        <w:t>, 2004). Não só a população brasileira está envelhecendo, mas a proporção da população “mais idosa”, ou seja, a de 80 anos ou mais de idade, também está aumentando, alterando a composição etária dentro do próprio grupo. Significa dizer que a população idosa também está envelhecendo (Camarano et al, 1999). Em 2000, esse segmento representou 12,6% do total da população idosa brasileira. Isso leva a uma heterogeneidade do segmento idoso brasileiro, havendo no grupo pessoas em pleno vigor físico e mental e outras em situações de maior vulnerabilidade </w:t>
      </w:r>
      <w:r w:rsidRPr="00C73B36">
        <w:rPr>
          <w:rFonts w:ascii="Book Antiqua" w:eastAsia="Times New Roman" w:hAnsi="Book Antiqua" w:cs="Arial"/>
          <w:color w:val="000000"/>
          <w:kern w:val="0"/>
          <w:sz w:val="19"/>
          <w:szCs w:val="19"/>
          <w:lang w:val="pt-PT" w:eastAsia="pt-BR"/>
          <w14:ligatures w14:val="none"/>
        </w:rPr>
        <w:t>(Camarano et al, 2004).</w:t>
      </w:r>
    </w:p>
    <w:p w14:paraId="5E94C31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O envelhecimento é também uma questão de gênero. </w:t>
      </w:r>
      <w:proofErr w:type="spellStart"/>
      <w:r w:rsidRPr="00C73B36">
        <w:rPr>
          <w:rFonts w:ascii="Book Antiqua" w:eastAsia="Times New Roman" w:hAnsi="Book Antiqua" w:cs="Arial"/>
          <w:color w:val="000000"/>
          <w:kern w:val="0"/>
          <w:sz w:val="19"/>
          <w:szCs w:val="19"/>
          <w:lang w:eastAsia="pt-BR"/>
          <w14:ligatures w14:val="none"/>
        </w:rPr>
        <w:t>Cinqüenta</w:t>
      </w:r>
      <w:proofErr w:type="spellEnd"/>
      <w:r w:rsidRPr="00C73B36">
        <w:rPr>
          <w:rFonts w:ascii="Book Antiqua" w:eastAsia="Times New Roman" w:hAnsi="Book Antiqua" w:cs="Arial"/>
          <w:color w:val="000000"/>
          <w:kern w:val="0"/>
          <w:sz w:val="19"/>
          <w:szCs w:val="19"/>
          <w:lang w:eastAsia="pt-BR"/>
          <w14:ligatures w14:val="none"/>
        </w:rPr>
        <w:t xml:space="preserve"> e cinco por cento da população idosa são formados por mulheres. A proporção do contingente feminino é tanto mais expressiva quanto mais idoso for o segmento. Essa predominância feminina se dá em zonas urbanas. Nas rurais, predominam os homens, o que pode resultar em isolamento e abandono dessas pessoas </w:t>
      </w:r>
      <w:r w:rsidRPr="00C73B36">
        <w:rPr>
          <w:rFonts w:ascii="Book Antiqua" w:eastAsia="Times New Roman" w:hAnsi="Book Antiqua" w:cs="Arial"/>
          <w:color w:val="000000"/>
          <w:kern w:val="0"/>
          <w:sz w:val="19"/>
          <w:szCs w:val="19"/>
          <w:lang w:val="pt-PT" w:eastAsia="pt-BR"/>
          <w14:ligatures w14:val="none"/>
        </w:rPr>
        <w:t>(Camarano et al, 2004; Camarano et al, 1999; Saad, 1999).</w:t>
      </w:r>
    </w:p>
    <w:p w14:paraId="0C0E506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Quanto ao local de moradia, os idosos podem estar no ambiente familiar ou em instituições de longa permanência para idosos (ILPI). Cuidados institucionais não são prática generalizada nas sociedades latinas. É consenso entre as mais variadas especialidades científicas que a permanência dos idosos em seus núcleos familiares e comunitários contribui para o seu bem-estar (Camarano &amp; </w:t>
      </w:r>
      <w:proofErr w:type="spellStart"/>
      <w:r w:rsidRPr="00C73B36">
        <w:rPr>
          <w:rFonts w:ascii="Book Antiqua" w:eastAsia="Times New Roman" w:hAnsi="Book Antiqua" w:cs="Arial"/>
          <w:color w:val="000000"/>
          <w:kern w:val="0"/>
          <w:sz w:val="19"/>
          <w:szCs w:val="19"/>
          <w:lang w:eastAsia="pt-BR"/>
          <w14:ligatures w14:val="none"/>
        </w:rPr>
        <w:t>Pasinato</w:t>
      </w:r>
      <w:proofErr w:type="spellEnd"/>
      <w:r w:rsidRPr="00C73B36">
        <w:rPr>
          <w:rFonts w:ascii="Book Antiqua" w:eastAsia="Times New Roman" w:hAnsi="Book Antiqua" w:cs="Arial"/>
          <w:color w:val="000000"/>
          <w:kern w:val="0"/>
          <w:sz w:val="19"/>
          <w:szCs w:val="19"/>
          <w:lang w:eastAsia="pt-BR"/>
          <w14:ligatures w14:val="none"/>
        </w:rPr>
        <w:t>, 2004). No entanto, os dados referentes à população idosa institucionalizada no Brasil são falhos. Em 2002, a Comissão de Direitos Humanos da Câmara dos Deputados publicou o relatório “V Caravana Nacional de Direitos Humanos: uma amostra da Realidade dos Abrigos e Asilos de Idosos no Brasil”. De acordo com o relatório, havia cerca de 19.000 idosos institucionalizados em todo o País, o que representa 0,14% do total de idosos brasileiros. É de se esperar que esse número seja bem maior levando-se em conta que muitas das instituições asilares não são cadastradas e que grande parte funciona na clandestinidade.</w:t>
      </w:r>
    </w:p>
    <w:p w14:paraId="1C2F7EF3" w14:textId="5B83FD66"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highlight w:val="yellow"/>
          <w:lang w:eastAsia="pt-BR"/>
          <w14:ligatures w14:val="none"/>
        </w:rPr>
        <w:t>A heterogeneidade do grupo de idosos, seja em termos etários, de local de moradia ou socioeconômicos, acarreta demandas diferenciadas, o que tem rebatimento na formulação de políticas públicas para o segmento</w:t>
      </w:r>
      <w:r w:rsidRPr="00C73B36">
        <w:rPr>
          <w:rFonts w:ascii="Book Antiqua" w:eastAsia="Times New Roman" w:hAnsi="Book Antiqua" w:cs="Arial"/>
          <w:color w:val="000000"/>
          <w:kern w:val="0"/>
          <w:sz w:val="19"/>
          <w:szCs w:val="19"/>
          <w:lang w:eastAsia="pt-BR"/>
          <w14:ligatures w14:val="none"/>
        </w:rPr>
        <w:t xml:space="preserve"> (Camarano et al, 2004).</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6525E99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O envelhecimento populacional desafia a habilidade de produzir políticas de saúde que respondam às necessidades das pessoas idosas. A proporção de usuários idosos de todos os serviços prestados tende a ser cada vez maior, quer pelo maior acesso às informações do referido grupo etário, quer pelo seu expressivo aumento relativo e absoluto na população brasileira. (Lima-Costa &amp; Veras, 2003).</w:t>
      </w:r>
    </w:p>
    <w:p w14:paraId="7A7F6AB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Além disso, os idosos diferem de acordo com a sua história de vida, com seu grau de independência funcional e com a demanda por serviços mais ou menos específicos. Todos necessitam, contudo, de uma avaliação pautada no conhecimento do processo de envelhecimento e de suas peculiaridades e adaptada à realidade </w:t>
      </w:r>
      <w:proofErr w:type="spellStart"/>
      <w:r w:rsidRPr="00C73B36">
        <w:rPr>
          <w:rFonts w:ascii="Book Antiqua" w:eastAsia="Times New Roman" w:hAnsi="Book Antiqua" w:cs="Arial"/>
          <w:color w:val="000000"/>
          <w:kern w:val="0"/>
          <w:sz w:val="19"/>
          <w:szCs w:val="19"/>
          <w:lang w:eastAsia="pt-BR"/>
          <w14:ligatures w14:val="none"/>
        </w:rPr>
        <w:t>sócio-cultural</w:t>
      </w:r>
      <w:proofErr w:type="spellEnd"/>
      <w:r w:rsidRPr="00C73B36">
        <w:rPr>
          <w:rFonts w:ascii="Book Antiqua" w:eastAsia="Times New Roman" w:hAnsi="Book Antiqua" w:cs="Arial"/>
          <w:color w:val="000000"/>
          <w:kern w:val="0"/>
          <w:sz w:val="19"/>
          <w:szCs w:val="19"/>
          <w:lang w:eastAsia="pt-BR"/>
          <w14:ligatures w14:val="none"/>
        </w:rPr>
        <w:t xml:space="preserve"> em que estão inseridos. Faz-se, portanto, necessário que os serviços que prestam atendimento a idosos respondam a necessidades específicas e distingam-se pela natureza da intensidade dos serviços que ofereçam.</w:t>
      </w:r>
    </w:p>
    <w:p w14:paraId="052D1FE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Cumpre notar que os idosos são potenciais consumidores de Serviços de Saúde e de Assistência. Esse grupo sabidamente apresenta uma grande carga de doenças crônicas e incapacitantes, quando comparado a outros grupos etários (Lima-Costa et al, 2003a; Lima-Costa et al, 2003b; Caldas, 2003). Disso resulta uma demanda crescente por serviços sociais e de saúde (Lima-Costa &amp; Veras, 2003).</w:t>
      </w:r>
    </w:p>
    <w:p w14:paraId="2F2CE64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2.2. Contextualização: Responder às Demandas das Pessoas Idosas </w:t>
      </w:r>
      <w:proofErr w:type="gramStart"/>
      <w:r w:rsidRPr="00C73B36">
        <w:rPr>
          <w:rFonts w:ascii="Book Antiqua" w:eastAsia="Times New Roman" w:hAnsi="Book Antiqua" w:cs="Arial"/>
          <w:color w:val="000000"/>
          <w:kern w:val="0"/>
          <w:sz w:val="19"/>
          <w:szCs w:val="19"/>
          <w:lang w:eastAsia="pt-BR"/>
          <w14:ligatures w14:val="none"/>
        </w:rPr>
        <w:t>mais Frágeis</w:t>
      </w:r>
      <w:proofErr w:type="gramEnd"/>
      <w:r w:rsidRPr="00C73B36">
        <w:rPr>
          <w:rFonts w:ascii="Book Antiqua" w:eastAsia="Times New Roman" w:hAnsi="Book Antiqua" w:cs="Arial"/>
          <w:color w:val="000000"/>
          <w:kern w:val="0"/>
          <w:sz w:val="19"/>
          <w:szCs w:val="19"/>
          <w:lang w:eastAsia="pt-BR"/>
          <w14:ligatures w14:val="none"/>
        </w:rPr>
        <w:t xml:space="preserve"> dentre a População em Maior Risco de Vulnerabilidade</w:t>
      </w:r>
    </w:p>
    <w:p w14:paraId="688A64E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O envelhecimento populacional cursa com o aumento de doenças e condições que podem levar a incapacidade funcional. Para </w:t>
      </w:r>
      <w:proofErr w:type="spellStart"/>
      <w:r w:rsidRPr="00C73B36">
        <w:rPr>
          <w:rFonts w:ascii="Book Antiqua" w:eastAsia="Times New Roman" w:hAnsi="Book Antiqua" w:cs="Arial"/>
          <w:color w:val="000000"/>
          <w:kern w:val="0"/>
          <w:sz w:val="19"/>
          <w:szCs w:val="19"/>
          <w:lang w:eastAsia="pt-BR"/>
          <w14:ligatures w14:val="none"/>
        </w:rPr>
        <w:t>Verbrugge</w:t>
      </w:r>
      <w:proofErr w:type="spellEnd"/>
      <w:r w:rsidRPr="00C73B36">
        <w:rPr>
          <w:rFonts w:ascii="Book Antiqua" w:eastAsia="Times New Roman" w:hAnsi="Book Antiqua" w:cs="Arial"/>
          <w:color w:val="000000"/>
          <w:kern w:val="0"/>
          <w:sz w:val="19"/>
          <w:szCs w:val="19"/>
          <w:lang w:eastAsia="pt-BR"/>
          <w14:ligatures w14:val="none"/>
        </w:rPr>
        <w:t xml:space="preserve"> &amp; </w:t>
      </w:r>
      <w:proofErr w:type="spellStart"/>
      <w:r w:rsidRPr="00C73B36">
        <w:rPr>
          <w:rFonts w:ascii="Book Antiqua" w:eastAsia="Times New Roman" w:hAnsi="Book Antiqua" w:cs="Arial"/>
          <w:color w:val="000000"/>
          <w:kern w:val="0"/>
          <w:sz w:val="19"/>
          <w:szCs w:val="19"/>
          <w:lang w:eastAsia="pt-BR"/>
          <w14:ligatures w14:val="none"/>
        </w:rPr>
        <w:t>Jette</w:t>
      </w:r>
      <w:proofErr w:type="spellEnd"/>
      <w:r w:rsidRPr="00C73B36">
        <w:rPr>
          <w:rFonts w:ascii="Book Antiqua" w:eastAsia="Times New Roman" w:hAnsi="Book Antiqua" w:cs="Arial"/>
          <w:color w:val="000000"/>
          <w:kern w:val="0"/>
          <w:sz w:val="19"/>
          <w:szCs w:val="19"/>
          <w:lang w:eastAsia="pt-BR"/>
          <w14:ligatures w14:val="none"/>
        </w:rPr>
        <w:t xml:space="preserve"> (1994), a incapacidade funcional é a dificuldade </w:t>
      </w:r>
      <w:r w:rsidRPr="00C73B36">
        <w:rPr>
          <w:rFonts w:ascii="Book Antiqua" w:eastAsia="Times New Roman" w:hAnsi="Book Antiqua" w:cs="Arial"/>
          <w:color w:val="000000"/>
          <w:kern w:val="0"/>
          <w:sz w:val="19"/>
          <w:szCs w:val="19"/>
          <w:lang w:eastAsia="pt-BR"/>
          <w14:ligatures w14:val="none"/>
        </w:rPr>
        <w:lastRenderedPageBreak/>
        <w:t>experimentada em realizar atividades em qualquer domínio da vida devido a um problema físico ou de saúde. Ela também pode ser entendida como a distância entre a dificuldade apresentada e os recursos pessoais e ambientais de que dispõe para superá-la (</w:t>
      </w:r>
      <w:proofErr w:type="spellStart"/>
      <w:r w:rsidRPr="00C73B36">
        <w:rPr>
          <w:rFonts w:ascii="Book Antiqua" w:eastAsia="Times New Roman" w:hAnsi="Book Antiqua" w:cs="Arial"/>
          <w:color w:val="000000"/>
          <w:kern w:val="0"/>
          <w:sz w:val="19"/>
          <w:szCs w:val="19"/>
          <w:lang w:eastAsia="pt-BR"/>
          <w14:ligatures w14:val="none"/>
        </w:rPr>
        <w:t>Hébert</w:t>
      </w:r>
      <w:proofErr w:type="spellEnd"/>
      <w:r w:rsidRPr="00C73B36">
        <w:rPr>
          <w:rFonts w:ascii="Book Antiqua" w:eastAsia="Times New Roman" w:hAnsi="Book Antiqua" w:cs="Arial"/>
          <w:color w:val="000000"/>
          <w:kern w:val="0"/>
          <w:sz w:val="19"/>
          <w:szCs w:val="19"/>
          <w:lang w:eastAsia="pt-BR"/>
          <w14:ligatures w14:val="none"/>
        </w:rPr>
        <w:t>, 2003). Incapacidade é mais um processo do que um estado estático (</w:t>
      </w:r>
      <w:proofErr w:type="spellStart"/>
      <w:r w:rsidRPr="00C73B36">
        <w:rPr>
          <w:rFonts w:ascii="Book Antiqua" w:eastAsia="Times New Roman" w:hAnsi="Book Antiqua" w:cs="Arial"/>
          <w:color w:val="000000"/>
          <w:kern w:val="0"/>
          <w:sz w:val="19"/>
          <w:szCs w:val="19"/>
          <w:lang w:eastAsia="pt-BR"/>
          <w14:ligatures w14:val="none"/>
        </w:rPr>
        <w:t>Iezzoni</w:t>
      </w:r>
      <w:proofErr w:type="spellEnd"/>
      <w:r w:rsidRPr="00C73B36">
        <w:rPr>
          <w:rFonts w:ascii="Book Antiqua" w:eastAsia="Times New Roman" w:hAnsi="Book Antiqua" w:cs="Arial"/>
          <w:color w:val="000000"/>
          <w:kern w:val="0"/>
          <w:sz w:val="19"/>
          <w:szCs w:val="19"/>
          <w:lang w:eastAsia="pt-BR"/>
          <w14:ligatures w14:val="none"/>
        </w:rPr>
        <w:t xml:space="preserve">, 2002). A Organização Mundial de Saúde (OMS) em sua Classificação Internacional de Funções, Incapacidade e Saúde (CIF, 2001) vê a incapacidade e as funções de uma pessoa como a interação dinâmica entre condições de saúde - doenças, lesões, traumas </w:t>
      </w:r>
      <w:proofErr w:type="spellStart"/>
      <w:r w:rsidRPr="00C73B36">
        <w:rPr>
          <w:rFonts w:ascii="Book Antiqua" w:eastAsia="Times New Roman" w:hAnsi="Book Antiqua" w:cs="Arial"/>
          <w:color w:val="000000"/>
          <w:kern w:val="0"/>
          <w:sz w:val="19"/>
          <w:szCs w:val="19"/>
          <w:lang w:eastAsia="pt-BR"/>
          <w14:ligatures w14:val="none"/>
        </w:rPr>
        <w:t>etc</w:t>
      </w:r>
      <w:proofErr w:type="spellEnd"/>
      <w:r w:rsidRPr="00C73B36">
        <w:rPr>
          <w:rFonts w:ascii="Book Antiqua" w:eastAsia="Times New Roman" w:hAnsi="Book Antiqua" w:cs="Arial"/>
          <w:color w:val="000000"/>
          <w:kern w:val="0"/>
          <w:sz w:val="19"/>
          <w:szCs w:val="19"/>
          <w:lang w:eastAsia="pt-BR"/>
          <w14:ligatures w14:val="none"/>
        </w:rPr>
        <w:t xml:space="preserve"> - e fatores contextuais, incluindo atributos pessoais e ambientais. A dependência é a expressão da dificuldade ou incapacidade em realizar uma atividade específica por causa de um problema de saúde (</w:t>
      </w:r>
      <w:proofErr w:type="spellStart"/>
      <w:r w:rsidRPr="00C73B36">
        <w:rPr>
          <w:rFonts w:ascii="Book Antiqua" w:eastAsia="Times New Roman" w:hAnsi="Book Antiqua" w:cs="Arial"/>
          <w:color w:val="000000"/>
          <w:kern w:val="0"/>
          <w:sz w:val="19"/>
          <w:szCs w:val="19"/>
          <w:lang w:eastAsia="pt-BR"/>
          <w14:ligatures w14:val="none"/>
        </w:rPr>
        <w:t>Hébert</w:t>
      </w:r>
      <w:proofErr w:type="spellEnd"/>
      <w:r w:rsidRPr="00C73B36">
        <w:rPr>
          <w:rFonts w:ascii="Book Antiqua" w:eastAsia="Times New Roman" w:hAnsi="Book Antiqua" w:cs="Arial"/>
          <w:color w:val="000000"/>
          <w:kern w:val="0"/>
          <w:sz w:val="19"/>
          <w:szCs w:val="19"/>
          <w:lang w:eastAsia="pt-BR"/>
          <w14:ligatures w14:val="none"/>
        </w:rPr>
        <w:t xml:space="preserve">, 2003). No entanto, cabe enfatizar que a existência de uma incapacidade funcional, independentemente de sua origem, é o que determina a necessidade de um cuidador (Néri &amp; </w:t>
      </w:r>
      <w:proofErr w:type="spellStart"/>
      <w:r w:rsidRPr="00C73B36">
        <w:rPr>
          <w:rFonts w:ascii="Book Antiqua" w:eastAsia="Times New Roman" w:hAnsi="Book Antiqua" w:cs="Arial"/>
          <w:color w:val="000000"/>
          <w:kern w:val="0"/>
          <w:sz w:val="19"/>
          <w:szCs w:val="19"/>
          <w:lang w:eastAsia="pt-BR"/>
          <w14:ligatures w14:val="none"/>
        </w:rPr>
        <w:t>Sommerhalder</w:t>
      </w:r>
      <w:proofErr w:type="spellEnd"/>
      <w:r w:rsidRPr="00C73B36">
        <w:rPr>
          <w:rFonts w:ascii="Book Antiqua" w:eastAsia="Times New Roman" w:hAnsi="Book Antiqua" w:cs="Arial"/>
          <w:color w:val="000000"/>
          <w:kern w:val="0"/>
          <w:sz w:val="19"/>
          <w:szCs w:val="19"/>
          <w:lang w:eastAsia="pt-BR"/>
          <w14:ligatures w14:val="none"/>
        </w:rPr>
        <w:t>, 2002).</w:t>
      </w:r>
    </w:p>
    <w:p w14:paraId="204E574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Incapacidade funcional e limitações físicas, cognitivas e sensoriais não são </w:t>
      </w:r>
      <w:proofErr w:type="spellStart"/>
      <w:r w:rsidRPr="00C73B36">
        <w:rPr>
          <w:rFonts w:ascii="Book Antiqua" w:eastAsia="Times New Roman" w:hAnsi="Book Antiqua" w:cs="Arial"/>
          <w:color w:val="000000"/>
          <w:kern w:val="0"/>
          <w:sz w:val="19"/>
          <w:szCs w:val="19"/>
          <w:lang w:eastAsia="pt-BR"/>
          <w14:ligatures w14:val="none"/>
        </w:rPr>
        <w:t>conseqüências</w:t>
      </w:r>
      <w:proofErr w:type="spellEnd"/>
      <w:r w:rsidRPr="00C73B36">
        <w:rPr>
          <w:rFonts w:ascii="Book Antiqua" w:eastAsia="Times New Roman" w:hAnsi="Book Antiqua" w:cs="Arial"/>
          <w:color w:val="000000"/>
          <w:kern w:val="0"/>
          <w:sz w:val="19"/>
          <w:szCs w:val="19"/>
          <w:lang w:eastAsia="pt-BR"/>
          <w14:ligatures w14:val="none"/>
        </w:rPr>
        <w:t xml:space="preserve"> inevitáveis do envelhecimento. A prevalência da incapacidade aumenta com a idade, mas a idade sozinha não prediz incapacidade (</w:t>
      </w:r>
      <w:proofErr w:type="spellStart"/>
      <w:r w:rsidRPr="00C73B36">
        <w:rPr>
          <w:rFonts w:ascii="Book Antiqua" w:eastAsia="Times New Roman" w:hAnsi="Book Antiqua" w:cs="Arial"/>
          <w:color w:val="000000"/>
          <w:kern w:val="0"/>
          <w:sz w:val="19"/>
          <w:szCs w:val="19"/>
          <w:lang w:eastAsia="pt-BR"/>
          <w14:ligatures w14:val="none"/>
        </w:rPr>
        <w:t>Lollar</w:t>
      </w:r>
      <w:proofErr w:type="spellEnd"/>
      <w:r w:rsidRPr="00C73B36">
        <w:rPr>
          <w:rFonts w:ascii="Book Antiqua" w:eastAsia="Times New Roman" w:hAnsi="Book Antiqua" w:cs="Arial"/>
          <w:color w:val="000000"/>
          <w:kern w:val="0"/>
          <w:sz w:val="19"/>
          <w:szCs w:val="19"/>
          <w:lang w:eastAsia="pt-BR"/>
          <w14:ligatures w14:val="none"/>
        </w:rPr>
        <w:t xml:space="preserve"> &amp; </w:t>
      </w:r>
      <w:proofErr w:type="spellStart"/>
      <w:r w:rsidRPr="00C73B36">
        <w:rPr>
          <w:rFonts w:ascii="Book Antiqua" w:eastAsia="Times New Roman" w:hAnsi="Book Antiqua" w:cs="Arial"/>
          <w:color w:val="000000"/>
          <w:kern w:val="0"/>
          <w:sz w:val="19"/>
          <w:szCs w:val="19"/>
          <w:lang w:eastAsia="pt-BR"/>
          <w14:ligatures w14:val="none"/>
        </w:rPr>
        <w:t>Crews</w:t>
      </w:r>
      <w:proofErr w:type="spellEnd"/>
      <w:r w:rsidRPr="00C73B36">
        <w:rPr>
          <w:rFonts w:ascii="Book Antiqua" w:eastAsia="Times New Roman" w:hAnsi="Book Antiqua" w:cs="Arial"/>
          <w:color w:val="000000"/>
          <w:kern w:val="0"/>
          <w:sz w:val="19"/>
          <w:szCs w:val="19"/>
          <w:lang w:eastAsia="pt-BR"/>
          <w14:ligatures w14:val="none"/>
        </w:rPr>
        <w:t>, 2002). Mulheres, minorias e pessoas de baixo poder socioeconômico são particularmente vulneráveis (</w:t>
      </w:r>
      <w:proofErr w:type="spellStart"/>
      <w:r w:rsidRPr="00C73B36">
        <w:rPr>
          <w:rFonts w:ascii="Book Antiqua" w:eastAsia="Times New Roman" w:hAnsi="Book Antiqua" w:cs="Arial"/>
          <w:color w:val="000000"/>
          <w:kern w:val="0"/>
          <w:sz w:val="19"/>
          <w:szCs w:val="19"/>
          <w:lang w:eastAsia="pt-BR"/>
          <w14:ligatures w14:val="none"/>
        </w:rPr>
        <w:t>Freedman</w:t>
      </w:r>
      <w:proofErr w:type="spellEnd"/>
      <w:r w:rsidRPr="00C73B36">
        <w:rPr>
          <w:rFonts w:ascii="Book Antiqua" w:eastAsia="Times New Roman" w:hAnsi="Book Antiqua" w:cs="Arial"/>
          <w:color w:val="000000"/>
          <w:kern w:val="0"/>
          <w:sz w:val="19"/>
          <w:szCs w:val="19"/>
          <w:lang w:eastAsia="pt-BR"/>
          <w14:ligatures w14:val="none"/>
        </w:rPr>
        <w:t xml:space="preserve">, Martin e </w:t>
      </w:r>
      <w:proofErr w:type="spellStart"/>
      <w:r w:rsidRPr="00C73B36">
        <w:rPr>
          <w:rFonts w:ascii="Book Antiqua" w:eastAsia="Times New Roman" w:hAnsi="Book Antiqua" w:cs="Arial"/>
          <w:color w:val="000000"/>
          <w:kern w:val="0"/>
          <w:sz w:val="19"/>
          <w:szCs w:val="19"/>
          <w:lang w:eastAsia="pt-BR"/>
          <w14:ligatures w14:val="none"/>
        </w:rPr>
        <w:t>Schoeni</w:t>
      </w:r>
      <w:proofErr w:type="spellEnd"/>
      <w:r w:rsidRPr="00C73B36">
        <w:rPr>
          <w:rFonts w:ascii="Book Antiqua" w:eastAsia="Times New Roman" w:hAnsi="Book Antiqua" w:cs="Arial"/>
          <w:color w:val="000000"/>
          <w:kern w:val="0"/>
          <w:sz w:val="19"/>
          <w:szCs w:val="19"/>
          <w:lang w:eastAsia="pt-BR"/>
          <w14:ligatures w14:val="none"/>
        </w:rPr>
        <w:t>, 2002). Independentemente de sua etiologia, pessoas com incapacidade estão em maior risco para problemas de saúde e afins (</w:t>
      </w:r>
      <w:proofErr w:type="spellStart"/>
      <w:r w:rsidRPr="00C73B36">
        <w:rPr>
          <w:rFonts w:ascii="Book Antiqua" w:eastAsia="Times New Roman" w:hAnsi="Book Antiqua" w:cs="Arial"/>
          <w:color w:val="000000"/>
          <w:kern w:val="0"/>
          <w:sz w:val="19"/>
          <w:szCs w:val="19"/>
          <w:lang w:eastAsia="pt-BR"/>
          <w14:ligatures w14:val="none"/>
        </w:rPr>
        <w:t>Lollar</w:t>
      </w:r>
      <w:proofErr w:type="spellEnd"/>
      <w:r w:rsidRPr="00C73B36">
        <w:rPr>
          <w:rFonts w:ascii="Book Antiqua" w:eastAsia="Times New Roman" w:hAnsi="Book Antiqua" w:cs="Arial"/>
          <w:color w:val="000000"/>
          <w:kern w:val="0"/>
          <w:sz w:val="19"/>
          <w:szCs w:val="19"/>
          <w:lang w:eastAsia="pt-BR"/>
          <w14:ligatures w14:val="none"/>
        </w:rPr>
        <w:t xml:space="preserve"> &amp; </w:t>
      </w:r>
      <w:proofErr w:type="spellStart"/>
      <w:r w:rsidRPr="00C73B36">
        <w:rPr>
          <w:rFonts w:ascii="Book Antiqua" w:eastAsia="Times New Roman" w:hAnsi="Book Antiqua" w:cs="Arial"/>
          <w:color w:val="000000"/>
          <w:kern w:val="0"/>
          <w:sz w:val="19"/>
          <w:szCs w:val="19"/>
          <w:lang w:eastAsia="pt-BR"/>
          <w14:ligatures w14:val="none"/>
        </w:rPr>
        <w:t>Crews</w:t>
      </w:r>
      <w:proofErr w:type="spellEnd"/>
      <w:r w:rsidRPr="00C73B36">
        <w:rPr>
          <w:rFonts w:ascii="Book Antiqua" w:eastAsia="Times New Roman" w:hAnsi="Book Antiqua" w:cs="Arial"/>
          <w:color w:val="000000"/>
          <w:kern w:val="0"/>
          <w:sz w:val="19"/>
          <w:szCs w:val="19"/>
          <w:lang w:eastAsia="pt-BR"/>
          <w14:ligatures w14:val="none"/>
        </w:rPr>
        <w:t>, 2002). A presença de incapacidade é ônus para o indivíduo, para a família, para o sistema de saúde e para a sociedade (</w:t>
      </w:r>
      <w:proofErr w:type="spellStart"/>
      <w:r w:rsidRPr="00C73B36">
        <w:rPr>
          <w:rFonts w:ascii="Book Antiqua" w:eastAsia="Times New Roman" w:hAnsi="Book Antiqua" w:cs="Arial"/>
          <w:color w:val="000000"/>
          <w:kern w:val="0"/>
          <w:sz w:val="19"/>
          <w:szCs w:val="19"/>
          <w:lang w:eastAsia="pt-BR"/>
          <w14:ligatures w14:val="none"/>
        </w:rPr>
        <w:t>Giacomin</w:t>
      </w:r>
      <w:proofErr w:type="spellEnd"/>
      <w:r w:rsidRPr="00C73B36">
        <w:rPr>
          <w:rFonts w:ascii="Book Antiqua" w:eastAsia="Times New Roman" w:hAnsi="Book Antiqua" w:cs="Arial"/>
          <w:color w:val="000000"/>
          <w:kern w:val="0"/>
          <w:sz w:val="19"/>
          <w:szCs w:val="19"/>
          <w:lang w:eastAsia="pt-BR"/>
          <w14:ligatures w14:val="none"/>
        </w:rPr>
        <w:t xml:space="preserve"> et al., 2004).</w:t>
      </w:r>
    </w:p>
    <w:p w14:paraId="7876F25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Estudos brasileiros de base populacional em idosos apontam a existência de incapacidade entre idosos em cifras que variam de 2 a 45% dos idosos (</w:t>
      </w:r>
      <w:proofErr w:type="spellStart"/>
      <w:r w:rsidRPr="00C73B36">
        <w:rPr>
          <w:rFonts w:ascii="Book Antiqua" w:eastAsia="Times New Roman" w:hAnsi="Book Antiqua" w:cs="Arial"/>
          <w:color w:val="000000"/>
          <w:kern w:val="0"/>
          <w:sz w:val="19"/>
          <w:szCs w:val="19"/>
          <w:lang w:eastAsia="pt-BR"/>
          <w14:ligatures w14:val="none"/>
        </w:rPr>
        <w:t>Giacomin</w:t>
      </w:r>
      <w:proofErr w:type="spellEnd"/>
      <w:r w:rsidRPr="00C73B36">
        <w:rPr>
          <w:rFonts w:ascii="Book Antiqua" w:eastAsia="Times New Roman" w:hAnsi="Book Antiqua" w:cs="Arial"/>
          <w:color w:val="000000"/>
          <w:kern w:val="0"/>
          <w:sz w:val="19"/>
          <w:szCs w:val="19"/>
          <w:lang w:eastAsia="pt-BR"/>
          <w14:ligatures w14:val="none"/>
        </w:rPr>
        <w:t xml:space="preserve"> et al., 2005; Duarte, 2003; Lima-Costa, 2003; Rosa et al; 2003), dependendo da idade e do sexo.</w:t>
      </w:r>
    </w:p>
    <w:p w14:paraId="063BF29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Assim, torna-se imprescindível incluir a condição funcional ao se formularem políticas para a saúde dos idosos e responder, prioritariamente, às pessoas idosas que já apresentem alta dependência.</w:t>
      </w:r>
    </w:p>
    <w:p w14:paraId="44D7200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3. Diretrizes</w:t>
      </w:r>
    </w:p>
    <w:p w14:paraId="0BF40F0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Não se fica velho aos 60 anos. O envelhecimento é um processo natural que </w:t>
      </w:r>
      <w:proofErr w:type="gramStart"/>
      <w:r w:rsidRPr="00C73B36">
        <w:rPr>
          <w:rFonts w:ascii="Book Antiqua" w:eastAsia="Times New Roman" w:hAnsi="Book Antiqua" w:cs="Arial"/>
          <w:color w:val="000000"/>
          <w:kern w:val="0"/>
          <w:sz w:val="19"/>
          <w:szCs w:val="19"/>
          <w:lang w:eastAsia="pt-BR"/>
          <w14:ligatures w14:val="none"/>
        </w:rPr>
        <w:t>ocorre  ao</w:t>
      </w:r>
      <w:proofErr w:type="gramEnd"/>
      <w:r w:rsidRPr="00C73B36">
        <w:rPr>
          <w:rFonts w:ascii="Book Antiqua" w:eastAsia="Times New Roman" w:hAnsi="Book Antiqua" w:cs="Arial"/>
          <w:color w:val="000000"/>
          <w:kern w:val="0"/>
          <w:sz w:val="19"/>
          <w:szCs w:val="19"/>
          <w:lang w:eastAsia="pt-BR"/>
          <w14:ligatures w14:val="none"/>
        </w:rPr>
        <w:t xml:space="preserve"> longo de toda a experiência de vida do ser humano, por meio de escolhas e de circunstâncias. O preconceito contra a velhice e a negação da sociedade quanto a esse fenômeno colaboram para a dificuldade de se pensar políticas específicas para esse grupo. Ainda há os que pensam que se investe na infância e se gasta na velhice. Deve ser um compromisso de todo gestor em saúde compreender que, ainda que os custos de hospitalizações e cuidados prolongados sejam elevados na parcela idosa, também </w:t>
      </w:r>
      <w:proofErr w:type="gramStart"/>
      <w:r w:rsidRPr="00C73B36">
        <w:rPr>
          <w:rFonts w:ascii="Book Antiqua" w:eastAsia="Times New Roman" w:hAnsi="Book Antiqua" w:cs="Arial"/>
          <w:color w:val="000000"/>
          <w:kern w:val="0"/>
          <w:sz w:val="19"/>
          <w:szCs w:val="19"/>
          <w:lang w:eastAsia="pt-BR"/>
          <w14:ligatures w14:val="none"/>
        </w:rPr>
        <w:t>aí  está</w:t>
      </w:r>
      <w:proofErr w:type="gramEnd"/>
      <w:r w:rsidRPr="00C73B36">
        <w:rPr>
          <w:rFonts w:ascii="Book Antiqua" w:eastAsia="Times New Roman" w:hAnsi="Book Antiqua" w:cs="Arial"/>
          <w:color w:val="000000"/>
          <w:kern w:val="0"/>
          <w:sz w:val="19"/>
          <w:szCs w:val="19"/>
          <w:lang w:eastAsia="pt-BR"/>
          <w14:ligatures w14:val="none"/>
        </w:rPr>
        <w:t xml:space="preserve"> se investindo na velhice “Quando o envelhecimento é aceito como um êxito, o aproveitamento da competência, experiência e dos recursos humanos dos grupos mais velhos é assumido com naturalidade, como uma vantagem para o crescimento de sociedades humanas maduras e plenamente integradas” (Plano de Madri, Artigo 6º).</w:t>
      </w:r>
    </w:p>
    <w:p w14:paraId="2CF11D4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Envelhecer, portanto, deve ser com saúde, de forma ativa, livre de qualquer tipo de dependência funcional, o que exige promoção da saúde em todas as idades. Importante acrescentar que muitos idosos brasileiros envelheceram e envelhecem apesar da falta de recursos e da falta de cuidados específicos de promoção e de prevenção em saúde. Entre esses estão os idosos que vivem abaixo da linha de pobreza, analfabetos, os </w:t>
      </w:r>
      <w:proofErr w:type="spellStart"/>
      <w:r w:rsidRPr="00C73B36">
        <w:rPr>
          <w:rFonts w:ascii="Book Antiqua" w:eastAsia="Times New Roman" w:hAnsi="Book Antiqua" w:cs="Arial"/>
          <w:color w:val="000000"/>
          <w:kern w:val="0"/>
          <w:sz w:val="19"/>
          <w:szCs w:val="19"/>
          <w:lang w:eastAsia="pt-BR"/>
          <w14:ligatures w14:val="none"/>
        </w:rPr>
        <w:t>seqüelados</w:t>
      </w:r>
      <w:proofErr w:type="spellEnd"/>
      <w:r w:rsidRPr="00C73B36">
        <w:rPr>
          <w:rFonts w:ascii="Book Antiqua" w:eastAsia="Times New Roman" w:hAnsi="Book Antiqua" w:cs="Arial"/>
          <w:color w:val="000000"/>
          <w:kern w:val="0"/>
          <w:sz w:val="19"/>
          <w:szCs w:val="19"/>
          <w:lang w:eastAsia="pt-BR"/>
          <w14:ligatures w14:val="none"/>
        </w:rPr>
        <w:t xml:space="preserve"> de acidentes de trabalho, os amputados por arteriopatias, os hemiplégicos, os idosos com síndromes demenciais, e para eles também é preciso achar respostas e ter ações específicas.</w:t>
      </w:r>
    </w:p>
    <w:p w14:paraId="38FD7DF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São apresentadas abaixo as diretrizes da Política Nacional de Saúde da Pessoa Idosa:</w:t>
      </w:r>
    </w:p>
    <w:p w14:paraId="6FD7588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promoção do envelhecimento ativo e saudável;</w:t>
      </w:r>
    </w:p>
    <w:p w14:paraId="336B47E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atenção integral, integrada à saúde da pessoa idosa;</w:t>
      </w:r>
    </w:p>
    <w:p w14:paraId="35B1FFE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estímulo às ações intersetoriais, visando à integralidade da atenção;</w:t>
      </w:r>
    </w:p>
    <w:p w14:paraId="08B3D18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provimento de recursos capazes de assegurar qualidade da atenção à saúde da pessoa idosa;</w:t>
      </w:r>
    </w:p>
    <w:p w14:paraId="75793AB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e) estímulo à participação e fortalecimento do controle social;</w:t>
      </w:r>
    </w:p>
    <w:p w14:paraId="46CEA48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formação e educação permanente dos profissionais de saúde do SUS na área de saúde da pessoa idosa;</w:t>
      </w:r>
    </w:p>
    <w:p w14:paraId="008A6FF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g) divulgação e informação sobre a Política Nacional de Saúde da Pessoa Idosa para profissionais de saúde, gestores e usuários do SUS;</w:t>
      </w:r>
    </w:p>
    <w:p w14:paraId="59F51A0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h) promoção de cooperação nacional e internacional das experiências na atenção à saúde da pessoa idosa; e</w:t>
      </w:r>
    </w:p>
    <w:p w14:paraId="2AF5A36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i) apoio ao desenvolvimento </w:t>
      </w:r>
      <w:proofErr w:type="gramStart"/>
      <w:r w:rsidRPr="00C73B36">
        <w:rPr>
          <w:rFonts w:ascii="Book Antiqua" w:eastAsia="Times New Roman" w:hAnsi="Book Antiqua" w:cs="Arial"/>
          <w:color w:val="000000"/>
          <w:kern w:val="0"/>
          <w:sz w:val="19"/>
          <w:szCs w:val="19"/>
          <w:lang w:eastAsia="pt-BR"/>
          <w14:ligatures w14:val="none"/>
        </w:rPr>
        <w:t>de  estudos</w:t>
      </w:r>
      <w:proofErr w:type="gramEnd"/>
      <w:r w:rsidRPr="00C73B36">
        <w:rPr>
          <w:rFonts w:ascii="Book Antiqua" w:eastAsia="Times New Roman" w:hAnsi="Book Antiqua" w:cs="Arial"/>
          <w:color w:val="000000"/>
          <w:kern w:val="0"/>
          <w:sz w:val="19"/>
          <w:szCs w:val="19"/>
          <w:lang w:eastAsia="pt-BR"/>
          <w14:ligatures w14:val="none"/>
        </w:rPr>
        <w:t xml:space="preserve"> e pesquisas.</w:t>
      </w:r>
    </w:p>
    <w:p w14:paraId="2C8B0961" w14:textId="0BCCDD72"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highlight w:val="magenta"/>
          <w:lang w:eastAsia="pt-BR"/>
          <w14:ligatures w14:val="none"/>
        </w:rPr>
        <w:t>3.1</w:t>
      </w:r>
      <w:r w:rsidRPr="00C73B36">
        <w:rPr>
          <w:rFonts w:ascii="Book Antiqua" w:eastAsia="Times New Roman" w:hAnsi="Book Antiqua" w:cs="Arial"/>
          <w:color w:val="000000"/>
          <w:kern w:val="0"/>
          <w:sz w:val="19"/>
          <w:szCs w:val="19"/>
          <w:lang w:eastAsia="pt-BR"/>
          <w14:ligatures w14:val="none"/>
        </w:rPr>
        <w:t xml:space="preserve">. </w:t>
      </w:r>
      <w:r w:rsidRPr="00021FFF">
        <w:rPr>
          <w:rFonts w:ascii="Book Antiqua" w:eastAsia="Times New Roman" w:hAnsi="Book Antiqua" w:cs="Arial"/>
          <w:b/>
          <w:bCs/>
          <w:color w:val="000000"/>
          <w:kern w:val="0"/>
          <w:sz w:val="19"/>
          <w:szCs w:val="19"/>
          <w:lang w:eastAsia="pt-BR"/>
          <w14:ligatures w14:val="none"/>
        </w:rPr>
        <w:t>Promoção do Envelhecimento Ativo e Saudável</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6CF388FB" w14:textId="3FD9EBB2"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promoção do envelhecimento ativo, isto é, envelhecer mantendo a capacidade funcional e a autonomia, é reconhecidamente a meta de toda ação de saúde. Ela permeia todas as ações desde o pré-natal até a fase da velhice. A abordagem do envelhecimento ativo baseia-se no reconhecimento dos direitos das pessoas idosas e nos princípios de independência, participação, dignidade, assistência e </w:t>
      </w:r>
      <w:proofErr w:type="spellStart"/>
      <w:r w:rsidRPr="00C73B36">
        <w:rPr>
          <w:rFonts w:ascii="Book Antiqua" w:eastAsia="Times New Roman" w:hAnsi="Book Antiqua" w:cs="Arial"/>
          <w:color w:val="000000"/>
          <w:kern w:val="0"/>
          <w:sz w:val="19"/>
          <w:szCs w:val="19"/>
          <w:lang w:eastAsia="pt-BR"/>
          <w14:ligatures w14:val="none"/>
        </w:rPr>
        <w:t>auto-realização</w:t>
      </w:r>
      <w:proofErr w:type="spellEnd"/>
      <w:r w:rsidRPr="00C73B36">
        <w:rPr>
          <w:rFonts w:ascii="Book Antiqua" w:eastAsia="Times New Roman" w:hAnsi="Book Antiqua" w:cs="Arial"/>
          <w:color w:val="000000"/>
          <w:kern w:val="0"/>
          <w:sz w:val="19"/>
          <w:szCs w:val="19"/>
          <w:lang w:eastAsia="pt-BR"/>
          <w14:ligatures w14:val="none"/>
        </w:rPr>
        <w:t xml:space="preserve"> determinados pela Organização das Nações Unidas (WHO, 2002). </w:t>
      </w:r>
      <w:r w:rsidRPr="00021FFF">
        <w:rPr>
          <w:rFonts w:ascii="Book Antiqua" w:eastAsia="Times New Roman" w:hAnsi="Book Antiqua" w:cs="Arial"/>
          <w:b/>
          <w:bCs/>
          <w:color w:val="000000"/>
          <w:kern w:val="0"/>
          <w:sz w:val="19"/>
          <w:szCs w:val="19"/>
          <w:highlight w:val="yellow"/>
          <w:lang w:eastAsia="pt-BR"/>
          <w14:ligatures w14:val="none"/>
        </w:rPr>
        <w:t>Para tanto é importante entender que as pessoas idosas constituem um grupo heterogêneo</w:t>
      </w:r>
      <w:r w:rsidRPr="00C73B36">
        <w:rPr>
          <w:rFonts w:ascii="Book Antiqua" w:eastAsia="Times New Roman" w:hAnsi="Book Antiqua" w:cs="Arial"/>
          <w:color w:val="000000"/>
          <w:kern w:val="0"/>
          <w:sz w:val="19"/>
          <w:szCs w:val="19"/>
          <w:lang w:eastAsia="pt-BR"/>
          <w14:ligatures w14:val="none"/>
        </w:rPr>
        <w:t>. Também será necessário vencer preconceitos e discutir mitos arraigados em nossa cultura. Os profissionais de saúde e a comunidade devem perceber que a prevenção e a promoção de saúde não é privilégio apenas dos jovens. A promoção não termina quando se faz 60 anos e as ações de prevenção, sejam elas primárias, secundárias ou terciárias, devem ser incorporadas à atenção à saúde, em todas as idades.</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55DAEE9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Envelhecimento bem sucedido pode ser entendido a partir de seus três componentes: (a) menor probabilidade de doença; (b) alta capacidade funcional física e mental; e (c) engajamento social ativo com a vida (Kalache &amp; </w:t>
      </w:r>
      <w:proofErr w:type="spellStart"/>
      <w:r w:rsidRPr="00C73B36">
        <w:rPr>
          <w:rFonts w:ascii="Book Antiqua" w:eastAsia="Times New Roman" w:hAnsi="Book Antiqua" w:cs="Arial"/>
          <w:color w:val="000000"/>
          <w:kern w:val="0"/>
          <w:sz w:val="19"/>
          <w:szCs w:val="19"/>
          <w:lang w:eastAsia="pt-BR"/>
          <w14:ligatures w14:val="none"/>
        </w:rPr>
        <w:t>Kickbush</w:t>
      </w:r>
      <w:proofErr w:type="spellEnd"/>
      <w:r w:rsidRPr="00C73B36">
        <w:rPr>
          <w:rFonts w:ascii="Book Antiqua" w:eastAsia="Times New Roman" w:hAnsi="Book Antiqua" w:cs="Arial"/>
          <w:color w:val="000000"/>
          <w:kern w:val="0"/>
          <w:sz w:val="19"/>
          <w:szCs w:val="19"/>
          <w:lang w:eastAsia="pt-BR"/>
          <w14:ligatures w14:val="none"/>
        </w:rPr>
        <w:t xml:space="preserve">, 1997; Rowe &amp; Kahn, 1997; </w:t>
      </w:r>
      <w:proofErr w:type="spellStart"/>
      <w:r w:rsidRPr="00C73B36">
        <w:rPr>
          <w:rFonts w:ascii="Book Antiqua" w:eastAsia="Times New Roman" w:hAnsi="Book Antiqua" w:cs="Arial"/>
          <w:color w:val="000000"/>
          <w:kern w:val="0"/>
          <w:sz w:val="19"/>
          <w:szCs w:val="19"/>
          <w:lang w:eastAsia="pt-BR"/>
          <w14:ligatures w14:val="none"/>
        </w:rPr>
        <w:t>Healthy</w:t>
      </w:r>
      <w:proofErr w:type="spellEnd"/>
      <w:r w:rsidRPr="00C73B36">
        <w:rPr>
          <w:rFonts w:ascii="Book Antiqua" w:eastAsia="Times New Roman" w:hAnsi="Book Antiqua" w:cs="Arial"/>
          <w:color w:val="000000"/>
          <w:kern w:val="0"/>
          <w:sz w:val="19"/>
          <w:szCs w:val="19"/>
          <w:lang w:eastAsia="pt-BR"/>
          <w14:ligatures w14:val="none"/>
        </w:rPr>
        <w:t xml:space="preserve"> People 2000). O Relatório </w:t>
      </w:r>
      <w:proofErr w:type="spellStart"/>
      <w:r w:rsidRPr="00C73B36">
        <w:rPr>
          <w:rFonts w:ascii="Book Antiqua" w:eastAsia="Times New Roman" w:hAnsi="Book Antiqua" w:cs="Arial"/>
          <w:color w:val="000000"/>
          <w:kern w:val="0"/>
          <w:sz w:val="19"/>
          <w:szCs w:val="19"/>
          <w:lang w:eastAsia="pt-BR"/>
          <w14:ligatures w14:val="none"/>
        </w:rPr>
        <w:t>Healthy</w:t>
      </w:r>
      <w:proofErr w:type="spellEnd"/>
      <w:r w:rsidRPr="00C73B36">
        <w:rPr>
          <w:rFonts w:ascii="Book Antiqua" w:eastAsia="Times New Roman" w:hAnsi="Book Antiqua" w:cs="Arial"/>
          <w:color w:val="000000"/>
          <w:kern w:val="0"/>
          <w:sz w:val="19"/>
          <w:szCs w:val="19"/>
          <w:lang w:eastAsia="pt-BR"/>
          <w14:ligatures w14:val="none"/>
        </w:rPr>
        <w:t xml:space="preserve"> People 2000 da OMS enfatiza em seus objetivos: aumentar os anos de vida saudável, reduzir disparidades na saúde entre diferentes grupos populacionais e assegurar o acesso a serviços preventivos de saúde. Além disso, é preciso incentivar e equilibrar a responsabilidade pessoal – cuidado consigo mesmo – ambientes amistosos para a faixa etária e solidariedade entre gerações. As famílias e indivíduos devem se preparar para a velhice, esforçando-se para adotar uma postura de práticas saudáveis em todas as fases da vida (OMS, 2002).</w:t>
      </w:r>
    </w:p>
    <w:p w14:paraId="4B00A00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Com a perspectiva de ampliar o conceito de “envelhecimento saudável”, a Organização Mundial da Saúde propõe “Envelhecimento Ativo: Uma Política de Saúde” (2005), ressaltando que o governo, as organizações internacionais e a sociedade civil devam implementar políticas e programas que melhorem a saúde, a participação e a segurança da pessoa idosa. Considerando o cidadão idoso não mais como passivo, mas como agente das ações a eles direcionadas, numa abordagem baseada em direitos, que valorize os aspectos da vida em comunidade, identificando o potencial para o bem-estar físico, social e mental ao longo do curso da vida.</w:t>
      </w:r>
    </w:p>
    <w:p w14:paraId="7207FFB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Aproveitar todas as oportunidades para:</w:t>
      </w:r>
    </w:p>
    <w:p w14:paraId="37E9DAC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desenvolver e </w:t>
      </w:r>
      <w:proofErr w:type="gramStart"/>
      <w:r w:rsidRPr="00C73B36">
        <w:rPr>
          <w:rFonts w:ascii="Book Antiqua" w:eastAsia="Times New Roman" w:hAnsi="Book Antiqua" w:cs="Arial"/>
          <w:color w:val="000000"/>
          <w:kern w:val="0"/>
          <w:sz w:val="19"/>
          <w:szCs w:val="19"/>
          <w:lang w:eastAsia="pt-BR"/>
          <w14:ligatures w14:val="none"/>
        </w:rPr>
        <w:t>valorizar  o</w:t>
      </w:r>
      <w:proofErr w:type="gramEnd"/>
      <w:r w:rsidRPr="00C73B36">
        <w:rPr>
          <w:rFonts w:ascii="Book Antiqua" w:eastAsia="Times New Roman" w:hAnsi="Book Antiqua" w:cs="Arial"/>
          <w:color w:val="000000"/>
          <w:kern w:val="0"/>
          <w:sz w:val="19"/>
          <w:szCs w:val="19"/>
          <w:lang w:eastAsia="pt-BR"/>
          <w14:ligatures w14:val="none"/>
        </w:rPr>
        <w:t xml:space="preserve"> atendimento acolhedor e resolutivo à pessoa idosa, baseado em critérios de risco;</w:t>
      </w:r>
    </w:p>
    <w:p w14:paraId="217B19A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informar sobre seus direitos, como ser acompanhado por pessoas de sua rede social (livre escolha) e quem são os profissionais que cuidam de sua saúde;</w:t>
      </w:r>
    </w:p>
    <w:p w14:paraId="0A92E95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valorizar e respeitar a velhice;</w:t>
      </w:r>
    </w:p>
    <w:p w14:paraId="410E7CC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estimular a solidariedade para com esse grupo etário;</w:t>
      </w:r>
    </w:p>
    <w:p w14:paraId="63D4E34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e) realizar ações de prevenção de acidentes no domicílio e nas vias públicas, como quedas e atropelamentos;</w:t>
      </w:r>
    </w:p>
    <w:p w14:paraId="791F516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realizar ações integradas de combate à violência doméstica e institucional contra idosos e idosas;</w:t>
      </w:r>
    </w:p>
    <w:p w14:paraId="4184163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g) facilitar a participação das pessoas idosas em equipamentos sociais, grupos de terceira idade, atividade física, conselhos de saúde locais e conselhos comunitários onde o idoso possa ser ouvido e apresentar suas demandas e prioridades;</w:t>
      </w:r>
    </w:p>
    <w:p w14:paraId="0354543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h) articular ações e ampliar a integração entre as secretarias municipais e as estaduais de saúde, e os programas locais desenvolvidos para a difusão da atividade física e o combate ao sedentarismo;</w:t>
      </w:r>
    </w:p>
    <w:p w14:paraId="552F392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i) promover a participação nos grupos operativos e nos grupos de convivência, com ações de promoção, valorização de experiências positivas e difusão dessas na rede, nortear e captar experiências;</w:t>
      </w:r>
    </w:p>
    <w:p w14:paraId="0FAFE34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j) informar e estimular a prática de nutrição balanceada, sexo seguro, imunização e hábitos de vida saudáveis;</w:t>
      </w:r>
    </w:p>
    <w:p w14:paraId="69AF43C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k) realizar ações motivadoras ao abandono do uso de álcool, tabagismo e sedentarismo, em todos os níveis de atenção;</w:t>
      </w:r>
    </w:p>
    <w:p w14:paraId="03C733F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l) promover ações grupais integradoras com inserção de avaliação, diagnóstico </w:t>
      </w:r>
      <w:proofErr w:type="gramStart"/>
      <w:r w:rsidRPr="00C73B36">
        <w:rPr>
          <w:rFonts w:ascii="Book Antiqua" w:eastAsia="Times New Roman" w:hAnsi="Book Antiqua" w:cs="Arial"/>
          <w:color w:val="000000"/>
          <w:kern w:val="0"/>
          <w:sz w:val="19"/>
          <w:szCs w:val="19"/>
          <w:lang w:eastAsia="pt-BR"/>
          <w14:ligatures w14:val="none"/>
        </w:rPr>
        <w:t>e  tratamento</w:t>
      </w:r>
      <w:proofErr w:type="gramEnd"/>
      <w:r w:rsidRPr="00C73B36">
        <w:rPr>
          <w:rFonts w:ascii="Book Antiqua" w:eastAsia="Times New Roman" w:hAnsi="Book Antiqua" w:cs="Arial"/>
          <w:color w:val="000000"/>
          <w:kern w:val="0"/>
          <w:sz w:val="19"/>
          <w:szCs w:val="19"/>
          <w:lang w:eastAsia="pt-BR"/>
          <w14:ligatures w14:val="none"/>
        </w:rPr>
        <w:t xml:space="preserve"> da saúde mental da pessoa idosa;</w:t>
      </w:r>
    </w:p>
    <w:p w14:paraId="0C21069D" w14:textId="415EDFBA" w:rsidR="00C73B36" w:rsidRPr="00021FFF" w:rsidRDefault="00C73B36" w:rsidP="00C73B36">
      <w:pPr>
        <w:spacing w:before="100" w:beforeAutospacing="1" w:after="100" w:afterAutospacing="1" w:line="240" w:lineRule="auto"/>
        <w:ind w:firstLine="567"/>
        <w:jc w:val="both"/>
        <w:rPr>
          <w:rFonts w:ascii="Book Antiqua" w:eastAsia="Times New Roman" w:hAnsi="Book Antiqua" w:cs="Arial"/>
          <w:b/>
          <w:bCs/>
          <w:color w:val="000000"/>
          <w:kern w:val="0"/>
          <w:sz w:val="19"/>
          <w:szCs w:val="19"/>
          <w:u w:val="single"/>
          <w:lang w:eastAsia="pt-BR"/>
          <w14:ligatures w14:val="none"/>
        </w:rPr>
      </w:pPr>
      <w:r w:rsidRPr="00021FFF">
        <w:rPr>
          <w:rFonts w:ascii="Book Antiqua" w:eastAsia="Times New Roman" w:hAnsi="Book Antiqua" w:cs="Arial"/>
          <w:b/>
          <w:bCs/>
          <w:color w:val="000000"/>
          <w:kern w:val="0"/>
          <w:sz w:val="19"/>
          <w:szCs w:val="19"/>
          <w:lang w:eastAsia="pt-BR"/>
          <w14:ligatures w14:val="none"/>
        </w:rPr>
        <w:t>m) reconhecer e incorporar as crenças e modelos culturais dos usuários em seus planos de cuidado, como forma de favorecer a adesão e a eficiência dos recursos e tratamentos disponíveis</w:t>
      </w:r>
      <w:r w:rsidRPr="00021FFF">
        <w:rPr>
          <w:rFonts w:ascii="Book Antiqua" w:eastAsia="Times New Roman" w:hAnsi="Book Antiqua" w:cs="Arial"/>
          <w:b/>
          <w:bCs/>
          <w:color w:val="000000"/>
          <w:kern w:val="0"/>
          <w:sz w:val="16"/>
          <w:szCs w:val="16"/>
          <w:lang w:eastAsia="pt-BR"/>
          <w14:ligatures w14:val="none"/>
        </w:rPr>
        <w:t>;</w:t>
      </w:r>
      <w:r w:rsidR="00021FFF" w:rsidRPr="00021FFF">
        <w:rPr>
          <w:rFonts w:ascii="Book Antiqua" w:eastAsia="Times New Roman" w:hAnsi="Book Antiqua" w:cs="Arial"/>
          <w:b/>
          <w:bCs/>
          <w:color w:val="000000"/>
          <w:kern w:val="0"/>
          <w:sz w:val="16"/>
          <w:szCs w:val="16"/>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tbl>
      <w:tblPr>
        <w:tblStyle w:val="Tabelacomgrade"/>
        <w:tblW w:w="0" w:type="auto"/>
        <w:tblLook w:val="04A0" w:firstRow="1" w:lastRow="0" w:firstColumn="1" w:lastColumn="0" w:noHBand="0" w:noVBand="1"/>
      </w:tblPr>
      <w:tblGrid>
        <w:gridCol w:w="8494"/>
      </w:tblGrid>
      <w:tr w:rsidR="00021FFF" w14:paraId="1D6EA84D" w14:textId="77777777" w:rsidTr="000E079C">
        <w:tc>
          <w:tcPr>
            <w:tcW w:w="8494" w:type="dxa"/>
            <w:shd w:val="clear" w:color="auto" w:fill="CCFFFF"/>
          </w:tcPr>
          <w:p w14:paraId="3F2F8784" w14:textId="5E076AF1" w:rsidR="00021FFF" w:rsidRPr="00C73B36" w:rsidRDefault="00021FFF" w:rsidP="00021FFF">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C73B36">
              <w:rPr>
                <w:rFonts w:ascii="Book Antiqua" w:eastAsia="Times New Roman" w:hAnsi="Book Antiqua" w:cs="Arial"/>
                <w:b/>
                <w:bCs/>
                <w:color w:val="000000"/>
                <w:kern w:val="0"/>
                <w:sz w:val="19"/>
                <w:szCs w:val="19"/>
                <w:highlight w:val="yellow"/>
                <w:lang w:eastAsia="pt-BR"/>
                <w14:ligatures w14:val="none"/>
              </w:rPr>
              <w:t>DPE</w:t>
            </w:r>
            <w:r>
              <w:rPr>
                <w:rFonts w:ascii="Book Antiqua" w:eastAsia="Times New Roman" w:hAnsi="Book Antiqua" w:cs="Arial"/>
                <w:b/>
                <w:bCs/>
                <w:color w:val="000000"/>
                <w:kern w:val="0"/>
                <w:sz w:val="19"/>
                <w:szCs w:val="19"/>
                <w:highlight w:val="yellow"/>
                <w:lang w:eastAsia="pt-BR"/>
                <w14:ligatures w14:val="none"/>
              </w:rPr>
              <w:t>TO</w:t>
            </w:r>
            <w:r w:rsidRPr="00C73B36">
              <w:rPr>
                <w:rFonts w:ascii="Book Antiqua" w:eastAsia="Times New Roman" w:hAnsi="Book Antiqua" w:cs="Arial"/>
                <w:b/>
                <w:bCs/>
                <w:color w:val="000000"/>
                <w:kern w:val="0"/>
                <w:sz w:val="19"/>
                <w:szCs w:val="19"/>
                <w:highlight w:val="yellow"/>
                <w:lang w:eastAsia="pt-BR"/>
                <w14:ligatures w14:val="none"/>
              </w:rPr>
              <w:t>-2022-CESPE</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021FFF">
              <w:rPr>
                <w:rFonts w:ascii="Book Antiqua" w:eastAsia="Times New Roman" w:hAnsi="Book Antiqua" w:cs="Arial"/>
                <w:color w:val="000000"/>
                <w:kern w:val="0"/>
                <w:sz w:val="19"/>
                <w:szCs w:val="19"/>
                <w:lang w:eastAsia="pt-BR"/>
                <w14:ligatures w14:val="none"/>
              </w:rPr>
              <w:t>Com base na Política Nacional de Saúde da Pessoa Idosa, assinale a opção correta</w:t>
            </w:r>
            <w:r>
              <w:rPr>
                <w:rFonts w:ascii="Book Antiqua" w:eastAsia="Times New Roman" w:hAnsi="Book Antiqua" w:cs="Arial"/>
                <w:color w:val="000000"/>
                <w:kern w:val="0"/>
                <w:sz w:val="19"/>
                <w:szCs w:val="19"/>
                <w:lang w:eastAsia="pt-BR"/>
                <w14:ligatures w14:val="none"/>
              </w:rPr>
              <w:t xml:space="preserve">: </w:t>
            </w:r>
            <w:r w:rsidRPr="00021FFF">
              <w:rPr>
                <w:rFonts w:ascii="Book Antiqua" w:eastAsia="Times New Roman" w:hAnsi="Book Antiqua" w:cs="Arial"/>
                <w:color w:val="000000"/>
                <w:kern w:val="0"/>
                <w:sz w:val="19"/>
                <w:szCs w:val="19"/>
                <w:lang w:eastAsia="pt-BR"/>
                <w14:ligatures w14:val="none"/>
              </w:rPr>
              <w:t>As crenças e os modelos culturais devem ser considerados nos cuidados ao idoso, visando-se garantir a eficiência dos recursos e dos tratamentos disponíveis.</w:t>
            </w:r>
          </w:p>
        </w:tc>
      </w:tr>
    </w:tbl>
    <w:p w14:paraId="6A0768E2" w14:textId="2E706395"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n) promover a saúde por meio de serviços preventivos primários, tais como a vacinação da população idosa, em conformidade com a Política Nacional de Imunização;</w:t>
      </w:r>
    </w:p>
    <w:p w14:paraId="394F9A9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o) estimular programas de prevenção de agravos de doenças crônicas não-transmissíveis em indivíduos idosos;</w:t>
      </w:r>
    </w:p>
    <w:p w14:paraId="3DEB642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p) implementar ações que contraponham atitudes preconceituosas e sejam esclarecedoras de que envelhecimento não é sinônimo de doença;</w:t>
      </w:r>
    </w:p>
    <w:p w14:paraId="0A6F2F2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q) disseminar informação adequada sobre o envelhecimento para os profissionais de saúde e para toda a população, em especial para a população idosa;</w:t>
      </w:r>
    </w:p>
    <w:p w14:paraId="66718B7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r) implementar ações para reduzir hospitalizações e aumentar habilidades para o </w:t>
      </w:r>
      <w:proofErr w:type="spellStart"/>
      <w:r w:rsidRPr="00C73B36">
        <w:rPr>
          <w:rFonts w:ascii="Book Antiqua" w:eastAsia="Times New Roman" w:hAnsi="Book Antiqua" w:cs="Arial"/>
          <w:color w:val="000000"/>
          <w:kern w:val="0"/>
          <w:sz w:val="19"/>
          <w:szCs w:val="19"/>
          <w:lang w:eastAsia="pt-BR"/>
          <w14:ligatures w14:val="none"/>
        </w:rPr>
        <w:t>auto-cuidado</w:t>
      </w:r>
      <w:proofErr w:type="spellEnd"/>
      <w:r w:rsidRPr="00C73B36">
        <w:rPr>
          <w:rFonts w:ascii="Book Antiqua" w:eastAsia="Times New Roman" w:hAnsi="Book Antiqua" w:cs="Arial"/>
          <w:color w:val="000000"/>
          <w:kern w:val="0"/>
          <w:sz w:val="19"/>
          <w:szCs w:val="19"/>
          <w:lang w:eastAsia="pt-BR"/>
          <w14:ligatures w14:val="none"/>
        </w:rPr>
        <w:t xml:space="preserve"> dos usuários do SUS;</w:t>
      </w:r>
    </w:p>
    <w:p w14:paraId="2D0138D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s) incluir ações de reabilitação para a pessoa idosa na atenção primária de modo a intervir no processo que origina a dependência funcional;</w:t>
      </w:r>
    </w:p>
    <w:p w14:paraId="22ED6DD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t) investir na promoção da saúde em todas as idades; e</w:t>
      </w:r>
    </w:p>
    <w:p w14:paraId="099A8DC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u) articular as ações do Sistema Único de Saúde com o Sistema Único de Assistência Social – SUAS.</w:t>
      </w:r>
    </w:p>
    <w:p w14:paraId="093D83C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highlight w:val="magenta"/>
          <w:lang w:eastAsia="pt-BR"/>
          <w14:ligatures w14:val="none"/>
        </w:rPr>
        <w:lastRenderedPageBreak/>
        <w:t>3.2</w:t>
      </w:r>
      <w:r w:rsidRPr="00C73B36">
        <w:rPr>
          <w:rFonts w:ascii="Book Antiqua" w:eastAsia="Times New Roman" w:hAnsi="Book Antiqua" w:cs="Arial"/>
          <w:color w:val="000000"/>
          <w:kern w:val="0"/>
          <w:sz w:val="19"/>
          <w:szCs w:val="19"/>
          <w:lang w:eastAsia="pt-BR"/>
          <w14:ligatures w14:val="none"/>
        </w:rPr>
        <w:t>. Atenção Integral e Integrada à Saúde da Pessoa Idosa</w:t>
      </w:r>
    </w:p>
    <w:p w14:paraId="17F6230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atenção integral e integrada à saúde da pessoa idosa deverá ser estruturada nos moldes de uma linha de cuidados, com foco no usuário, baseado nos seus direitos, necessidades, preferências e habilidades; estabelecimento de fluxos bidirecionais funcionantes, aumentando e facilitando o acesso a todos os níveis de atenção; providos de condições essenciais - </w:t>
      </w:r>
      <w:proofErr w:type="spellStart"/>
      <w:r w:rsidRPr="00C73B36">
        <w:rPr>
          <w:rFonts w:ascii="Book Antiqua" w:eastAsia="Times New Roman" w:hAnsi="Book Antiqua" w:cs="Arial"/>
          <w:color w:val="000000"/>
          <w:kern w:val="0"/>
          <w:sz w:val="19"/>
          <w:szCs w:val="19"/>
          <w:lang w:eastAsia="pt-BR"/>
          <w14:ligatures w14:val="none"/>
        </w:rPr>
        <w:t>infra-estrutura</w:t>
      </w:r>
      <w:proofErr w:type="spellEnd"/>
      <w:r w:rsidRPr="00C73B36">
        <w:rPr>
          <w:rFonts w:ascii="Book Antiqua" w:eastAsia="Times New Roman" w:hAnsi="Book Antiqua" w:cs="Arial"/>
          <w:color w:val="000000"/>
          <w:kern w:val="0"/>
          <w:sz w:val="19"/>
          <w:szCs w:val="19"/>
          <w:lang w:eastAsia="pt-BR"/>
          <w14:ligatures w14:val="none"/>
        </w:rPr>
        <w:t xml:space="preserve"> física adequada, insumos e pessoal qualificado para a boa qualidade técnica.</w:t>
      </w:r>
    </w:p>
    <w:p w14:paraId="58AA3E9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Instrumentos gerenciais baseados em levantamento de dados sobre a capacidade funcional (inventários funcionais) e </w:t>
      </w:r>
      <w:proofErr w:type="spellStart"/>
      <w:r w:rsidRPr="00C73B36">
        <w:rPr>
          <w:rFonts w:ascii="Book Antiqua" w:eastAsia="Times New Roman" w:hAnsi="Book Antiqua" w:cs="Arial"/>
          <w:color w:val="000000"/>
          <w:kern w:val="0"/>
          <w:sz w:val="19"/>
          <w:szCs w:val="19"/>
          <w:lang w:eastAsia="pt-BR"/>
          <w14:ligatures w14:val="none"/>
        </w:rPr>
        <w:t>sócio-familiares</w:t>
      </w:r>
      <w:proofErr w:type="spellEnd"/>
      <w:r w:rsidRPr="00C73B36">
        <w:rPr>
          <w:rFonts w:ascii="Book Antiqua" w:eastAsia="Times New Roman" w:hAnsi="Book Antiqua" w:cs="Arial"/>
          <w:color w:val="000000"/>
          <w:kern w:val="0"/>
          <w:sz w:val="19"/>
          <w:szCs w:val="19"/>
          <w:lang w:eastAsia="pt-BR"/>
          <w14:ligatures w14:val="none"/>
        </w:rPr>
        <w:t xml:space="preserve"> da pessoa idosa deverão ser implementados pelos gestores municipais e estaduais do SUS, para que haja a participação de profissionais de saúde e usuários na construção de planos locais de ações para enfrentamento das dificuldades inerentes à complexidade de saúde da pessoa idosa.</w:t>
      </w:r>
    </w:p>
    <w:p w14:paraId="16304DE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Incorporação, na atenção básica, de mecanismos que promovam a melhoria da qualidade e aumento da resolutividade da atenção à pessoa idosa, com envolvimento dos profissionais da atenção básica e das equipes do Saúde da Família, incluindo a atenção domiciliar e ambulatorial, com incentivo à utilização de instrumentos técnicos validados, como de avaliação funcional e psicossocial.</w:t>
      </w:r>
    </w:p>
    <w:p w14:paraId="5628392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Incorporação, na atenção especializada, de mecanismos que fortaleçam a atenção à pessoa idosa: reestruturação e implementação das Redes Estaduais de Atenção à Saúde da Pessoa Idosa, visando a integração efetiva com a atenção básica e os demais níveis de atenção, garantindo a integralidade da atenção, por meio do estabelecimento de fluxos de referência e </w:t>
      </w:r>
      <w:proofErr w:type="spellStart"/>
      <w:r w:rsidRPr="00C73B36">
        <w:rPr>
          <w:rFonts w:ascii="Book Antiqua" w:eastAsia="Times New Roman" w:hAnsi="Book Antiqua" w:cs="Arial"/>
          <w:color w:val="000000"/>
          <w:kern w:val="0"/>
          <w:sz w:val="19"/>
          <w:szCs w:val="19"/>
          <w:lang w:eastAsia="pt-BR"/>
          <w14:ligatures w14:val="none"/>
        </w:rPr>
        <w:t>contra-referência</w:t>
      </w:r>
      <w:proofErr w:type="spellEnd"/>
      <w:r w:rsidRPr="00C73B36">
        <w:rPr>
          <w:rFonts w:ascii="Book Antiqua" w:eastAsia="Times New Roman" w:hAnsi="Book Antiqua" w:cs="Arial"/>
          <w:color w:val="000000"/>
          <w:kern w:val="0"/>
          <w:sz w:val="19"/>
          <w:szCs w:val="19"/>
          <w:lang w:eastAsia="pt-BR"/>
          <w14:ligatures w14:val="none"/>
        </w:rPr>
        <w:t>; e implementando de forma efetiva modalidades de atendimento que correspondam às necessidades da população idosa, com abordagem multiprofissional e interdisciplinar, sempre que possível. Contemplando também fluxos de retaguarda para a rede hospitalar e demais especialidades, disponíveis no Sistema Único de Saúde.</w:t>
      </w:r>
    </w:p>
    <w:p w14:paraId="60248E0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prática de cuidados às pessoas idosas exige abordagem global, interdisciplinar e multidimensional, que leve em conta a grande interação entre os fatores físicos, psicológicos e sociais que influenciam a saúde dos idosos e a importância do ambiente no qual está inserido. A abordagem também precisa ser flexível e adaptável às necessidades de uma clientela específica. A identificação e o reconhecimento da rede de suporte social e de suas necessidades também faz parte da avaliação sistemática, objetivando prevenir e detectar precocemente o cansaço das pessoas que cuidam. As intervenções devem ser feitas e orientadas com vistas à promoção da autonomia e independência da pessoa </w:t>
      </w:r>
      <w:proofErr w:type="gramStart"/>
      <w:r w:rsidRPr="00C73B36">
        <w:rPr>
          <w:rFonts w:ascii="Book Antiqua" w:eastAsia="Times New Roman" w:hAnsi="Book Antiqua" w:cs="Arial"/>
          <w:color w:val="000000"/>
          <w:kern w:val="0"/>
          <w:sz w:val="19"/>
          <w:szCs w:val="19"/>
          <w:lang w:eastAsia="pt-BR"/>
          <w14:ligatures w14:val="none"/>
        </w:rPr>
        <w:t>idosa,  estimulando</w:t>
      </w:r>
      <w:proofErr w:type="gramEnd"/>
      <w:r w:rsidRPr="00C73B36">
        <w:rPr>
          <w:rFonts w:ascii="Book Antiqua" w:eastAsia="Times New Roman" w:hAnsi="Book Antiqua" w:cs="Arial"/>
          <w:color w:val="000000"/>
          <w:kern w:val="0"/>
          <w:sz w:val="19"/>
          <w:szCs w:val="19"/>
          <w:lang w:eastAsia="pt-BR"/>
          <w14:ligatures w14:val="none"/>
        </w:rPr>
        <w:t xml:space="preserve">-a para o </w:t>
      </w:r>
      <w:proofErr w:type="spellStart"/>
      <w:r w:rsidRPr="00C73B36">
        <w:rPr>
          <w:rFonts w:ascii="Book Antiqua" w:eastAsia="Times New Roman" w:hAnsi="Book Antiqua" w:cs="Arial"/>
          <w:color w:val="000000"/>
          <w:kern w:val="0"/>
          <w:sz w:val="19"/>
          <w:szCs w:val="19"/>
          <w:lang w:eastAsia="pt-BR"/>
          <w14:ligatures w14:val="none"/>
        </w:rPr>
        <w:t>auto-cuidado</w:t>
      </w:r>
      <w:proofErr w:type="spellEnd"/>
      <w:r w:rsidRPr="00C73B36">
        <w:rPr>
          <w:rFonts w:ascii="Book Antiqua" w:eastAsia="Times New Roman" w:hAnsi="Book Antiqua" w:cs="Arial"/>
          <w:color w:val="000000"/>
          <w:kern w:val="0"/>
          <w:sz w:val="19"/>
          <w:szCs w:val="19"/>
          <w:lang w:eastAsia="pt-BR"/>
          <w14:ligatures w14:val="none"/>
        </w:rPr>
        <w:t xml:space="preserve">. Grupos de </w:t>
      </w:r>
      <w:proofErr w:type="spellStart"/>
      <w:r w:rsidRPr="00C73B36">
        <w:rPr>
          <w:rFonts w:ascii="Book Antiqua" w:eastAsia="Times New Roman" w:hAnsi="Book Antiqua" w:cs="Arial"/>
          <w:color w:val="000000"/>
          <w:kern w:val="0"/>
          <w:sz w:val="19"/>
          <w:szCs w:val="19"/>
          <w:lang w:eastAsia="pt-BR"/>
          <w14:ligatures w14:val="none"/>
        </w:rPr>
        <w:t>auto-ajuda</w:t>
      </w:r>
      <w:proofErr w:type="spellEnd"/>
      <w:r w:rsidRPr="00C73B36">
        <w:rPr>
          <w:rFonts w:ascii="Book Antiqua" w:eastAsia="Times New Roman" w:hAnsi="Book Antiqua" w:cs="Arial"/>
          <w:color w:val="000000"/>
          <w:kern w:val="0"/>
          <w:sz w:val="19"/>
          <w:szCs w:val="19"/>
          <w:lang w:eastAsia="pt-BR"/>
          <w14:ligatures w14:val="none"/>
        </w:rPr>
        <w:t xml:space="preserve"> entre as pessoas que cuidam devem ser estimulados.</w:t>
      </w:r>
    </w:p>
    <w:p w14:paraId="7568FFE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Uma abordagem preventiva e uma intervenção precoce são sempre preferíveis às intervenções curativas tardias. Para tanto, é necessária a vigilância de todos os membros da equipe de saúde, a aplicação de instrumentos de avaliação e de testes de triagem, para detecção de distúrbios cognitivos, visuais, de mobilidade, de audição, de depressão e do comprometimento precoce da funcionalidade, dentre outros.</w:t>
      </w:r>
    </w:p>
    <w:p w14:paraId="582F0415" w14:textId="239D2DC6"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highlight w:val="yellow"/>
          <w:lang w:eastAsia="pt-BR"/>
          <w14:ligatures w14:val="none"/>
        </w:rPr>
        <w:t>O modelo de atenção à saúde baseado na assistência médica individual não se mostra eficaz na prevenção, educação e intervenção, em questões sociais, ficando muitas vezes restritas às complicações advindas de afecções crônicas</w:t>
      </w:r>
      <w:r w:rsidRPr="00C73B36">
        <w:rPr>
          <w:rFonts w:ascii="Book Antiqua" w:eastAsia="Times New Roman" w:hAnsi="Book Antiqua" w:cs="Arial"/>
          <w:color w:val="000000"/>
          <w:kern w:val="0"/>
          <w:sz w:val="19"/>
          <w:szCs w:val="19"/>
          <w:lang w:eastAsia="pt-BR"/>
          <w14:ligatures w14:val="none"/>
        </w:rPr>
        <w:t>. A cada etapa de intervenção os profissionais deverão considerar os anseios do idoso e de sua família. Pressupondo-se troca de informações e negociação das expectativas de cada um, levando-se em consideração elementos históricos do paciente, seus recursos individuais e sociais e aqueles da rede de suporte social disponível no local.</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1EBC838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Um dos instrumentos gerenciais imprescindíveis é a implementação da avaliação funcional individual e coletiva. A partir da avaliação funcional coletiva determina-se a pirâmide de risco funcional, estabelecida com base nas informações relativas aos critérios de risco da população assistida pelas Unidades Básicas de Saúde (UBS) de cada município. Verifica-se como está distribuída a população adscrita à equipe do Saúde da Família, com base no inventário de risco funcional. Nos municípios que não dispõem da Estratégia Saúde da Família, as equipes das UBS poderão ser </w:t>
      </w:r>
      <w:r w:rsidRPr="00C73B36">
        <w:rPr>
          <w:rFonts w:ascii="Book Antiqua" w:eastAsia="Times New Roman" w:hAnsi="Book Antiqua" w:cs="Arial"/>
          <w:color w:val="000000"/>
          <w:kern w:val="0"/>
          <w:sz w:val="19"/>
          <w:szCs w:val="19"/>
          <w:lang w:eastAsia="pt-BR"/>
          <w14:ligatures w14:val="none"/>
        </w:rPr>
        <w:lastRenderedPageBreak/>
        <w:t>responsáveis por esse levantamento e acompanhamento. Assim, é possível conhecer qual a proporção de idosos que vivem em Instituições de Longa Permanência para Idosos, a proporção daqueles com alta dependência funcional – acamados –, a proporção dos que já apresentam alguma incapacidade funcional para atividades básicas da vida diária (AVD) – como tomar banho, vestir-se, usar o banheiro, transferir-se da cama para a cadeira, ser continente e alimentar-se com a própria mão – e qual a proporção de idosos independentes.</w:t>
      </w:r>
    </w:p>
    <w:p w14:paraId="410DB89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Considera-se o idoso independente aquele que é capaz de realizar sem dificuldades e sem ajuda todas as atividades de vida diária citadas acima. Esses idosos comporão a base da pirâmide.</w:t>
      </w:r>
    </w:p>
    <w:p w14:paraId="466F52B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Indivíduos idosos, mesmo sendo independentes, mas que apresentem alguma dificuldade nas atividades instrumentais de vida diária (AIVD) – preparar refeições, controlar a própria medicação, fazer compras, controlar o próprio dinheiro, usar o telefone, fazer pequenas tarefas e reparos domésticos e sair de casa sozinho utilizando uma condução coletiva –, são considerados idosos com potencial para desenvolver fragilidade e por isso merecerão atenção específica pelos profissionais de saúde e devem ser acompanhados com maior </w:t>
      </w:r>
      <w:proofErr w:type="spellStart"/>
      <w:r w:rsidRPr="00C73B36">
        <w:rPr>
          <w:rFonts w:ascii="Book Antiqua" w:eastAsia="Times New Roman" w:hAnsi="Book Antiqua" w:cs="Arial"/>
          <w:color w:val="000000"/>
          <w:kern w:val="0"/>
          <w:sz w:val="19"/>
          <w:szCs w:val="19"/>
          <w:lang w:eastAsia="pt-BR"/>
          <w14:ligatures w14:val="none"/>
        </w:rPr>
        <w:t>freqüência</w:t>
      </w:r>
      <w:proofErr w:type="spellEnd"/>
      <w:r w:rsidRPr="00C73B36">
        <w:rPr>
          <w:rFonts w:ascii="Book Antiqua" w:eastAsia="Times New Roman" w:hAnsi="Book Antiqua" w:cs="Arial"/>
          <w:color w:val="000000"/>
          <w:kern w:val="0"/>
          <w:sz w:val="19"/>
          <w:szCs w:val="19"/>
          <w:lang w:eastAsia="pt-BR"/>
          <w14:ligatures w14:val="none"/>
        </w:rPr>
        <w:t>.</w:t>
      </w:r>
    </w:p>
    <w:p w14:paraId="37C44856" w14:textId="71510CCD"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021FFF">
        <w:rPr>
          <w:rFonts w:ascii="Book Antiqua" w:eastAsia="Times New Roman" w:hAnsi="Book Antiqua" w:cs="Arial"/>
          <w:b/>
          <w:bCs/>
          <w:color w:val="000000"/>
          <w:kern w:val="0"/>
          <w:sz w:val="19"/>
          <w:szCs w:val="19"/>
          <w:lang w:eastAsia="pt-BR"/>
          <w14:ligatures w14:val="none"/>
        </w:rPr>
        <w:t xml:space="preserve">Considera-se idoso frágil ou em situação de fragilidade aquele que: vive em ILPI, encontra-se acamado, esteve hospitalizado recentemente por qualquer razão, apresente doenças sabidamente causadoras de incapacidade funcional – acidente vascular encefálico, síndromes demenciais e outras doenças neurodegenerativas, etilismo, neoplasia terminal, amputações de membros –, encontra-se com pelo menos uma incapacidade funcional básica, ou viva situações de violência doméstica. </w:t>
      </w:r>
      <w:r w:rsidRPr="00021FFF">
        <w:rPr>
          <w:rFonts w:ascii="Book Antiqua" w:eastAsia="Times New Roman" w:hAnsi="Book Antiqua" w:cs="Arial"/>
          <w:b/>
          <w:bCs/>
          <w:color w:val="000000"/>
          <w:kern w:val="0"/>
          <w:sz w:val="19"/>
          <w:szCs w:val="19"/>
          <w:highlight w:val="yellow"/>
          <w:lang w:eastAsia="pt-BR"/>
          <w14:ligatures w14:val="none"/>
        </w:rPr>
        <w:t>Por critério etário, a literatura estabelece que também é frágil o idoso com 75 anos ou mais de idade</w:t>
      </w:r>
      <w:r w:rsidRPr="00021FFF">
        <w:rPr>
          <w:rFonts w:ascii="Book Antiqua" w:eastAsia="Times New Roman" w:hAnsi="Book Antiqua" w:cs="Arial"/>
          <w:b/>
          <w:bCs/>
          <w:color w:val="000000"/>
          <w:kern w:val="0"/>
          <w:sz w:val="19"/>
          <w:szCs w:val="19"/>
          <w:lang w:eastAsia="pt-BR"/>
          <w14:ligatures w14:val="none"/>
        </w:rPr>
        <w:t>. Outros critérios poderão ser acrescidos ou modificados de acordo com as realidades locais</w:t>
      </w:r>
      <w:r w:rsidRPr="00C73B36">
        <w:rPr>
          <w:rFonts w:ascii="Book Antiqua" w:eastAsia="Times New Roman" w:hAnsi="Book Antiqua" w:cs="Arial"/>
          <w:color w:val="000000"/>
          <w:kern w:val="0"/>
          <w:sz w:val="19"/>
          <w:szCs w:val="19"/>
          <w:lang w:eastAsia="pt-BR"/>
          <w14:ligatures w14:val="none"/>
        </w:rPr>
        <w:t>.</w:t>
      </w:r>
      <w:r w:rsidR="00021FFF">
        <w:rPr>
          <w:rFonts w:ascii="Book Antiqua" w:eastAsia="Times New Roman" w:hAnsi="Book Antiqua" w:cs="Arial"/>
          <w:color w:val="000000"/>
          <w:kern w:val="0"/>
          <w:sz w:val="19"/>
          <w:szCs w:val="19"/>
          <w:lang w:eastAsia="pt-BR"/>
          <w14:ligatures w14:val="none"/>
        </w:rPr>
        <w:t xml:space="preserve"> </w:t>
      </w:r>
      <w:r w:rsidR="00021FFF" w:rsidRPr="00021FFF">
        <w:rPr>
          <w:rFonts w:ascii="Book Antiqua" w:eastAsia="Times New Roman" w:hAnsi="Book Antiqua" w:cs="Arial"/>
          <w:b/>
          <w:bCs/>
          <w:color w:val="FF0000"/>
          <w:kern w:val="0"/>
          <w:sz w:val="16"/>
          <w:szCs w:val="16"/>
          <w:u w:val="single"/>
          <w:lang w:eastAsia="pt-BR"/>
          <w14:ligatures w14:val="none"/>
        </w:rPr>
        <w:t>(DPETO-2022)</w:t>
      </w:r>
    </w:p>
    <w:p w14:paraId="0017E4A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Uma vez conhecida a condição de fragilidade, será necessário avaliar os recursos locais para lidar com ela, de modo a facilitar o cuidado domiciliar, incluir a pessoa que cuida no ambiente familiar como um parceiro da equipe de cuidados, fomentar uma rede de solidariedade para com o idoso frágil e sua família, bem como promover a reinserção da parcela idosa frágil na comunidade.</w:t>
      </w:r>
    </w:p>
    <w:p w14:paraId="2FAAE91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De acordo com a condição funcional da pessoa idosa serão estabelecidas ações de atenção primária, de prevenção – primária, secundária e terciária –, de reabilitação, para a recuperação da máxima autonomia funcional, prevenção do declínio funcional, e recuperação da saúde. Estarão incluídas nessas ações o controle e a prevenção de agravos de doenças crônicas não-transmissíveis.</w:t>
      </w:r>
    </w:p>
    <w:p w14:paraId="4ABC700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Todo profissional deve procurar promover a qualidade de vida da pessoa idosa, quando chamado a atendê-la. É importante viver muito, mas é fundamental viver bem. Preservar a autonomia e a independência funcional das pessoas idosas deve ser a meta em todos os níveis de atenção.</w:t>
      </w:r>
    </w:p>
    <w:p w14:paraId="3A22496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Ficam estabelecidos, portanto, os dois grandes eixos norteadores para a integralidade de ações: o enfrentamento de fragilidades, da pessoa idosa, da família e do sistema de saúde; e a promoção da saúde e da integração social, em todos os níveis de atenção.</w:t>
      </w:r>
    </w:p>
    <w:p w14:paraId="5067E41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3.3. Estímulo às Ações Intersetoriais, visando à Integralidade da Atenção</w:t>
      </w:r>
    </w:p>
    <w:p w14:paraId="3CA62C1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prática da intersetorialidade pressupõe o reconhecimento de parceiros e de órgãos governamentais e não-governamentais que trabalham com a população idosa. A organização do cuidado intersetorial a essa população evita duplicidade de ações, corrige distorções e potencializa a rede de solidariedade.</w:t>
      </w:r>
    </w:p>
    <w:p w14:paraId="4DF6FB4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As ações intersetoriais visando à integralidade da atenção à saúde da pessoa idosa devem ser promovidas e implementadas, considerando as características e as necessidades locais.</w:t>
      </w:r>
    </w:p>
    <w:p w14:paraId="171282C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3.4. Provimento de Recursos Capazes de Assegurar Qualidade da Atenção à Saúde da Pessoa Idosa</w:t>
      </w:r>
    </w:p>
    <w:p w14:paraId="3C2EBCD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Deverão ser definidas e pactuadas com os estados, o Distrito Federal e os municípios as formas de financiamento que ainda não foram regulamentadas, para aprimoramento da qualidade técnica da atenção à saúde prestada à pessoa idosa. Os mecanismos e os fluxos de financiamento devem ter por base as programações ascendentes de estratégias que possibilitem a valorização do cuidado humanizado ao indivíduo idoso. Abaixo são apresentados os itens prioritários para a pactuação:</w:t>
      </w:r>
    </w:p>
    <w:p w14:paraId="680E793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provimento de insumos, de suporte em todos os níveis de atenção, prioritariamente na atenção domiciliar inclusive medicamentos;</w:t>
      </w:r>
    </w:p>
    <w:p w14:paraId="0E4C096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provimento de recursos para adequação de estrutura física dos serviços próprios do SUS;</w:t>
      </w:r>
    </w:p>
    <w:p w14:paraId="161225B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provimento de recursos para ações de qualificação e de capacitação de recursos humanos, e incremento da qualidade técnica dos profissionais de saúde do SUS na atenção à pessoa idosa;</w:t>
      </w:r>
    </w:p>
    <w:p w14:paraId="513CA64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produção de material de divulgação e informativos sobre a Política Nacional de Saúde da Pessoa Idosa, normas técnicas e operacionais, protocolos e manuais de atenção, para profissionais de saúde, gestores e usuários do SUS;</w:t>
      </w:r>
    </w:p>
    <w:p w14:paraId="1EC3EDB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implementação de procedimento ambulatorial específico para a avaliação global do idoso; e</w:t>
      </w:r>
    </w:p>
    <w:p w14:paraId="5D83BCA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determinação de critérios mínimos de estrutura, processo e resultados, com vistas a melhorar o atendimento à população idosa, aplicáveis às unidades de saúde do SUS, de modo que a adequação a esses critérios seja incentivada e mereça reconhecimento.</w:t>
      </w:r>
    </w:p>
    <w:p w14:paraId="21EA3D5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3.5. Estímulo à Participação e Fortalecimento do Controle Social</w:t>
      </w:r>
    </w:p>
    <w:p w14:paraId="323F520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Deve-se estimular a inclusão nas Conferências Municipais e Estaduais de Saúde de temas relacionados à atenção à população idosa, incluindo o estímulo à participação de cidadãos e cidadãs idosos na formulação e no controle social das ações deliberadas nessas Conferências.</w:t>
      </w:r>
    </w:p>
    <w:p w14:paraId="423A84D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Devem ser estimulados e implementados os vínculos dos serviços de saúde com os seus usuários, privilegiando os núcleos familiares e comunitários, criando, assim, condições para uma efetiva participação e controle social da parcela idosa da população.</w:t>
      </w:r>
    </w:p>
    <w:p w14:paraId="5A075C6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3.6. Divulgação e Informação sobre a Política Nacional de Saúde da Pessoa Idosa para Profissionais de Saúde, Gestores e Usuários do SUS</w:t>
      </w:r>
    </w:p>
    <w:p w14:paraId="6771115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As medidas a serem adotadas buscarão:</w:t>
      </w:r>
    </w:p>
    <w:p w14:paraId="77B337B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incluir a PNSPI na agenda de atividades da comunicação social do SUS;</w:t>
      </w:r>
    </w:p>
    <w:p w14:paraId="316CF35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produzir material de divulgação, tais como cartazes, cartilhas, folhetos e vídeos;</w:t>
      </w:r>
    </w:p>
    <w:p w14:paraId="3BBF5F3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promover ações de informação e divulgação da atenção à saúde da pessoa idosa, respeitando as especificidades regionais e culturais do País e direcionadas aos trabalhadores, aos gestores, aos conselheiros de saúde, bem como aos docentes e discentes da área de saúde e à comunidade em geral;</w:t>
      </w:r>
    </w:p>
    <w:p w14:paraId="37B587D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apoiar e fortalecer ações inovadoras de informação e divulgação sobre a atenção à saúde da pessoa idosa em diferentes linguagens culturais;</w:t>
      </w:r>
    </w:p>
    <w:p w14:paraId="4A2842E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identificar, articular e apoiar experiências de educação popular, informação e comunicação em atenção à saúde da pessoa idosa; e</w:t>
      </w:r>
    </w:p>
    <w:p w14:paraId="059B79E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prover apoio técnico e/ou financeiro a projetos de qualificação de profissionais que atuam na Estratégia Saúde da Família e no Programa de Agentes Comunitários de Saúde, para atuação na área de informação, comunicação e educação popular em atenção à saúde da pessoa idosa.</w:t>
      </w:r>
    </w:p>
    <w:p w14:paraId="38A1430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3.7. Promoção de Cooperação Nacional e Internacional das Experiências na Atenção à Saúde da Pessoa Idosa</w:t>
      </w:r>
    </w:p>
    <w:p w14:paraId="1D962E4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Devem-se fomentar medidas que visem à promoção de cooperação nacional e internacional das experiências bem sucedidas na área do envelhecimento, no que diz respeito à atenção à saúde da pessoa idosa, à formação técnica, à educação em saúde e a pesquisas.</w:t>
      </w:r>
    </w:p>
    <w:p w14:paraId="257A2A7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3.8. Apoio ao Desenvolvimento de Estudos e Pesquisas</w:t>
      </w:r>
    </w:p>
    <w:p w14:paraId="5ABCEF4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Apoiar o desenvolvimento de estudos e pesquisas que avaliem a qualidade e aprimorem a atenção de saúde à pessoa idosa. Identificar e estabelecer redes de apoio com instituições formadoras, associativas e representativas, universidades, faculdades e órgãos públicos nas três esferas, visando:</w:t>
      </w:r>
    </w:p>
    <w:p w14:paraId="1D353A6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fomentar pesquisas em envelhecimento e saúde da pessoa idosa;</w:t>
      </w:r>
    </w:p>
    <w:p w14:paraId="1E0E950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identificar e apoiar estudos/pesquisas relativos ao envelhecimento e à saúde da pessoa idosa existentes no Brasil, com o objetivo de socializar, divulgar e embasar novas investigações;</w:t>
      </w:r>
    </w:p>
    <w:p w14:paraId="307800F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criar banco de dados de pesquisadores e pesquisas em envelhecimento e saúde da pessoa idosa realizadas no Brasil, interligando-o com outros bancos de abrangência internacional;</w:t>
      </w:r>
    </w:p>
    <w:p w14:paraId="06C8D76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d) identificar e divulgar </w:t>
      </w:r>
      <w:proofErr w:type="gramStart"/>
      <w:r w:rsidRPr="00C73B36">
        <w:rPr>
          <w:rFonts w:ascii="Book Antiqua" w:eastAsia="Times New Roman" w:hAnsi="Book Antiqua" w:cs="Arial"/>
          <w:color w:val="000000"/>
          <w:kern w:val="0"/>
          <w:sz w:val="19"/>
          <w:szCs w:val="19"/>
          <w:lang w:eastAsia="pt-BR"/>
          <w14:ligatures w14:val="none"/>
        </w:rPr>
        <w:t>as potenciais</w:t>
      </w:r>
      <w:proofErr w:type="gramEnd"/>
      <w:r w:rsidRPr="00C73B36">
        <w:rPr>
          <w:rFonts w:ascii="Book Antiqua" w:eastAsia="Times New Roman" w:hAnsi="Book Antiqua" w:cs="Arial"/>
          <w:color w:val="000000"/>
          <w:kern w:val="0"/>
          <w:sz w:val="19"/>
          <w:szCs w:val="19"/>
          <w:lang w:eastAsia="pt-BR"/>
          <w14:ligatures w14:val="none"/>
        </w:rPr>
        <w:t xml:space="preserve"> linhas de financiamento – Ministério da Ciência e Tecnologia, Fundações Estaduais de Amparo à Pesquisa, terceiro setor e outros – para a pesquisa em envelhecimento e saúde da pessoa idosa;</w:t>
      </w:r>
    </w:p>
    <w:p w14:paraId="61FC203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apoiar a realização de estudo sobre representações sociais, junto a usuários e profissionais de saúde sobre a saúde da pessoa idosa;</w:t>
      </w:r>
    </w:p>
    <w:p w14:paraId="206CFF1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priorizar as linhas de pesquisas em envelhecimento e saúde da pessoa idosa a serem implementadas pelo SUS, visando o aprimoramento e a consolidação da atenção à saúde da pessoa idosa no SUS; e</w:t>
      </w:r>
    </w:p>
    <w:p w14:paraId="108269F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g) implementar um banco de dados nacional com resultados de avaliação funcional da população idosa brasileira.</w:t>
      </w:r>
    </w:p>
    <w:p w14:paraId="762848C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4. Responsabilidades Institucionais</w:t>
      </w:r>
    </w:p>
    <w:p w14:paraId="027CD38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Caberá aos gestores do SUS, em todos os níveis, de forma articulada e conforme suas competências específicas, prover os meios e atuar para viabilizar o alcance do propósito desta Política Nacional de Saúde da Pessoa Idosa.</w:t>
      </w:r>
    </w:p>
    <w:p w14:paraId="09CBEF2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4.1. Gestor Federal</w:t>
      </w:r>
    </w:p>
    <w:p w14:paraId="6FA1C65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elaborar normas técnicas referentes à atenção à saúde da pessoa idosa no SUS;</w:t>
      </w:r>
    </w:p>
    <w:p w14:paraId="2C41EF8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definir recursos orçamentários e financeiros para a implementação desta Política, considerando que o financiamento do Sistema Único de Saúde é de competência das três esferas de governo;</w:t>
      </w:r>
    </w:p>
    <w:p w14:paraId="788EDE2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estabelecer diretrizes para a qualificação e educação permanente em saúde da pessoa idosa;</w:t>
      </w:r>
    </w:p>
    <w:p w14:paraId="1BECEB9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manter articulação com os estados e municípios para apoio à implantação e supervisão das ações;</w:t>
      </w:r>
    </w:p>
    <w:p w14:paraId="6B16B18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promover articulação intersetorial para a efetivação desta Política Nacional;</w:t>
      </w:r>
    </w:p>
    <w:p w14:paraId="60A598A7"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f) estabelecer instrumentos e indicadores para o acompanhamento e avaliação do impacto da implantação/implementação desta Política;</w:t>
      </w:r>
    </w:p>
    <w:p w14:paraId="4BDE2E6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g) divulgar a Política Nacional de Saúde da Pessoa Idosa; e</w:t>
      </w:r>
    </w:p>
    <w:p w14:paraId="25A65F2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h) estimular pesquisas nas áreas de interesse do envelhecimento e da atenção à saúde da pessoa idosa, nos moldes do propósito e das diretrizes desta Política.</w:t>
      </w:r>
    </w:p>
    <w:p w14:paraId="7A9C8D0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4.2. Gestor Estadual</w:t>
      </w:r>
    </w:p>
    <w:p w14:paraId="62DAC15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elaborar normas técnicas referentes à atenção à saúde da pessoa idosa no SUS;</w:t>
      </w:r>
    </w:p>
    <w:p w14:paraId="7D38469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definir recursos orçamentários e financeiros para a implementação desta Política, considerando que o financiamento do Sistema Único de Saúde é de competência das três esferas de governo;</w:t>
      </w:r>
    </w:p>
    <w:p w14:paraId="72F86E0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c) Discutir e pactuar na Comissão </w:t>
      </w:r>
      <w:proofErr w:type="spellStart"/>
      <w:r w:rsidRPr="00C73B36">
        <w:rPr>
          <w:rFonts w:ascii="Book Antiqua" w:eastAsia="Times New Roman" w:hAnsi="Book Antiqua" w:cs="Arial"/>
          <w:color w:val="000000"/>
          <w:kern w:val="0"/>
          <w:sz w:val="19"/>
          <w:szCs w:val="19"/>
          <w:lang w:eastAsia="pt-BR"/>
          <w14:ligatures w14:val="none"/>
        </w:rPr>
        <w:t>Intergestores</w:t>
      </w:r>
      <w:proofErr w:type="spellEnd"/>
      <w:r w:rsidRPr="00C73B36">
        <w:rPr>
          <w:rFonts w:ascii="Book Antiqua" w:eastAsia="Times New Roman" w:hAnsi="Book Antiqua" w:cs="Arial"/>
          <w:color w:val="000000"/>
          <w:kern w:val="0"/>
          <w:sz w:val="19"/>
          <w:szCs w:val="19"/>
          <w:lang w:eastAsia="pt-BR"/>
          <w14:ligatures w14:val="none"/>
        </w:rPr>
        <w:t xml:space="preserve"> Bipartite (CIB) as estratégias e metas a serem alcançadas por essa Política a cada ano;</w:t>
      </w:r>
    </w:p>
    <w:p w14:paraId="3FA23A3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promover articulação intersetorial para a efetivação da Política;</w:t>
      </w:r>
    </w:p>
    <w:p w14:paraId="4D9F4B6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implementar as diretrizes da educação permanente e qualificação em consonância com a realidade loco regional;</w:t>
      </w:r>
    </w:p>
    <w:p w14:paraId="731DAEC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estabelecer instrumentos e indicadores para o acompanhamento e a avaliação do impacto da implantação/implementação desta Política;</w:t>
      </w:r>
    </w:p>
    <w:p w14:paraId="54C7C14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g) manter articulação com municípios para apoio à implantação e supervisão das ações;</w:t>
      </w:r>
    </w:p>
    <w:p w14:paraId="0E4E42F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h) divulgar a Política Nacional de Saúde da Pessoa Idosa;</w:t>
      </w:r>
    </w:p>
    <w:p w14:paraId="6B6BE1D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i) exercer a vigilância sanitária no tocante a Saúde da Pessoa Idosa e a ações decorrentes no seu âmbito; e</w:t>
      </w:r>
    </w:p>
    <w:p w14:paraId="24C39BF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j) apresentar e aprovar proposta de inclusão da Política Nacional de Saúde da Pessoa Idosa no Conselho Estadual de Saúde.</w:t>
      </w:r>
    </w:p>
    <w:p w14:paraId="7F44439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4.3. Gestor Municipal:</w:t>
      </w:r>
    </w:p>
    <w:p w14:paraId="78E24D19"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elaborar normas técnicas referentes à atenção à saúde da pessoa idosa no SUS;</w:t>
      </w:r>
    </w:p>
    <w:p w14:paraId="1CB4B67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definir recursos orçamentários e financeiros para a implementação desta Política, considerando que o financiamento do Sistema Único de Saúde é de competência das três esferas de governo;</w:t>
      </w:r>
    </w:p>
    <w:p w14:paraId="5BC99D5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c) discutir e pactuar na Comissão </w:t>
      </w:r>
      <w:proofErr w:type="spellStart"/>
      <w:r w:rsidRPr="00C73B36">
        <w:rPr>
          <w:rFonts w:ascii="Book Antiqua" w:eastAsia="Times New Roman" w:hAnsi="Book Antiqua" w:cs="Arial"/>
          <w:color w:val="000000"/>
          <w:kern w:val="0"/>
          <w:sz w:val="19"/>
          <w:szCs w:val="19"/>
          <w:lang w:eastAsia="pt-BR"/>
          <w14:ligatures w14:val="none"/>
        </w:rPr>
        <w:t>Intergestores</w:t>
      </w:r>
      <w:proofErr w:type="spellEnd"/>
      <w:r w:rsidRPr="00C73B36">
        <w:rPr>
          <w:rFonts w:ascii="Book Antiqua" w:eastAsia="Times New Roman" w:hAnsi="Book Antiqua" w:cs="Arial"/>
          <w:color w:val="000000"/>
          <w:kern w:val="0"/>
          <w:sz w:val="19"/>
          <w:szCs w:val="19"/>
          <w:lang w:eastAsia="pt-BR"/>
          <w14:ligatures w14:val="none"/>
        </w:rPr>
        <w:t xml:space="preserve"> Bipartite (CIB) as estratégias e metas a serem alcançadas por essa Política a cada ano;</w:t>
      </w:r>
    </w:p>
    <w:p w14:paraId="60A715A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promover articulação intersetorial para a efetivação da Política;</w:t>
      </w:r>
    </w:p>
    <w:p w14:paraId="04F7C20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 estabelecer mecanismos para a qualificação dos profissionais do sistema local de saúde;</w:t>
      </w:r>
    </w:p>
    <w:p w14:paraId="2FDC40A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estabelecer instrumentos de gestão e indicadores para o acompanhamento e a avaliação do impacto da implantação/implementação da Política;</w:t>
      </w:r>
    </w:p>
    <w:p w14:paraId="2FA8BE3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g) divulgar a Política Nacional de Saúde da Pessoa Idosa; e</w:t>
      </w:r>
    </w:p>
    <w:p w14:paraId="7795969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h) apresentar e aprovar proposta de inclusão da Política de Saúde da Pessoa </w:t>
      </w:r>
      <w:proofErr w:type="gramStart"/>
      <w:r w:rsidRPr="00C73B36">
        <w:rPr>
          <w:rFonts w:ascii="Book Antiqua" w:eastAsia="Times New Roman" w:hAnsi="Book Antiqua" w:cs="Arial"/>
          <w:color w:val="000000"/>
          <w:kern w:val="0"/>
          <w:sz w:val="19"/>
          <w:szCs w:val="19"/>
          <w:lang w:eastAsia="pt-BR"/>
          <w14:ligatures w14:val="none"/>
        </w:rPr>
        <w:t>Idosa  no</w:t>
      </w:r>
      <w:proofErr w:type="gramEnd"/>
      <w:r w:rsidRPr="00C73B36">
        <w:rPr>
          <w:rFonts w:ascii="Book Antiqua" w:eastAsia="Times New Roman" w:hAnsi="Book Antiqua" w:cs="Arial"/>
          <w:color w:val="000000"/>
          <w:kern w:val="0"/>
          <w:sz w:val="19"/>
          <w:szCs w:val="19"/>
          <w:lang w:eastAsia="pt-BR"/>
          <w14:ligatures w14:val="none"/>
        </w:rPr>
        <w:t xml:space="preserve"> Conselho Municipal de Saúde.</w:t>
      </w:r>
    </w:p>
    <w:p w14:paraId="40BE5C6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 Articulação Intersetorial</w:t>
      </w:r>
    </w:p>
    <w:p w14:paraId="61EB642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As diretrizes aqui definidas implicam o desenvolvimento de um amplo conjunto de ações, que requerem o compartilhamento de responsabilidades com outros setores. Nesse sentido, os gestores do SUS deverão estabelecer, em suas respectivas áreas de abrangência, processos de articulação permanente, visando ao estabelecimento de parcerias e a integração institucional que viabilizem a consolidação de compromissos multilaterais efetivos. Será buscada, igualmente, a participação de diferentes segmentos da sociedade, que estejam </w:t>
      </w:r>
      <w:proofErr w:type="gramStart"/>
      <w:r w:rsidRPr="00C73B36">
        <w:rPr>
          <w:rFonts w:ascii="Book Antiqua" w:eastAsia="Times New Roman" w:hAnsi="Book Antiqua" w:cs="Arial"/>
          <w:color w:val="000000"/>
          <w:kern w:val="0"/>
          <w:sz w:val="19"/>
          <w:szCs w:val="19"/>
          <w:lang w:eastAsia="pt-BR"/>
          <w14:ligatures w14:val="none"/>
        </w:rPr>
        <w:t>direta</w:t>
      </w:r>
      <w:proofErr w:type="gramEnd"/>
      <w:r w:rsidRPr="00C73B36">
        <w:rPr>
          <w:rFonts w:ascii="Book Antiqua" w:eastAsia="Times New Roman" w:hAnsi="Book Antiqua" w:cs="Arial"/>
          <w:color w:val="000000"/>
          <w:kern w:val="0"/>
          <w:sz w:val="19"/>
          <w:szCs w:val="19"/>
          <w:lang w:eastAsia="pt-BR"/>
          <w14:ligatures w14:val="none"/>
        </w:rPr>
        <w:t xml:space="preserve"> ou indiretamente relacionadas com a presente Política. No âmbito federal, o Ministério da Saúde articulará com os diversos setores do Poder Executivo em suas respectivas competências, de modo a alcançar os objetivos a seguir explicitados.</w:t>
      </w:r>
    </w:p>
    <w:p w14:paraId="1E6F429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5.1. Educação</w:t>
      </w:r>
    </w:p>
    <w:p w14:paraId="2D5A0A0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inclusão nos currículos escolares de disciplinas que abordem o processo do envelhecimento, a desmistificação da senescência, como sendo diferente de doença ou de incapacidade, valorizando a pessoa idosa e divulgando as medidas de promoção e prevenção de saúde em todas as faixas etárias;</w:t>
      </w:r>
    </w:p>
    <w:p w14:paraId="723E5A7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adequação de currículos, metodologias e material didático de formação de profissionais na área da saúde, visando ao atendimento das diretrizes fixadas nesta Política;</w:t>
      </w:r>
    </w:p>
    <w:p w14:paraId="5D22925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c) incentivo à criação de Centros Colaboradores de Geriatria e Gerontologia nas instituições de ensino superior, que possam atuar de forma integrada com o SUS, mediante o estabelecimento de referência e </w:t>
      </w:r>
      <w:proofErr w:type="spellStart"/>
      <w:r w:rsidRPr="00C73B36">
        <w:rPr>
          <w:rFonts w:ascii="Book Antiqua" w:eastAsia="Times New Roman" w:hAnsi="Book Antiqua" w:cs="Arial"/>
          <w:color w:val="000000"/>
          <w:kern w:val="0"/>
          <w:sz w:val="19"/>
          <w:szCs w:val="19"/>
          <w:lang w:eastAsia="pt-BR"/>
          <w14:ligatures w14:val="none"/>
        </w:rPr>
        <w:t>contra-referência</w:t>
      </w:r>
      <w:proofErr w:type="spellEnd"/>
      <w:r w:rsidRPr="00C73B36">
        <w:rPr>
          <w:rFonts w:ascii="Book Antiqua" w:eastAsia="Times New Roman" w:hAnsi="Book Antiqua" w:cs="Arial"/>
          <w:color w:val="000000"/>
          <w:kern w:val="0"/>
          <w:sz w:val="19"/>
          <w:szCs w:val="19"/>
          <w:lang w:eastAsia="pt-BR"/>
          <w14:ligatures w14:val="none"/>
        </w:rPr>
        <w:t xml:space="preserve"> de ações e serviços para o atendimento integral dos indivíduos idosos e a capacitação de equipes multiprofissionais e interdisciplinares, visando à qualificação contínua do pessoal de saúde nas áreas de gerência, planejamento, pesquisa e assistência à pessoa idosa; e</w:t>
      </w:r>
    </w:p>
    <w:p w14:paraId="1254726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discussão e readequação de currículos e programas de ensino nas instituições de ensino superior abertas para a terceira idade, consoante às diretrizes fixadas nesta Política.</w:t>
      </w:r>
    </w:p>
    <w:p w14:paraId="4CB6147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5.2. Previdência Social</w:t>
      </w:r>
    </w:p>
    <w:p w14:paraId="003AF4E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realização de estudos e pesquisas de cunho epidemiológico junto aos segurados, relativos às doenças e agravos mais prevalentes nesta faixa etária, sobretudo quanto aos seus impactos no indivíduo, na família, na sociedade, na previdência social e no setor saúde; e</w:t>
      </w:r>
    </w:p>
    <w:p w14:paraId="70D281E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elaboração de programa de trabalho conjunto direcionado aos indivíduos idosos segurados, consoante às diretrizes fixadas nesta Política.</w:t>
      </w:r>
    </w:p>
    <w:p w14:paraId="56CDA2E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5.3. Sistema Único de Assistência Social:</w:t>
      </w:r>
    </w:p>
    <w:p w14:paraId="29EE69A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reconhecimento do risco social da pessoa idosa como fator determinante de sua condição de saúde;</w:t>
      </w:r>
    </w:p>
    <w:p w14:paraId="3A5721C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elaboração de inquérito populacional para levantamento e estratificação das condições de risco social da população idosa brasileira;</w:t>
      </w:r>
    </w:p>
    <w:p w14:paraId="3BB886E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elaboração de medidas, com o apontamento de soluções, para abordagem da população idosa sob risco social;</w:t>
      </w:r>
    </w:p>
    <w:p w14:paraId="311CD03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d) criação de mecanismos de monitoramento de risco social individual, de fácil aplicabilidade e utilização por profissionais da atenção básica do SUS e do SUAS;</w:t>
      </w:r>
    </w:p>
    <w:p w14:paraId="396CCEE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e) difusão de informações relativas à preservação da saúde e à prevenção ou recuperação de incapacidades;</w:t>
      </w:r>
    </w:p>
    <w:p w14:paraId="1E4B717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 inclusão das diretrizes aqui estabelecidas em seus programas de educação continuada;</w:t>
      </w:r>
    </w:p>
    <w:p w14:paraId="4F4C45AF"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g) implantação de política de atenção integral aos idosos residentes em Instituições de Longa Permanência para Idosos;</w:t>
      </w:r>
    </w:p>
    <w:p w14:paraId="3C1A1C8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h) promoção da formação de grupos </w:t>
      </w:r>
      <w:proofErr w:type="spellStart"/>
      <w:r w:rsidRPr="00C73B36">
        <w:rPr>
          <w:rFonts w:ascii="Book Antiqua" w:eastAsia="Times New Roman" w:hAnsi="Book Antiqua" w:cs="Arial"/>
          <w:color w:val="000000"/>
          <w:kern w:val="0"/>
          <w:sz w:val="19"/>
          <w:szCs w:val="19"/>
          <w:lang w:eastAsia="pt-BR"/>
          <w14:ligatures w14:val="none"/>
        </w:rPr>
        <w:t>sócio-educativos</w:t>
      </w:r>
      <w:proofErr w:type="spellEnd"/>
      <w:r w:rsidRPr="00C73B36">
        <w:rPr>
          <w:rFonts w:ascii="Book Antiqua" w:eastAsia="Times New Roman" w:hAnsi="Book Antiqua" w:cs="Arial"/>
          <w:color w:val="000000"/>
          <w:kern w:val="0"/>
          <w:sz w:val="19"/>
          <w:szCs w:val="19"/>
          <w:lang w:eastAsia="pt-BR"/>
          <w14:ligatures w14:val="none"/>
        </w:rPr>
        <w:t xml:space="preserve"> e de </w:t>
      </w:r>
      <w:proofErr w:type="spellStart"/>
      <w:r w:rsidRPr="00C73B36">
        <w:rPr>
          <w:rFonts w:ascii="Book Antiqua" w:eastAsia="Times New Roman" w:hAnsi="Book Antiqua" w:cs="Arial"/>
          <w:color w:val="000000"/>
          <w:kern w:val="0"/>
          <w:sz w:val="19"/>
          <w:szCs w:val="19"/>
          <w:lang w:eastAsia="pt-BR"/>
          <w14:ligatures w14:val="none"/>
        </w:rPr>
        <w:t>auto-ajuda</w:t>
      </w:r>
      <w:proofErr w:type="spellEnd"/>
      <w:r w:rsidRPr="00C73B36">
        <w:rPr>
          <w:rFonts w:ascii="Book Antiqua" w:eastAsia="Times New Roman" w:hAnsi="Book Antiqua" w:cs="Arial"/>
          <w:color w:val="000000"/>
          <w:kern w:val="0"/>
          <w:sz w:val="19"/>
          <w:szCs w:val="19"/>
          <w:lang w:eastAsia="pt-BR"/>
          <w14:ligatures w14:val="none"/>
        </w:rPr>
        <w:t xml:space="preserve"> entre os indivíduos </w:t>
      </w:r>
      <w:proofErr w:type="gramStart"/>
      <w:r w:rsidRPr="00C73B36">
        <w:rPr>
          <w:rFonts w:ascii="Book Antiqua" w:eastAsia="Times New Roman" w:hAnsi="Book Antiqua" w:cs="Arial"/>
          <w:color w:val="000000"/>
          <w:kern w:val="0"/>
          <w:sz w:val="19"/>
          <w:szCs w:val="19"/>
          <w:lang w:eastAsia="pt-BR"/>
          <w14:ligatures w14:val="none"/>
        </w:rPr>
        <w:t>idosos,  principalmente</w:t>
      </w:r>
      <w:proofErr w:type="gramEnd"/>
      <w:r w:rsidRPr="00C73B36">
        <w:rPr>
          <w:rFonts w:ascii="Book Antiqua" w:eastAsia="Times New Roman" w:hAnsi="Book Antiqua" w:cs="Arial"/>
          <w:color w:val="000000"/>
          <w:kern w:val="0"/>
          <w:sz w:val="19"/>
          <w:szCs w:val="19"/>
          <w:lang w:eastAsia="pt-BR"/>
          <w14:ligatures w14:val="none"/>
        </w:rPr>
        <w:t xml:space="preserve"> para aqueles com doenças e agravos mais prevalentes nesta faixa etária;</w:t>
      </w:r>
    </w:p>
    <w:p w14:paraId="50C5F5C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i) implantação e implementação de Centros de Convivência e Centros-Dia, conforme previsto no Decreto nº 1948/96;</w:t>
      </w:r>
    </w:p>
    <w:p w14:paraId="5571F79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j) apoio à construção de Políticas Públicas de Assistência Social que considerem as pessoas, suas circunstâncias e o suporte social e que atuem como aliadas no processo de desenvolvimento humano e social, e não como tuteladora e assistencialista, tanto na proteção social básica, como na proteção social especial;</w:t>
      </w:r>
    </w:p>
    <w:p w14:paraId="1033DC6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k) compromisso com a universalização do direito, inclusão social, </w:t>
      </w:r>
      <w:proofErr w:type="spellStart"/>
      <w:r w:rsidRPr="00C73B36">
        <w:rPr>
          <w:rFonts w:ascii="Book Antiqua" w:eastAsia="Times New Roman" w:hAnsi="Book Antiqua" w:cs="Arial"/>
          <w:color w:val="000000"/>
          <w:kern w:val="0"/>
          <w:sz w:val="19"/>
          <w:szCs w:val="19"/>
          <w:lang w:eastAsia="pt-BR"/>
          <w14:ligatures w14:val="none"/>
        </w:rPr>
        <w:t>eqüidade</w:t>
      </w:r>
      <w:proofErr w:type="spellEnd"/>
      <w:r w:rsidRPr="00C73B36">
        <w:rPr>
          <w:rFonts w:ascii="Book Antiqua" w:eastAsia="Times New Roman" w:hAnsi="Book Antiqua" w:cs="Arial"/>
          <w:color w:val="000000"/>
          <w:kern w:val="0"/>
          <w:sz w:val="19"/>
          <w:szCs w:val="19"/>
          <w:lang w:eastAsia="pt-BR"/>
          <w14:ligatures w14:val="none"/>
        </w:rPr>
        <w:t>, descentralização e municipalização das ações, respeitando a dignidade do cidadão e sua autonomia, favorecendo o acesso à informação, aos benefícios e aos serviços de qualidade, bem como à convivência familiar e comunitária; e</w:t>
      </w:r>
    </w:p>
    <w:p w14:paraId="309A597E"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l) desenvolvimento de ações de enfrentamento à pobreza.</w:t>
      </w:r>
    </w:p>
    <w:p w14:paraId="2C6811F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5.4. Trabalho e Emprego:</w:t>
      </w:r>
    </w:p>
    <w:p w14:paraId="2F85E66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elaboração, implantação e implementação de programas de preparação para a aposentadoria nos setores público e privado;</w:t>
      </w:r>
    </w:p>
    <w:p w14:paraId="3EE3F32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implantação de ações para a eliminação das discriminações no mercado de trabalho e a criação de condições que permitam a inserção da pessoa idosa na vida socioeconômica das comunidades; e</w:t>
      </w:r>
    </w:p>
    <w:p w14:paraId="49F4DA5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levantamento dos indivíduos idosos já aposentados e que retornaram ao mercado de trabalho, identificando as condições em que atuam no mercado, de forma a coibir abusos e explorações.</w:t>
      </w:r>
    </w:p>
    <w:p w14:paraId="51682E84"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5.5. Desenvolvimento Urbano:</w:t>
      </w:r>
    </w:p>
    <w:p w14:paraId="24CD56AC"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implantação de ações para o cumprimento das leis de acessibilidade (Decreto Lei nº 5296/2004), de modo a auxiliar na manutenção e no apoio à independência funcional da pessoa idosa; e</w:t>
      </w:r>
    </w:p>
    <w:p w14:paraId="7482BA5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promoção de ações educativas dirigidas aos agentes executores e beneficiários de programas habitacionais quanto aos riscos ambientais à capacidade funcional dos indivíduos idosos.</w:t>
      </w:r>
    </w:p>
    <w:p w14:paraId="563425E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5.6. Transportes:</w:t>
      </w:r>
    </w:p>
    <w:p w14:paraId="299ED7A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implantação de ações que permitam e/ou facilitem o deslocamento do cidadão idoso, sobretudo aquele que já apresenta dificuldades de locomoção, tais como elevatórias para acesso aos ônibus na porta de hospitais, rampas nas calçadas, bancos mais altos nas paradas de ônibus. Em conformidade com a Lei da Acessibilidade, Decreto Lei nº 5296, de 2 de dezembro de 2004.</w:t>
      </w:r>
    </w:p>
    <w:p w14:paraId="4DC4C9A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5.7. Justiça e Direitos Humanos:</w:t>
      </w:r>
    </w:p>
    <w:p w14:paraId="11783820"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lastRenderedPageBreak/>
        <w:t>a) promoção e defesa dos direitos da pessoa idosa, no tocante às questões de saúde, mediante o acompanhamento da aplicação das disposições contidas na Lei nº 8.842/94 e seu regulamento (Decreto nº 1.948/96), bem como a Lei nº 10.741/2003, que estabelece o Estatuto do Idoso.</w:t>
      </w:r>
    </w:p>
    <w:p w14:paraId="4C0DE928"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5.8. Esporte e Lazer</w:t>
      </w:r>
    </w:p>
    <w:p w14:paraId="4CB692F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estabelecimento de parceria para a implementação de programas de atividades físicas e recreativas destinados às pessoas idosas.</w:t>
      </w:r>
    </w:p>
    <w:p w14:paraId="133051F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5.</w:t>
      </w:r>
      <w:proofErr w:type="gramStart"/>
      <w:r w:rsidRPr="00C73B36">
        <w:rPr>
          <w:rFonts w:ascii="Book Antiqua" w:eastAsia="Times New Roman" w:hAnsi="Book Antiqua" w:cs="Arial"/>
          <w:color w:val="000000"/>
          <w:kern w:val="0"/>
          <w:sz w:val="19"/>
          <w:szCs w:val="19"/>
          <w:lang w:eastAsia="pt-BR"/>
          <w14:ligatures w14:val="none"/>
        </w:rPr>
        <w:t>9.Ciência</w:t>
      </w:r>
      <w:proofErr w:type="gramEnd"/>
      <w:r w:rsidRPr="00C73B36">
        <w:rPr>
          <w:rFonts w:ascii="Book Antiqua" w:eastAsia="Times New Roman" w:hAnsi="Book Antiqua" w:cs="Arial"/>
          <w:color w:val="000000"/>
          <w:kern w:val="0"/>
          <w:sz w:val="19"/>
          <w:szCs w:val="19"/>
          <w:lang w:eastAsia="pt-BR"/>
          <w14:ligatures w14:val="none"/>
        </w:rPr>
        <w:t xml:space="preserve"> e Tecnologia:</w:t>
      </w:r>
    </w:p>
    <w:p w14:paraId="3FC43FF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fomento à pesquisa na área do envelhecimento, da geriatria e da gerontologia, por intermédio do Conselho Nacional de Desenvolvimento Científico e Tecnológico (CNPq), e demais órgãos de incentivo à pesquisa, contemplando estudos e pesquisas que estejam, prioritariamente, alinhados com as diretrizes propostas nesta Política.</w:t>
      </w:r>
    </w:p>
    <w:p w14:paraId="66D720DA"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6. Acompanhamento e Avaliação</w:t>
      </w:r>
    </w:p>
    <w:p w14:paraId="66142C86"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 xml:space="preserve">A operacionalização desta Política compreenderá a sistematização de processo contínuo de acompanhamento e avaliação, que permita verificar o alcance de seu propósito – e, </w:t>
      </w:r>
      <w:proofErr w:type="spellStart"/>
      <w:r w:rsidRPr="00C73B36">
        <w:rPr>
          <w:rFonts w:ascii="Book Antiqua" w:eastAsia="Times New Roman" w:hAnsi="Book Antiqua" w:cs="Arial"/>
          <w:color w:val="000000"/>
          <w:kern w:val="0"/>
          <w:sz w:val="19"/>
          <w:szCs w:val="19"/>
          <w:lang w:eastAsia="pt-BR"/>
          <w14:ligatures w14:val="none"/>
        </w:rPr>
        <w:t>conseqüentemente</w:t>
      </w:r>
      <w:proofErr w:type="spellEnd"/>
      <w:r w:rsidRPr="00C73B36">
        <w:rPr>
          <w:rFonts w:ascii="Book Antiqua" w:eastAsia="Times New Roman" w:hAnsi="Book Antiqua" w:cs="Arial"/>
          <w:color w:val="000000"/>
          <w:kern w:val="0"/>
          <w:sz w:val="19"/>
          <w:szCs w:val="19"/>
          <w:lang w:eastAsia="pt-BR"/>
          <w14:ligatures w14:val="none"/>
        </w:rPr>
        <w:t>, o seu impacto sobre a saúde dos indivíduos idosos –, bem como proceder a eventuais adequações que se fizerem necessárias.</w:t>
      </w:r>
    </w:p>
    <w:p w14:paraId="2EFD0F03"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Esse processo exigirá a definição de critérios, parâmetros, indicadores e metodologia específicos, capazes de evidenciar, também, a repercussão das medidas levadas a efeito por outros setores, que resultaram da ação articulada preconizada nesta Política, bem como a observância dos compromissos internacionais assumidos pelo País em relação à atenção à saúde dos indivíduos idosos.</w:t>
      </w:r>
    </w:p>
    <w:p w14:paraId="3D35A30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É importante considerar que o processo de acompanhamento e avaliação referido será apoiado, sobretudo para a aferição de resultados no âmbito interno do setor, pelas informações produzidas pelos diferentes planos, programas, projetos, ações e/ou atividades decorrentes desta Política Nacional.</w:t>
      </w:r>
    </w:p>
    <w:p w14:paraId="4DBB510D"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Além da avaliação nos contextos anteriormente identificados, voltados principalmente para a verificação do impacto das medidas sobre a saúde dos indivíduos idosos, buscar-se-á investigar a repercussão desta Política na qualidade de vida deste segmento populacional.</w:t>
      </w:r>
    </w:p>
    <w:p w14:paraId="26214AF2"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Nesse particular, buscar-se-á igualmente conhecer em que medida a Política Nacional de Saúde da Pessoa Idosa tem contribuído para a concretização dos princípios e diretrizes do SUS, na conformidade do Artigo 7º da Lei nº 8.080/90, entre os quais, destacam-se aqueles relativos à integralidade da atenção, à preservação da autonomia das pessoas e ao uso da epidemiologia no estabelecimento de prioridades (respectivamente incisos II, III e VII). Paralelamente, deverá ser observado, ainda, se:</w:t>
      </w:r>
    </w:p>
    <w:p w14:paraId="6644FCFB"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a) o potencial dos serviços de saúde e as possibilidades de utilização pelo usuário estão sendo devidamente divulgados para a população de forma geral e, principalmente, à população idosa;</w:t>
      </w:r>
    </w:p>
    <w:p w14:paraId="7FAA0591"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b) as ações, programas, projetos e atividades que operacionalizam esta Política estão sendo desenvolvidos de forma descentralizada, considerando a direção única em cada esfera de gestão; e</w:t>
      </w:r>
    </w:p>
    <w:p w14:paraId="38A48A75" w14:textId="77777777" w:rsidR="00C73B36" w:rsidRPr="00C73B36" w:rsidRDefault="00C73B36" w:rsidP="00C73B36">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C73B36">
        <w:rPr>
          <w:rFonts w:ascii="Book Antiqua" w:eastAsia="Times New Roman" w:hAnsi="Book Antiqua" w:cs="Arial"/>
          <w:color w:val="000000"/>
          <w:kern w:val="0"/>
          <w:sz w:val="19"/>
          <w:szCs w:val="19"/>
          <w:lang w:eastAsia="pt-BR"/>
          <w14:ligatures w14:val="none"/>
        </w:rPr>
        <w:t>c) a participação dos indivíduos idosos nas diferentes instâncias do SUS está sendo incentivada e facilitada.</w:t>
      </w:r>
    </w:p>
    <w:p w14:paraId="603C9DB0" w14:textId="77777777" w:rsidR="00BB7FE6" w:rsidRPr="00C73B36" w:rsidRDefault="00BB7FE6" w:rsidP="00C73B36">
      <w:pPr>
        <w:spacing w:before="100" w:beforeAutospacing="1" w:after="100" w:afterAutospacing="1" w:line="240" w:lineRule="auto"/>
        <w:jc w:val="both"/>
        <w:rPr>
          <w:rFonts w:ascii="Book Antiqua" w:hAnsi="Book Antiqua"/>
          <w:sz w:val="19"/>
          <w:szCs w:val="19"/>
        </w:rPr>
      </w:pPr>
    </w:p>
    <w:sectPr w:rsidR="00BB7FE6" w:rsidRPr="00C73B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22"/>
    <w:rsid w:val="00021FFF"/>
    <w:rsid w:val="007A4222"/>
    <w:rsid w:val="00BB7FE6"/>
    <w:rsid w:val="00C73B3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7374"/>
  <w15:chartTrackingRefBased/>
  <w15:docId w15:val="{92C0B5C6-BE11-4CC5-BE6E-34F1C51D5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73B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85107">
      <w:bodyDiv w:val="1"/>
      <w:marLeft w:val="0"/>
      <w:marRight w:val="0"/>
      <w:marTop w:val="0"/>
      <w:marBottom w:val="0"/>
      <w:divBdr>
        <w:top w:val="none" w:sz="0" w:space="0" w:color="auto"/>
        <w:left w:val="none" w:sz="0" w:space="0" w:color="auto"/>
        <w:bottom w:val="none" w:sz="0" w:space="0" w:color="auto"/>
        <w:right w:val="none" w:sz="0" w:space="0" w:color="auto"/>
      </w:divBdr>
      <w:divsChild>
        <w:div w:id="276563420">
          <w:marLeft w:val="0"/>
          <w:marRight w:val="0"/>
          <w:marTop w:val="150"/>
          <w:marBottom w:val="150"/>
          <w:divBdr>
            <w:top w:val="none" w:sz="0" w:space="0" w:color="auto"/>
            <w:left w:val="none" w:sz="0" w:space="0" w:color="auto"/>
            <w:bottom w:val="none" w:sz="0" w:space="0" w:color="auto"/>
            <w:right w:val="none" w:sz="0" w:space="0" w:color="auto"/>
          </w:divBdr>
        </w:div>
        <w:div w:id="1119834565">
          <w:marLeft w:val="0"/>
          <w:marRight w:val="0"/>
          <w:marTop w:val="75"/>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8307</Words>
  <Characters>44860</Characters>
  <Application>Microsoft Office Word</Application>
  <DocSecurity>0</DocSecurity>
  <Lines>373</Lines>
  <Paragraphs>106</Paragraphs>
  <ScaleCrop>false</ScaleCrop>
  <Company/>
  <LinksUpToDate>false</LinksUpToDate>
  <CharactersWithSpaces>53061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2024-03-21T17:46:00Z</dcterms:created>
  <dcterms:modified xsi:type="dcterms:W3CDTF">2024-03-31T17:07:00Z</dcterms:modified>
</cp:coreProperties>
</file>