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98529" w14:textId="77777777" w:rsidR="00BA4D46" w:rsidRPr="00BA4D46" w:rsidRDefault="00BA4D46" w:rsidP="00BA4D4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BA4D46">
          <w:rPr>
            <w:rFonts w:ascii="Book Antiqua" w:eastAsia="Times New Roman" w:hAnsi="Book Antiqua" w:cs="Arial"/>
            <w:b/>
            <w:bCs/>
            <w:color w:val="000080"/>
            <w:sz w:val="19"/>
            <w:szCs w:val="19"/>
            <w:u w:val="single"/>
            <w:lang w:eastAsia="pt-BR"/>
          </w:rPr>
          <w:t>LEI COMPLEMENTAR Nº 187, DE 16 DE DEZEMBRO DE 2021</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BA4D46" w:rsidRPr="00BA4D46" w14:paraId="4D65167F" w14:textId="77777777" w:rsidTr="00BA4D46">
        <w:trPr>
          <w:tblCellSpacing w:w="0" w:type="dxa"/>
        </w:trPr>
        <w:tc>
          <w:tcPr>
            <w:tcW w:w="917" w:type="pct"/>
            <w:vAlign w:val="center"/>
            <w:hideMark/>
          </w:tcPr>
          <w:p w14:paraId="64C62F83" w14:textId="6D738294" w:rsidR="00BA4D46" w:rsidRPr="00BA4D46" w:rsidRDefault="00BA4D46" w:rsidP="00BA4D46">
            <w:pPr>
              <w:spacing w:before="100" w:beforeAutospacing="1" w:after="100" w:afterAutospacing="1" w:line="240" w:lineRule="auto"/>
              <w:rPr>
                <w:rFonts w:ascii="Book Antiqua" w:eastAsia="Times New Roman" w:hAnsi="Book Antiqua" w:cs="Times New Roman"/>
                <w:sz w:val="19"/>
                <w:szCs w:val="19"/>
                <w:lang w:eastAsia="pt-BR"/>
              </w:rPr>
            </w:pPr>
          </w:p>
        </w:tc>
        <w:tc>
          <w:tcPr>
            <w:tcW w:w="4083" w:type="pct"/>
            <w:vAlign w:val="center"/>
            <w:hideMark/>
          </w:tcPr>
          <w:p w14:paraId="2219A895" w14:textId="77777777" w:rsidR="00BA4D46" w:rsidRPr="00BA4D46" w:rsidRDefault="00BA4D46" w:rsidP="00BA4D46">
            <w:pPr>
              <w:spacing w:before="100" w:beforeAutospacing="1" w:after="100" w:afterAutospacing="1" w:line="240" w:lineRule="auto"/>
              <w:jc w:val="both"/>
              <w:rPr>
                <w:rFonts w:ascii="Book Antiqua" w:eastAsia="Times New Roman" w:hAnsi="Book Antiqua" w:cs="Times New Roman"/>
                <w:sz w:val="19"/>
                <w:szCs w:val="19"/>
                <w:lang w:eastAsia="pt-BR"/>
              </w:rPr>
            </w:pPr>
            <w:r w:rsidRPr="00BA4D46">
              <w:rPr>
                <w:rFonts w:ascii="Book Antiqua" w:eastAsia="Times New Roman" w:hAnsi="Book Antiqua" w:cs="Arial"/>
                <w:color w:val="800000"/>
                <w:sz w:val="19"/>
                <w:szCs w:val="19"/>
                <w:lang w:eastAsia="pt-BR"/>
              </w:rPr>
              <w:t>Dispõe sobre a certificação das entidades beneficentes e regula os procedimentos referentes à imunidade de contribuições à seguridade social de que trata o § 7º do art. 195 da Constituição Federal; altera as Leis n</w:t>
            </w:r>
            <w:r w:rsidRPr="00BA4D46">
              <w:rPr>
                <w:rFonts w:ascii="Book Antiqua" w:eastAsia="Times New Roman" w:hAnsi="Book Antiqua" w:cs="Arial"/>
                <w:color w:val="800000"/>
                <w:sz w:val="19"/>
                <w:szCs w:val="19"/>
                <w:u w:val="single"/>
                <w:vertAlign w:val="superscript"/>
                <w:lang w:eastAsia="pt-BR"/>
              </w:rPr>
              <w:t>os</w:t>
            </w:r>
            <w:r w:rsidRPr="00BA4D46">
              <w:rPr>
                <w:rFonts w:ascii="Book Antiqua" w:eastAsia="Times New Roman" w:hAnsi="Book Antiqua" w:cs="Arial"/>
                <w:color w:val="800000"/>
                <w:sz w:val="19"/>
                <w:szCs w:val="19"/>
                <w:lang w:eastAsia="pt-BR"/>
              </w:rPr>
              <w:t> 5.172, de 25 de outubro de 1966 (Código Tributário Nacional), e 9.532, de 10 de dezembro de 1997; revoga a Lei nº 12.101, de 27 de novembro de 2009, e dispositivos das Leis n</w:t>
            </w:r>
            <w:r w:rsidRPr="00BA4D46">
              <w:rPr>
                <w:rFonts w:ascii="Book Antiqua" w:eastAsia="Times New Roman" w:hAnsi="Book Antiqua" w:cs="Arial"/>
                <w:color w:val="800000"/>
                <w:sz w:val="19"/>
                <w:szCs w:val="19"/>
                <w:u w:val="single"/>
                <w:vertAlign w:val="superscript"/>
                <w:lang w:eastAsia="pt-BR"/>
              </w:rPr>
              <w:t>os</w:t>
            </w:r>
            <w:r w:rsidRPr="00BA4D46">
              <w:rPr>
                <w:rFonts w:ascii="Book Antiqua" w:eastAsia="Times New Roman" w:hAnsi="Book Antiqua" w:cs="Arial"/>
                <w:color w:val="800000"/>
                <w:sz w:val="19"/>
                <w:szCs w:val="19"/>
                <w:lang w:eastAsia="pt-BR"/>
              </w:rPr>
              <w:t> 11.096, de 13 de janeiro de 2005, e 12.249, de 11 de junho de 2010; e dá outras providências.</w:t>
            </w:r>
          </w:p>
        </w:tc>
      </w:tr>
    </w:tbl>
    <w:p w14:paraId="3A1CF31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O PRESIDENTE DA REPÚBLICA </w:t>
      </w:r>
      <w:r w:rsidRPr="00BA4D46">
        <w:rPr>
          <w:rFonts w:ascii="Book Antiqua" w:eastAsia="Times New Roman" w:hAnsi="Book Antiqua" w:cs="Arial"/>
          <w:color w:val="000000"/>
          <w:sz w:val="19"/>
          <w:szCs w:val="19"/>
          <w:lang w:eastAsia="pt-BR"/>
        </w:rPr>
        <w:t>Faço saber que o Congresso Nacional decreta e eu sanciono a seguinte Lei Complementar:</w:t>
      </w:r>
    </w:p>
    <w:p w14:paraId="03A64A85"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CAPÍTULO I</w:t>
      </w:r>
    </w:p>
    <w:p w14:paraId="1D857449"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DISPOSIÇÕES PRELIMINARES</w:t>
      </w:r>
    </w:p>
    <w:p w14:paraId="23CACF3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BA4D46">
        <w:rPr>
          <w:rFonts w:ascii="Book Antiqua" w:eastAsia="Times New Roman" w:hAnsi="Book Antiqua" w:cs="Arial"/>
          <w:color w:val="000000"/>
          <w:sz w:val="19"/>
          <w:szCs w:val="19"/>
          <w:lang w:eastAsia="pt-BR"/>
        </w:rPr>
        <w:t>Art. 1º Esta Lei Complementar regula, com fundamento no </w:t>
      </w:r>
      <w:hyperlink r:id="rId5" w:anchor="art146ii" w:history="1">
        <w:r w:rsidRPr="00BA4D46">
          <w:rPr>
            <w:rFonts w:ascii="Book Antiqua" w:eastAsia="Times New Roman" w:hAnsi="Book Antiqua" w:cs="Arial"/>
            <w:color w:val="0000FF"/>
            <w:sz w:val="19"/>
            <w:szCs w:val="19"/>
            <w:u w:val="single"/>
            <w:lang w:eastAsia="pt-BR"/>
          </w:rPr>
          <w:t>inciso II do </w:t>
        </w:r>
      </w:hyperlink>
      <w:hyperlink r:id="rId6" w:anchor="art146ii" w:history="1">
        <w:r w:rsidRPr="00BA4D46">
          <w:rPr>
            <w:rFonts w:ascii="Book Antiqua" w:eastAsia="Times New Roman" w:hAnsi="Book Antiqua" w:cs="Arial"/>
            <w:color w:val="0000FF"/>
            <w:sz w:val="19"/>
            <w:szCs w:val="19"/>
            <w:u w:val="single"/>
            <w:lang w:eastAsia="pt-BR"/>
          </w:rPr>
          <w:t>caput do art. 146</w:t>
        </w:r>
      </w:hyperlink>
      <w:r w:rsidRPr="00BA4D46">
        <w:rPr>
          <w:rFonts w:ascii="Book Antiqua" w:eastAsia="Times New Roman" w:hAnsi="Book Antiqua" w:cs="Arial"/>
          <w:color w:val="000000"/>
          <w:sz w:val="19"/>
          <w:szCs w:val="19"/>
          <w:lang w:eastAsia="pt-BR"/>
        </w:rPr>
        <w:t> e no </w:t>
      </w:r>
      <w:hyperlink r:id="rId7" w:anchor="art195%C2%A77" w:history="1">
        <w:r w:rsidRPr="00BA4D46">
          <w:rPr>
            <w:rFonts w:ascii="Book Antiqua" w:eastAsia="Times New Roman" w:hAnsi="Book Antiqua" w:cs="Arial"/>
            <w:color w:val="0000FF"/>
            <w:sz w:val="19"/>
            <w:szCs w:val="19"/>
            <w:u w:val="single"/>
            <w:lang w:eastAsia="pt-BR"/>
          </w:rPr>
          <w:t>§ 7º do art. 195 da Constituição Federa</w:t>
        </w:r>
      </w:hyperlink>
      <w:r w:rsidRPr="00BA4D46">
        <w:rPr>
          <w:rFonts w:ascii="Book Antiqua" w:eastAsia="Times New Roman" w:hAnsi="Book Antiqua" w:cs="Arial"/>
          <w:color w:val="000000"/>
          <w:sz w:val="19"/>
          <w:szCs w:val="19"/>
          <w:lang w:eastAsia="pt-BR"/>
        </w:rPr>
        <w:t>l, as condições para limitação ao poder de tributar da União em relação às entidades beneficentes, no tocante às contribuições para a seguridade social.</w:t>
      </w:r>
    </w:p>
    <w:p w14:paraId="367B46E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BA4D46">
        <w:rPr>
          <w:rFonts w:ascii="Book Antiqua" w:eastAsia="Times New Roman" w:hAnsi="Book Antiqua" w:cs="Arial"/>
          <w:color w:val="000000"/>
          <w:sz w:val="19"/>
          <w:szCs w:val="19"/>
          <w:lang w:eastAsia="pt-BR"/>
        </w:rPr>
        <w:t>Art. 2º Entidade beneficente, para os fins de cumprimento desta Lei Complementar, é a pessoa jurídica de direito privado, sem fins lucrativos, que presta serviço nas áreas de assistência social, de saúde e de educação, assim certificada na forma desta Lei Complementar.</w:t>
      </w:r>
    </w:p>
    <w:p w14:paraId="325B8C9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3"/>
      <w:bookmarkEnd w:id="2"/>
      <w:r w:rsidRPr="00BA4D46">
        <w:rPr>
          <w:rFonts w:ascii="Book Antiqua" w:eastAsia="Times New Roman" w:hAnsi="Book Antiqua" w:cs="Arial"/>
          <w:color w:val="000000"/>
          <w:sz w:val="19"/>
          <w:szCs w:val="19"/>
          <w:lang w:eastAsia="pt-BR"/>
        </w:rPr>
        <w:t>Art. 3º Farão jus à imunidade de que trata o </w:t>
      </w:r>
      <w:hyperlink r:id="rId8" w:anchor="art195%C2%A77" w:history="1">
        <w:r w:rsidRPr="00BA4D46">
          <w:rPr>
            <w:rFonts w:ascii="Book Antiqua" w:eastAsia="Times New Roman" w:hAnsi="Book Antiqua" w:cs="Arial"/>
            <w:color w:val="0000FF"/>
            <w:sz w:val="19"/>
            <w:szCs w:val="19"/>
            <w:u w:val="single"/>
            <w:lang w:eastAsia="pt-BR"/>
          </w:rPr>
          <w:t>§ 7º do art. 195 da Constituição Federal </w:t>
        </w:r>
      </w:hyperlink>
      <w:r w:rsidRPr="00BA4D46">
        <w:rPr>
          <w:rFonts w:ascii="Book Antiqua" w:eastAsia="Times New Roman" w:hAnsi="Book Antiqua" w:cs="Arial"/>
          <w:color w:val="000000"/>
          <w:sz w:val="19"/>
          <w:szCs w:val="19"/>
          <w:lang w:eastAsia="pt-BR"/>
        </w:rPr>
        <w:t>as entidades beneficentes que atuem nas áreas da saúde, da educação e da assistência social, certificadas nos termos desta Lei Complementar, e que atendam, cumulativamente, aos seguintes requisitos:</w:t>
      </w:r>
    </w:p>
    <w:p w14:paraId="7D2D6F0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não percebam seus dirigentes estatutários, conselheiros, associados, instituidores ou benfeitores remuneração, vantagens ou benefícios, direta ou indiretamente, por qualquer forma ou título, em razão das competências, das funções ou das atividades que lhes sejam atribuídas pelos respectivos atos constitutivos;</w:t>
      </w:r>
    </w:p>
    <w:p w14:paraId="5309F24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apliquem suas rendas, seus recursos e eventual superávit integralmente no território nacional, na manutenção e no desenvolvimento de seus objetivos institucionais;</w:t>
      </w:r>
    </w:p>
    <w:p w14:paraId="3FA1772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apresentem certidão negativa ou certidão positiva com efeito de negativa de débitos relativos aos tributos administrados pela Secretaria Especial da Receita Federal do Brasil e pela Procuradoria-Geral da Fazenda Nacional, bem como comprovação de regularidade do Fundo de Garantia do Tempo de Serviço (FGTS);</w:t>
      </w:r>
    </w:p>
    <w:p w14:paraId="3065AED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mantenham escrituração contábil regular que registre as receitas e as despesas, bem como o registro em gratuidade, de forma segregada, em consonância com as normas do Conselho Federal de Contabilidade e com a legislação fiscal em vigor;</w:t>
      </w:r>
    </w:p>
    <w:p w14:paraId="47F188D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 - não distribuam a seus conselheiros, associados, instituidores ou benfeitores seus resultados, dividendos, bonificações, participações ou parcelas do seu patrimônio, sob qualquer forma ou pretexto, e, na hipótese de prestação de serviços a terceiros, públicos ou privados, com ou sem cessão de mão de obra, não transfiram a esses terceiros os benefícios relativos à imunidade prevista no </w:t>
      </w:r>
      <w:hyperlink r:id="rId9" w:anchor="art195%C2%A77" w:history="1">
        <w:r w:rsidRPr="00BA4D46">
          <w:rPr>
            <w:rFonts w:ascii="Book Antiqua" w:eastAsia="Times New Roman" w:hAnsi="Book Antiqua" w:cs="Arial"/>
            <w:color w:val="0000FF"/>
            <w:sz w:val="19"/>
            <w:szCs w:val="19"/>
            <w:u w:val="single"/>
            <w:lang w:eastAsia="pt-BR"/>
          </w:rPr>
          <w:t>§ 7º do art. 195 da Constituição Federal;</w:t>
        </w:r>
      </w:hyperlink>
    </w:p>
    <w:p w14:paraId="181B309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VI - conservem, pelo prazo de 10 (dez) anos, contado da data de emissão, os documentos que comprovem a origem e o registro de seus recursos e os relativos a atos ou a operações realizadas que impliquem modificação da situação patrimonial;</w:t>
      </w:r>
    </w:p>
    <w:p w14:paraId="6623E93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VII - apresentem as demonstrações contábeis e financeiras devidamente auditadas por auditor independente legalmente habilitado nos Conselhos Regionais de Contabilidade, quando a receita bruta anual auferida for superior ao limite fixado pelo </w:t>
      </w:r>
      <w:hyperlink r:id="rId10" w:anchor="art3ii." w:history="1">
        <w:r w:rsidRPr="00BA4D46">
          <w:rPr>
            <w:rFonts w:ascii="Book Antiqua" w:eastAsia="Times New Roman" w:hAnsi="Book Antiqua" w:cs="Arial"/>
            <w:color w:val="0000FF"/>
            <w:sz w:val="19"/>
            <w:szCs w:val="19"/>
            <w:u w:val="single"/>
            <w:lang w:eastAsia="pt-BR"/>
          </w:rPr>
          <w:t>inciso II do </w:t>
        </w:r>
      </w:hyperlink>
      <w:hyperlink r:id="rId11" w:anchor="art3ii." w:history="1">
        <w:r w:rsidRPr="00BA4D46">
          <w:rPr>
            <w:rFonts w:ascii="Book Antiqua" w:eastAsia="Times New Roman" w:hAnsi="Book Antiqua" w:cs="Arial"/>
            <w:color w:val="0000FF"/>
            <w:sz w:val="19"/>
            <w:szCs w:val="19"/>
            <w:u w:val="single"/>
            <w:lang w:eastAsia="pt-BR"/>
          </w:rPr>
          <w:t>caput do art. 3º da Lei Complementar nº 123, de 14 de dezembro de 2006</w:t>
        </w:r>
      </w:hyperlink>
      <w:r w:rsidRPr="00BA4D46">
        <w:rPr>
          <w:rFonts w:ascii="Book Antiqua" w:eastAsia="Times New Roman" w:hAnsi="Book Antiqua" w:cs="Arial"/>
          <w:color w:val="000000"/>
          <w:sz w:val="19"/>
          <w:szCs w:val="19"/>
          <w:lang w:eastAsia="pt-BR"/>
        </w:rPr>
        <w:t>; e</w:t>
      </w:r>
    </w:p>
    <w:p w14:paraId="0AB602E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VIII - pre</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ej</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em</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se</w:t>
      </w:r>
      <w:r w:rsidRPr="00BA4D46">
        <w:rPr>
          <w:rFonts w:ascii="Book Antiqua" w:eastAsia="Times New Roman" w:hAnsi="Book Antiqua" w:cs="Arial"/>
          <w:color w:val="000000"/>
          <w:spacing w:val="-1"/>
          <w:sz w:val="19"/>
          <w:szCs w:val="19"/>
          <w:lang w:eastAsia="pt-BR"/>
        </w:rPr>
        <w:t>u</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atos</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3"/>
          <w:sz w:val="19"/>
          <w:szCs w:val="19"/>
          <w:lang w:eastAsia="pt-BR"/>
        </w:rPr>
        <w:t>s</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3"/>
          <w:sz w:val="19"/>
          <w:szCs w:val="19"/>
          <w:lang w:eastAsia="pt-BR"/>
        </w:rPr>
        <w:t>u</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em</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so de d</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sso</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uç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 </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z w:val="19"/>
          <w:szCs w:val="19"/>
          <w:lang w:eastAsia="pt-BR"/>
        </w:rPr>
        <w:t>u e</w:t>
      </w:r>
      <w:r w:rsidRPr="00BA4D46">
        <w:rPr>
          <w:rFonts w:ascii="Book Antiqua" w:eastAsia="Times New Roman" w:hAnsi="Book Antiqua" w:cs="Arial"/>
          <w:color w:val="000000"/>
          <w:spacing w:val="-3"/>
          <w:sz w:val="19"/>
          <w:szCs w:val="19"/>
          <w:lang w:eastAsia="pt-BR"/>
        </w:rPr>
        <w:t>x</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nç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8"/>
          <w:sz w:val="19"/>
          <w:szCs w:val="19"/>
          <w:lang w:eastAsia="pt-BR"/>
        </w:rPr>
        <w:t> </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7"/>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3"/>
          <w:sz w:val="19"/>
          <w:szCs w:val="19"/>
          <w:lang w:eastAsia="pt-BR"/>
        </w:rPr>
        <w:t>s</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ção</w:t>
      </w:r>
      <w:r w:rsidRPr="00BA4D46">
        <w:rPr>
          <w:rFonts w:ascii="Book Antiqua" w:eastAsia="Times New Roman" w:hAnsi="Book Antiqua" w:cs="Arial"/>
          <w:color w:val="000000"/>
          <w:spacing w:val="7"/>
          <w:sz w:val="19"/>
          <w:szCs w:val="19"/>
          <w:lang w:eastAsia="pt-BR"/>
        </w:rPr>
        <w:t> </w:t>
      </w:r>
      <w:r w:rsidRPr="00BA4D46">
        <w:rPr>
          <w:rFonts w:ascii="Book Antiqua" w:eastAsia="Times New Roman" w:hAnsi="Book Antiqua" w:cs="Arial"/>
          <w:color w:val="000000"/>
          <w:spacing w:val="-3"/>
          <w:sz w:val="19"/>
          <w:szCs w:val="19"/>
          <w:lang w:eastAsia="pt-BR"/>
        </w:rPr>
        <w:t>d</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7"/>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tu</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l</w:t>
      </w:r>
      <w:r w:rsidRPr="00BA4D46">
        <w:rPr>
          <w:rFonts w:ascii="Book Antiqua" w:eastAsia="Times New Roman" w:hAnsi="Book Antiqua" w:cs="Arial"/>
          <w:color w:val="000000"/>
          <w:spacing w:val="7"/>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tr</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z w:val="19"/>
          <w:szCs w:val="19"/>
          <w:lang w:eastAsia="pt-BR"/>
        </w:rPr>
        <w:t>mô</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7"/>
          <w:sz w:val="19"/>
          <w:szCs w:val="19"/>
          <w:lang w:eastAsia="pt-BR"/>
        </w:rPr>
        <w:t> </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ma</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esc</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3"/>
          <w:sz w:val="19"/>
          <w:szCs w:val="19"/>
          <w:lang w:eastAsia="pt-BR"/>
        </w:rPr>
        <w:t>n</w:t>
      </w:r>
      <w:r w:rsidRPr="00BA4D46">
        <w:rPr>
          <w:rFonts w:ascii="Book Antiqua" w:eastAsia="Times New Roman" w:hAnsi="Book Antiqua" w:cs="Arial"/>
          <w:color w:val="000000"/>
          <w:sz w:val="19"/>
          <w:szCs w:val="19"/>
          <w:lang w:eastAsia="pt-BR"/>
        </w:rPr>
        <w:t>te</w:t>
      </w:r>
      <w:r w:rsidRPr="00BA4D46">
        <w:rPr>
          <w:rFonts w:ascii="Book Antiqua" w:eastAsia="Times New Roman" w:hAnsi="Book Antiqua" w:cs="Arial"/>
          <w:color w:val="000000"/>
          <w:spacing w:val="7"/>
          <w:sz w:val="19"/>
          <w:szCs w:val="19"/>
          <w:lang w:eastAsia="pt-BR"/>
        </w:rPr>
        <w:t> </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5"/>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5"/>
          <w:sz w:val="19"/>
          <w:szCs w:val="19"/>
          <w:lang w:eastAsia="pt-BR"/>
        </w:rPr>
        <w:t> </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4"/>
          <w:sz w:val="19"/>
          <w:szCs w:val="19"/>
          <w:lang w:eastAsia="pt-BR"/>
        </w:rPr>
        <w:t>e</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ce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2"/>
          <w:sz w:val="19"/>
          <w:szCs w:val="19"/>
          <w:lang w:eastAsia="pt-BR"/>
        </w:rPr>
        <w:t>t</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s cer</w:t>
      </w:r>
      <w:r w:rsidRPr="00BA4D46">
        <w:rPr>
          <w:rFonts w:ascii="Book Antiqua" w:eastAsia="Times New Roman" w:hAnsi="Book Antiqua" w:cs="Arial"/>
          <w:color w:val="000000"/>
          <w:spacing w:val="1"/>
          <w:sz w:val="19"/>
          <w:szCs w:val="19"/>
          <w:lang w:eastAsia="pt-BR"/>
        </w:rPr>
        <w:t>t</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ca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ou a</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ú</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2"/>
          <w:sz w:val="19"/>
          <w:szCs w:val="19"/>
          <w:lang w:eastAsia="pt-BR"/>
        </w:rPr>
        <w:t>li</w:t>
      </w:r>
      <w:r w:rsidRPr="00BA4D46">
        <w:rPr>
          <w:rFonts w:ascii="Book Antiqua" w:eastAsia="Times New Roman" w:hAnsi="Book Antiqua" w:cs="Arial"/>
          <w:color w:val="000000"/>
          <w:sz w:val="19"/>
          <w:szCs w:val="19"/>
          <w:lang w:eastAsia="pt-BR"/>
        </w:rPr>
        <w:t>cas.</w:t>
      </w:r>
    </w:p>
    <w:p w14:paraId="039AF6D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 exigência a que se refere o inciso I do caput deste artigo não impede:</w:t>
      </w:r>
    </w:p>
    <w:p w14:paraId="6AFB9D0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a remuneração aos dirigentes não estatutários; e</w:t>
      </w:r>
    </w:p>
    <w:p w14:paraId="51C3B4A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a remuneração aos dirigentes estatutários, desde que recebam remuneração inferior, em seu valor bruto, a 70% (setenta por cento) do limite estabelecido para a remuneração de servidores do Poder Executivo federal, obedecidas as seguintes condições:</w:t>
      </w:r>
    </w:p>
    <w:p w14:paraId="5BF5B9B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a) nenhum dirigente remunerado poderá ser cônjuge ou parente até o terceiro grau, inclusive afim, de instituidores, de associados, de dirigentes, de conselheiros, de benfeitores ou equivalentes da entidade de que trata o caput deste artigo; e</w:t>
      </w:r>
    </w:p>
    <w:p w14:paraId="7CE3706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b) o total pago a título de remuneração para dirigentes pelo exercício das atribuições estatutárias deverá ser inferior a 5 (cinco) vezes o valor correspondente ao limite individual estabelecido para a remuneração dos servidores do Poder Executivo federal.</w:t>
      </w:r>
    </w:p>
    <w:p w14:paraId="3C5C437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2º</w:t>
      </w:r>
      <w:r w:rsidRPr="00BA4D46">
        <w:rPr>
          <w:rFonts w:ascii="Book Antiqua" w:eastAsia="Times New Roman" w:hAnsi="Book Antiqua" w:cs="Arial"/>
          <w:color w:val="000000"/>
          <w:spacing w:val="-13"/>
          <w:sz w:val="19"/>
          <w:szCs w:val="19"/>
          <w:lang w:eastAsia="pt-BR"/>
        </w:rPr>
        <w:t> </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3"/>
          <w:sz w:val="19"/>
          <w:szCs w:val="19"/>
          <w:lang w:eastAsia="pt-BR"/>
        </w:rPr>
        <w:t> </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or</w:t>
      </w:r>
      <w:r w:rsidRPr="00BA4D46">
        <w:rPr>
          <w:rFonts w:ascii="Book Antiqua" w:eastAsia="Times New Roman" w:hAnsi="Book Antiqua" w:cs="Arial"/>
          <w:color w:val="000000"/>
          <w:spacing w:val="-11"/>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mu</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2"/>
          <w:sz w:val="19"/>
          <w:szCs w:val="19"/>
          <w:lang w:eastAsia="pt-BR"/>
        </w:rPr>
        <w:t>r</w:t>
      </w:r>
      <w:r w:rsidRPr="00BA4D46">
        <w:rPr>
          <w:rFonts w:ascii="Book Antiqua" w:eastAsia="Times New Roman" w:hAnsi="Book Antiqua" w:cs="Arial"/>
          <w:color w:val="000000"/>
          <w:sz w:val="19"/>
          <w:szCs w:val="19"/>
          <w:lang w:eastAsia="pt-BR"/>
        </w:rPr>
        <w:t>aç</w:t>
      </w:r>
      <w:r w:rsidRPr="00BA4D46">
        <w:rPr>
          <w:rFonts w:ascii="Book Antiqua" w:eastAsia="Times New Roman" w:hAnsi="Book Antiqua" w:cs="Arial"/>
          <w:color w:val="000000"/>
          <w:spacing w:val="-1"/>
          <w:sz w:val="19"/>
          <w:szCs w:val="19"/>
          <w:lang w:eastAsia="pt-BR"/>
        </w:rPr>
        <w:t>õ</w:t>
      </w:r>
      <w:r w:rsidRPr="00BA4D46">
        <w:rPr>
          <w:rFonts w:ascii="Book Antiqua" w:eastAsia="Times New Roman" w:hAnsi="Book Antiqua" w:cs="Arial"/>
          <w:color w:val="000000"/>
          <w:sz w:val="19"/>
          <w:szCs w:val="19"/>
          <w:lang w:eastAsia="pt-BR"/>
        </w:rPr>
        <w:t>es</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7"/>
          <w:sz w:val="19"/>
          <w:szCs w:val="19"/>
          <w:lang w:eastAsia="pt-BR"/>
        </w:rPr>
        <w:t> </w:t>
      </w:r>
      <w:r w:rsidRPr="00BA4D46">
        <w:rPr>
          <w:rFonts w:ascii="Book Antiqua" w:eastAsia="Times New Roman" w:hAnsi="Book Antiqua" w:cs="Arial"/>
          <w:color w:val="000000"/>
          <w:spacing w:val="1"/>
          <w:sz w:val="19"/>
          <w:szCs w:val="19"/>
          <w:lang w:eastAsia="pt-BR"/>
        </w:rPr>
        <w:t>q</w:t>
      </w:r>
      <w:r w:rsidRPr="00BA4D46">
        <w:rPr>
          <w:rFonts w:ascii="Book Antiqua" w:eastAsia="Times New Roman" w:hAnsi="Book Antiqua" w:cs="Arial"/>
          <w:color w:val="000000"/>
          <w:sz w:val="19"/>
          <w:szCs w:val="19"/>
          <w:lang w:eastAsia="pt-BR"/>
        </w:rPr>
        <w:t>ue</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tr</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ta</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1º</w:t>
      </w:r>
      <w:r w:rsidRPr="00BA4D46">
        <w:rPr>
          <w:rFonts w:ascii="Book Antiqua" w:eastAsia="Times New Roman" w:hAnsi="Book Antiqua" w:cs="Arial"/>
          <w:color w:val="000000"/>
          <w:spacing w:val="-15"/>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ste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rt</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erá res</w:t>
      </w:r>
      <w:r w:rsidRPr="00BA4D46">
        <w:rPr>
          <w:rFonts w:ascii="Book Antiqua" w:eastAsia="Times New Roman" w:hAnsi="Book Antiqua" w:cs="Arial"/>
          <w:color w:val="000000"/>
          <w:spacing w:val="-1"/>
          <w:sz w:val="19"/>
          <w:szCs w:val="19"/>
          <w:lang w:eastAsia="pt-BR"/>
        </w:rPr>
        <w:t>p</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tar</w:t>
      </w:r>
      <w:r w:rsidRPr="00BA4D46">
        <w:rPr>
          <w:rFonts w:ascii="Book Antiqua" w:eastAsia="Times New Roman" w:hAnsi="Book Antiqua" w:cs="Arial"/>
          <w:color w:val="000000"/>
          <w:spacing w:val="50"/>
          <w:sz w:val="19"/>
          <w:szCs w:val="19"/>
          <w:lang w:eastAsia="pt-BR"/>
        </w:rPr>
        <w:t> </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z w:val="19"/>
          <w:szCs w:val="19"/>
          <w:lang w:eastAsia="pt-BR"/>
        </w:rPr>
        <w:t>mo</w:t>
      </w:r>
      <w:r w:rsidRPr="00BA4D46">
        <w:rPr>
          <w:rFonts w:ascii="Book Antiqua" w:eastAsia="Times New Roman" w:hAnsi="Book Antiqua" w:cs="Arial"/>
          <w:color w:val="000000"/>
          <w:spacing w:val="52"/>
          <w:sz w:val="19"/>
          <w:szCs w:val="19"/>
          <w:lang w:eastAsia="pt-BR"/>
        </w:rPr>
        <w:t> </w:t>
      </w:r>
      <w:r w:rsidRPr="00BA4D46">
        <w:rPr>
          <w:rFonts w:ascii="Book Antiqua" w:eastAsia="Times New Roman" w:hAnsi="Book Antiqua" w:cs="Arial"/>
          <w:color w:val="000000"/>
          <w:spacing w:val="-2"/>
          <w:sz w:val="19"/>
          <w:szCs w:val="19"/>
          <w:lang w:eastAsia="pt-BR"/>
        </w:rPr>
        <w:t>li</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te</w:t>
      </w:r>
      <w:r w:rsidRPr="00BA4D46">
        <w:rPr>
          <w:rFonts w:ascii="Book Antiqua" w:eastAsia="Times New Roman" w:hAnsi="Book Antiqua" w:cs="Arial"/>
          <w:color w:val="000000"/>
          <w:spacing w:val="49"/>
          <w:sz w:val="19"/>
          <w:szCs w:val="19"/>
          <w:lang w:eastAsia="pt-BR"/>
        </w:rPr>
        <w:t> </w:t>
      </w:r>
      <w:r w:rsidRPr="00BA4D46">
        <w:rPr>
          <w:rFonts w:ascii="Book Antiqua" w:eastAsia="Times New Roman" w:hAnsi="Book Antiqua" w:cs="Arial"/>
          <w:color w:val="000000"/>
          <w:sz w:val="19"/>
          <w:szCs w:val="19"/>
          <w:lang w:eastAsia="pt-BR"/>
        </w:rPr>
        <w:t>má</w:t>
      </w:r>
      <w:r w:rsidRPr="00BA4D46">
        <w:rPr>
          <w:rFonts w:ascii="Book Antiqua" w:eastAsia="Times New Roman" w:hAnsi="Book Antiqua" w:cs="Arial"/>
          <w:color w:val="000000"/>
          <w:spacing w:val="-3"/>
          <w:sz w:val="19"/>
          <w:szCs w:val="19"/>
          <w:lang w:eastAsia="pt-BR"/>
        </w:rPr>
        <w:t>x</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mo</w:t>
      </w:r>
      <w:r w:rsidRPr="00BA4D46">
        <w:rPr>
          <w:rFonts w:ascii="Book Antiqua" w:eastAsia="Times New Roman" w:hAnsi="Book Antiqua" w:cs="Arial"/>
          <w:color w:val="000000"/>
          <w:spacing w:val="52"/>
          <w:sz w:val="19"/>
          <w:szCs w:val="19"/>
          <w:lang w:eastAsia="pt-BR"/>
        </w:rPr>
        <w:t> </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52"/>
          <w:sz w:val="19"/>
          <w:szCs w:val="19"/>
          <w:lang w:eastAsia="pt-BR"/>
        </w:rPr>
        <w:t> </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ores</w:t>
      </w:r>
      <w:r w:rsidRPr="00BA4D46">
        <w:rPr>
          <w:rFonts w:ascii="Book Antiqua" w:eastAsia="Times New Roman" w:hAnsi="Book Antiqua" w:cs="Arial"/>
          <w:color w:val="000000"/>
          <w:spacing w:val="52"/>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2"/>
          <w:sz w:val="19"/>
          <w:szCs w:val="19"/>
          <w:lang w:eastAsia="pt-BR"/>
        </w:rPr>
        <w:t>r</w:t>
      </w:r>
      <w:r w:rsidRPr="00BA4D46">
        <w:rPr>
          <w:rFonts w:ascii="Book Antiqua" w:eastAsia="Times New Roman" w:hAnsi="Book Antiqua" w:cs="Arial"/>
          <w:color w:val="000000"/>
          <w:sz w:val="19"/>
          <w:szCs w:val="19"/>
          <w:lang w:eastAsia="pt-BR"/>
        </w:rPr>
        <w:t>atic</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53"/>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49"/>
          <w:sz w:val="19"/>
          <w:szCs w:val="19"/>
          <w:lang w:eastAsia="pt-BR"/>
        </w:rPr>
        <w:t> </w:t>
      </w:r>
      <w:r w:rsidRPr="00BA4D46">
        <w:rPr>
          <w:rFonts w:ascii="Book Antiqua" w:eastAsia="Times New Roman" w:hAnsi="Book Antiqua" w:cs="Arial"/>
          <w:color w:val="000000"/>
          <w:sz w:val="19"/>
          <w:szCs w:val="19"/>
          <w:lang w:eastAsia="pt-BR"/>
        </w:rPr>
        <w:t>mercado</w:t>
      </w:r>
      <w:r w:rsidRPr="00BA4D46">
        <w:rPr>
          <w:rFonts w:ascii="Book Antiqua" w:eastAsia="Times New Roman" w:hAnsi="Book Antiqua" w:cs="Arial"/>
          <w:color w:val="000000"/>
          <w:spacing w:val="49"/>
          <w:sz w:val="19"/>
          <w:szCs w:val="19"/>
          <w:lang w:eastAsia="pt-BR"/>
        </w:rPr>
        <w:t> </w:t>
      </w:r>
      <w:r w:rsidRPr="00BA4D46">
        <w:rPr>
          <w:rFonts w:ascii="Book Antiqua" w:eastAsia="Times New Roman" w:hAnsi="Book Antiqua" w:cs="Arial"/>
          <w:color w:val="000000"/>
          <w:sz w:val="19"/>
          <w:szCs w:val="19"/>
          <w:lang w:eastAsia="pt-BR"/>
        </w:rPr>
        <w:t>na</w:t>
      </w:r>
      <w:r w:rsidRPr="00BA4D46">
        <w:rPr>
          <w:rFonts w:ascii="Book Antiqua" w:eastAsia="Times New Roman" w:hAnsi="Book Antiqua" w:cs="Arial"/>
          <w:color w:val="000000"/>
          <w:spacing w:val="51"/>
          <w:sz w:val="19"/>
          <w:szCs w:val="19"/>
          <w:lang w:eastAsia="pt-BR"/>
        </w:rPr>
        <w:t> </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pacing w:val="-3"/>
          <w:sz w:val="19"/>
          <w:szCs w:val="19"/>
          <w:lang w:eastAsia="pt-BR"/>
        </w:rPr>
        <w:t>ã</w:t>
      </w:r>
      <w:r w:rsidRPr="00BA4D46">
        <w:rPr>
          <w:rFonts w:ascii="Book Antiqua" w:eastAsia="Times New Roman" w:hAnsi="Book Antiqua" w:cs="Arial"/>
          <w:color w:val="000000"/>
          <w:sz w:val="19"/>
          <w:szCs w:val="19"/>
          <w:lang w:eastAsia="pt-BR"/>
        </w:rPr>
        <w:t>o cor</w:t>
      </w:r>
      <w:r w:rsidRPr="00BA4D46">
        <w:rPr>
          <w:rFonts w:ascii="Book Antiqua" w:eastAsia="Times New Roman" w:hAnsi="Book Antiqua" w:cs="Arial"/>
          <w:color w:val="000000"/>
          <w:spacing w:val="1"/>
          <w:sz w:val="19"/>
          <w:szCs w:val="19"/>
          <w:lang w:eastAsia="pt-BR"/>
        </w:rPr>
        <w:t>r</w:t>
      </w:r>
      <w:r w:rsidRPr="00BA4D46">
        <w:rPr>
          <w:rFonts w:ascii="Book Antiqua" w:eastAsia="Times New Roman" w:hAnsi="Book Antiqua" w:cs="Arial"/>
          <w:color w:val="000000"/>
          <w:sz w:val="19"/>
          <w:szCs w:val="19"/>
          <w:lang w:eastAsia="pt-BR"/>
        </w:rPr>
        <w:t>es</w:t>
      </w:r>
      <w:r w:rsidRPr="00BA4D46">
        <w:rPr>
          <w:rFonts w:ascii="Book Antiqua" w:eastAsia="Times New Roman" w:hAnsi="Book Antiqua" w:cs="Arial"/>
          <w:color w:val="000000"/>
          <w:spacing w:val="-1"/>
          <w:sz w:val="19"/>
          <w:szCs w:val="19"/>
          <w:lang w:eastAsia="pt-BR"/>
        </w:rPr>
        <w:t>p</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3"/>
          <w:sz w:val="19"/>
          <w:szCs w:val="19"/>
          <w:lang w:eastAsia="pt-BR"/>
        </w:rPr>
        <w:t>n</w:t>
      </w:r>
      <w:r w:rsidRPr="00BA4D46">
        <w:rPr>
          <w:rFonts w:ascii="Book Antiqua" w:eastAsia="Times New Roman" w:hAnsi="Book Antiqua" w:cs="Arial"/>
          <w:color w:val="000000"/>
          <w:sz w:val="19"/>
          <w:szCs w:val="19"/>
          <w:lang w:eastAsia="pt-BR"/>
        </w:rPr>
        <w:t>te</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z w:val="19"/>
          <w:szCs w:val="19"/>
          <w:lang w:eastAsia="pt-BR"/>
        </w:rPr>
        <w:t>à</w:t>
      </w:r>
      <w:r w:rsidRPr="00BA4D46">
        <w:rPr>
          <w:rFonts w:ascii="Book Antiqua" w:eastAsia="Times New Roman" w:hAnsi="Book Antiqua" w:cs="Arial"/>
          <w:color w:val="000000"/>
          <w:spacing w:val="27"/>
          <w:sz w:val="19"/>
          <w:szCs w:val="19"/>
          <w:lang w:eastAsia="pt-BR"/>
        </w:rPr>
        <w:t> </w:t>
      </w:r>
      <w:r w:rsidRPr="00BA4D46">
        <w:rPr>
          <w:rFonts w:ascii="Book Antiqua" w:eastAsia="Times New Roman" w:hAnsi="Book Antiqua" w:cs="Arial"/>
          <w:color w:val="000000"/>
          <w:sz w:val="19"/>
          <w:szCs w:val="19"/>
          <w:lang w:eastAsia="pt-BR"/>
        </w:rPr>
        <w:t>sua</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pacing w:val="-3"/>
          <w:sz w:val="19"/>
          <w:szCs w:val="19"/>
          <w:lang w:eastAsia="pt-BR"/>
        </w:rPr>
        <w:t>á</w:t>
      </w:r>
      <w:r w:rsidRPr="00BA4D46">
        <w:rPr>
          <w:rFonts w:ascii="Book Antiqua" w:eastAsia="Times New Roman" w:hAnsi="Book Antiqua" w:cs="Arial"/>
          <w:color w:val="000000"/>
          <w:sz w:val="19"/>
          <w:szCs w:val="19"/>
          <w:lang w:eastAsia="pt-BR"/>
        </w:rPr>
        <w:t>rea</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tu</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çã</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 e deverá</w:t>
      </w:r>
      <w:r w:rsidRPr="00BA4D46">
        <w:rPr>
          <w:rFonts w:ascii="Book Antiqua" w:eastAsia="Times New Roman" w:hAnsi="Book Antiqua" w:cs="Arial"/>
          <w:color w:val="000000"/>
          <w:spacing w:val="30"/>
          <w:sz w:val="19"/>
          <w:szCs w:val="19"/>
          <w:lang w:eastAsia="pt-BR"/>
        </w:rPr>
        <w:t> </w:t>
      </w:r>
      <w:r w:rsidRPr="00BA4D46">
        <w:rPr>
          <w:rFonts w:ascii="Book Antiqua" w:eastAsia="Times New Roman" w:hAnsi="Book Antiqua" w:cs="Arial"/>
          <w:color w:val="000000"/>
          <w:sz w:val="19"/>
          <w:szCs w:val="19"/>
          <w:lang w:eastAsia="pt-BR"/>
        </w:rPr>
        <w:t>ser</w:t>
      </w:r>
      <w:r w:rsidRPr="00BA4D46">
        <w:rPr>
          <w:rFonts w:ascii="Book Antiqua" w:eastAsia="Times New Roman" w:hAnsi="Book Antiqua" w:cs="Arial"/>
          <w:color w:val="000000"/>
          <w:spacing w:val="27"/>
          <w:sz w:val="19"/>
          <w:szCs w:val="19"/>
          <w:lang w:eastAsia="pt-BR"/>
        </w:rPr>
        <w:t> </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pacing w:val="-3"/>
          <w:sz w:val="19"/>
          <w:szCs w:val="19"/>
          <w:lang w:eastAsia="pt-BR"/>
        </w:rPr>
        <w:t>x</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pacing w:val="-3"/>
          <w:sz w:val="19"/>
          <w:szCs w:val="19"/>
          <w:lang w:eastAsia="pt-BR"/>
        </w:rPr>
        <w:t>p</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z w:val="19"/>
          <w:szCs w:val="19"/>
          <w:lang w:eastAsia="pt-BR"/>
        </w:rPr>
        <w:t>ór</w:t>
      </w:r>
      <w:r w:rsidRPr="00BA4D46">
        <w:rPr>
          <w:rFonts w:ascii="Book Antiqua" w:eastAsia="Times New Roman" w:hAnsi="Book Antiqua" w:cs="Arial"/>
          <w:color w:val="000000"/>
          <w:spacing w:val="2"/>
          <w:sz w:val="19"/>
          <w:szCs w:val="19"/>
          <w:lang w:eastAsia="pt-BR"/>
        </w:rPr>
        <w:t>g</w:t>
      </w:r>
      <w:r w:rsidRPr="00BA4D46">
        <w:rPr>
          <w:rFonts w:ascii="Book Antiqua" w:eastAsia="Times New Roman" w:hAnsi="Book Antiqua" w:cs="Arial"/>
          <w:color w:val="000000"/>
          <w:sz w:val="19"/>
          <w:szCs w:val="19"/>
          <w:lang w:eastAsia="pt-BR"/>
        </w:rPr>
        <w:t>ão</w:t>
      </w:r>
      <w:r w:rsidRPr="00BA4D46">
        <w:rPr>
          <w:rFonts w:ascii="Book Antiqua" w:eastAsia="Times New Roman" w:hAnsi="Book Antiqua" w:cs="Arial"/>
          <w:color w:val="000000"/>
          <w:spacing w:val="26"/>
          <w:sz w:val="19"/>
          <w:szCs w:val="19"/>
          <w:lang w:eastAsia="pt-BR"/>
        </w:rPr>
        <w:t> </w:t>
      </w:r>
      <w:r w:rsidRPr="00BA4D46">
        <w:rPr>
          <w:rFonts w:ascii="Book Antiqua" w:eastAsia="Times New Roman" w:hAnsi="Book Antiqua" w:cs="Arial"/>
          <w:color w:val="000000"/>
          <w:sz w:val="19"/>
          <w:szCs w:val="19"/>
          <w:lang w:eastAsia="pt-BR"/>
        </w:rPr>
        <w:t>de 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2"/>
          <w:sz w:val="19"/>
          <w:szCs w:val="19"/>
          <w:lang w:eastAsia="pt-BR"/>
        </w:rPr>
        <w:t>li</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raç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7"/>
          <w:sz w:val="19"/>
          <w:szCs w:val="19"/>
          <w:lang w:eastAsia="pt-BR"/>
        </w:rPr>
        <w:t> </w:t>
      </w:r>
      <w:r w:rsidRPr="00BA4D46">
        <w:rPr>
          <w:rFonts w:ascii="Book Antiqua" w:eastAsia="Times New Roman" w:hAnsi="Book Antiqua" w:cs="Arial"/>
          <w:color w:val="000000"/>
          <w:sz w:val="19"/>
          <w:szCs w:val="19"/>
          <w:lang w:eastAsia="pt-BR"/>
        </w:rPr>
        <w:t>su</w:t>
      </w:r>
      <w:r w:rsidRPr="00BA4D46">
        <w:rPr>
          <w:rFonts w:ascii="Book Antiqua" w:eastAsia="Times New Roman" w:hAnsi="Book Antiqua" w:cs="Arial"/>
          <w:color w:val="000000"/>
          <w:spacing w:val="-1"/>
          <w:sz w:val="19"/>
          <w:szCs w:val="19"/>
          <w:lang w:eastAsia="pt-BR"/>
        </w:rPr>
        <w:t>p</w:t>
      </w:r>
      <w:r w:rsidRPr="00BA4D46">
        <w:rPr>
          <w:rFonts w:ascii="Book Antiqua" w:eastAsia="Times New Roman" w:hAnsi="Book Antiqua" w:cs="Arial"/>
          <w:color w:val="000000"/>
          <w:sz w:val="19"/>
          <w:szCs w:val="19"/>
          <w:lang w:eastAsia="pt-BR"/>
        </w:rPr>
        <w:t>eri</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25"/>
          <w:sz w:val="19"/>
          <w:szCs w:val="19"/>
          <w:lang w:eastAsia="pt-BR"/>
        </w:rPr>
        <w:t> </w:t>
      </w:r>
      <w:r w:rsidRPr="00BA4D46">
        <w:rPr>
          <w:rFonts w:ascii="Book Antiqua" w:eastAsia="Times New Roman" w:hAnsi="Book Antiqua" w:cs="Arial"/>
          <w:color w:val="000000"/>
          <w:sz w:val="19"/>
          <w:szCs w:val="19"/>
          <w:lang w:eastAsia="pt-BR"/>
        </w:rPr>
        <w:t>da</w:t>
      </w:r>
      <w:r w:rsidRPr="00BA4D46">
        <w:rPr>
          <w:rFonts w:ascii="Book Antiqua" w:eastAsia="Times New Roman" w:hAnsi="Book Antiqua" w:cs="Arial"/>
          <w:color w:val="000000"/>
          <w:spacing w:val="21"/>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25"/>
          <w:sz w:val="19"/>
          <w:szCs w:val="19"/>
          <w:lang w:eastAsia="pt-BR"/>
        </w:rPr>
        <w:t> </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
          <w:sz w:val="19"/>
          <w:szCs w:val="19"/>
          <w:lang w:eastAsia="pt-BR"/>
        </w:rPr>
        <w:t>t</w:t>
      </w:r>
      <w:r w:rsidRPr="00BA4D46">
        <w:rPr>
          <w:rFonts w:ascii="Book Antiqua" w:eastAsia="Times New Roman" w:hAnsi="Book Antiqua" w:cs="Arial"/>
          <w:color w:val="000000"/>
          <w:sz w:val="19"/>
          <w:szCs w:val="19"/>
          <w:lang w:eastAsia="pt-BR"/>
        </w:rPr>
        <w:t>ra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7"/>
          <w:sz w:val="19"/>
          <w:szCs w:val="19"/>
          <w:lang w:eastAsia="pt-BR"/>
        </w:rPr>
        <w:t> </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23"/>
          <w:sz w:val="19"/>
          <w:szCs w:val="19"/>
          <w:lang w:eastAsia="pt-BR"/>
        </w:rPr>
        <w:t> </w:t>
      </w:r>
      <w:r w:rsidRPr="00BA4D46">
        <w:rPr>
          <w:rFonts w:ascii="Book Antiqua" w:eastAsia="Times New Roman" w:hAnsi="Book Antiqua" w:cs="Arial"/>
          <w:color w:val="000000"/>
          <w:sz w:val="19"/>
          <w:szCs w:val="19"/>
          <w:lang w:eastAsia="pt-BR"/>
        </w:rPr>
        <w:t>ata,</w:t>
      </w:r>
      <w:r w:rsidRPr="00BA4D46">
        <w:rPr>
          <w:rFonts w:ascii="Book Antiqua" w:eastAsia="Times New Roman" w:hAnsi="Book Antiqua" w:cs="Arial"/>
          <w:color w:val="000000"/>
          <w:spacing w:val="26"/>
          <w:sz w:val="19"/>
          <w:szCs w:val="19"/>
          <w:lang w:eastAsia="pt-BR"/>
        </w:rPr>
        <w:t> </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28"/>
          <w:sz w:val="19"/>
          <w:szCs w:val="19"/>
          <w:lang w:eastAsia="pt-BR"/>
        </w:rPr>
        <w:t> </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z w:val="19"/>
          <w:szCs w:val="19"/>
          <w:lang w:eastAsia="pt-BR"/>
        </w:rPr>
        <w:t>mu</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caç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2"/>
          <w:sz w:val="19"/>
          <w:szCs w:val="19"/>
          <w:lang w:eastAsia="pt-BR"/>
        </w:rPr>
        <w:t> </w:t>
      </w:r>
      <w:r w:rsidRPr="00BA4D46">
        <w:rPr>
          <w:rFonts w:ascii="Book Antiqua" w:eastAsia="Times New Roman" w:hAnsi="Book Antiqua" w:cs="Arial"/>
          <w:color w:val="000000"/>
          <w:sz w:val="19"/>
          <w:szCs w:val="19"/>
          <w:lang w:eastAsia="pt-BR"/>
        </w:rPr>
        <w:t>ao</w:t>
      </w:r>
      <w:r w:rsidRPr="00BA4D46">
        <w:rPr>
          <w:rFonts w:ascii="Book Antiqua" w:eastAsia="Times New Roman" w:hAnsi="Book Antiqua" w:cs="Arial"/>
          <w:color w:val="000000"/>
          <w:spacing w:val="26"/>
          <w:sz w:val="19"/>
          <w:szCs w:val="19"/>
          <w:lang w:eastAsia="pt-BR"/>
        </w:rPr>
        <w:t> </w:t>
      </w:r>
      <w:r w:rsidRPr="00BA4D46">
        <w:rPr>
          <w:rFonts w:ascii="Book Antiqua" w:eastAsia="Times New Roman" w:hAnsi="Book Antiqua" w:cs="Arial"/>
          <w:color w:val="000000"/>
          <w:spacing w:val="-4"/>
          <w:sz w:val="19"/>
          <w:szCs w:val="19"/>
          <w:lang w:eastAsia="pt-BR"/>
        </w:rPr>
        <w:t>M</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stério </w:t>
      </w:r>
      <w:r w:rsidRPr="00BA4D46">
        <w:rPr>
          <w:rFonts w:ascii="Book Antiqua" w:eastAsia="Times New Roman" w:hAnsi="Book Antiqua" w:cs="Arial"/>
          <w:color w:val="000000"/>
          <w:spacing w:val="-1"/>
          <w:sz w:val="19"/>
          <w:szCs w:val="19"/>
          <w:lang w:eastAsia="pt-BR"/>
        </w:rPr>
        <w:t>P</w:t>
      </w:r>
      <w:r w:rsidRPr="00BA4D46">
        <w:rPr>
          <w:rFonts w:ascii="Book Antiqua" w:eastAsia="Times New Roman" w:hAnsi="Book Antiqua" w:cs="Arial"/>
          <w:color w:val="000000"/>
          <w:sz w:val="19"/>
          <w:szCs w:val="19"/>
          <w:lang w:eastAsia="pt-BR"/>
        </w:rPr>
        <w:t>ú</w:t>
      </w:r>
      <w:r w:rsidRPr="00BA4D46">
        <w:rPr>
          <w:rFonts w:ascii="Book Antiqua" w:eastAsia="Times New Roman" w:hAnsi="Book Antiqua" w:cs="Arial"/>
          <w:color w:val="000000"/>
          <w:spacing w:val="-1"/>
          <w:sz w:val="19"/>
          <w:szCs w:val="19"/>
          <w:lang w:eastAsia="pt-BR"/>
        </w:rPr>
        <w:t>b</w:t>
      </w:r>
      <w:r w:rsidRPr="00BA4D46">
        <w:rPr>
          <w:rFonts w:ascii="Book Antiqua" w:eastAsia="Times New Roman" w:hAnsi="Book Antiqua" w:cs="Arial"/>
          <w:color w:val="000000"/>
          <w:spacing w:val="-2"/>
          <w:sz w:val="19"/>
          <w:szCs w:val="19"/>
          <w:lang w:eastAsia="pt-BR"/>
        </w:rPr>
        <w:t>li</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no caso</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4"/>
          <w:sz w:val="19"/>
          <w:szCs w:val="19"/>
          <w:lang w:eastAsia="pt-BR"/>
        </w:rPr>
        <w:t> </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z w:val="19"/>
          <w:szCs w:val="19"/>
          <w:lang w:eastAsia="pt-BR"/>
        </w:rPr>
        <w:t>u</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çõ</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w:t>
      </w:r>
    </w:p>
    <w:p w14:paraId="3A93EAB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Os dirigentes, estatutários ou não, não respondem, direta ou subsidiariamente, pelas obrigações fiscais da entidade, sa</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5"/>
          <w:sz w:val="19"/>
          <w:szCs w:val="19"/>
          <w:lang w:eastAsia="pt-BR"/>
        </w:rPr>
        <w:t> </w:t>
      </w:r>
      <w:r w:rsidRPr="00BA4D46">
        <w:rPr>
          <w:rFonts w:ascii="Book Antiqua" w:eastAsia="Times New Roman" w:hAnsi="Book Antiqua" w:cs="Arial"/>
          <w:color w:val="000000"/>
          <w:sz w:val="19"/>
          <w:szCs w:val="19"/>
          <w:lang w:eastAsia="pt-BR"/>
        </w:rPr>
        <w:t>se</w:t>
      </w:r>
      <w:r w:rsidRPr="00BA4D46">
        <w:rPr>
          <w:rFonts w:ascii="Book Antiqua" w:eastAsia="Times New Roman" w:hAnsi="Book Antiqua" w:cs="Arial"/>
          <w:color w:val="000000"/>
          <w:spacing w:val="25"/>
          <w:sz w:val="19"/>
          <w:szCs w:val="19"/>
          <w:lang w:eastAsia="pt-BR"/>
        </w:rPr>
        <w:t> </w:t>
      </w:r>
      <w:r w:rsidRPr="00BA4D46">
        <w:rPr>
          <w:rFonts w:ascii="Book Antiqua" w:eastAsia="Times New Roman" w:hAnsi="Book Antiqua" w:cs="Arial"/>
          <w:color w:val="000000"/>
          <w:sz w:val="19"/>
          <w:szCs w:val="19"/>
          <w:lang w:eastAsia="pt-BR"/>
        </w:rPr>
        <w:t>compro</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23"/>
          <w:sz w:val="19"/>
          <w:szCs w:val="19"/>
          <w:lang w:eastAsia="pt-BR"/>
        </w:rPr>
        <w:t> </w:t>
      </w:r>
      <w:r w:rsidRPr="00BA4D46">
        <w:rPr>
          <w:rFonts w:ascii="Book Antiqua" w:eastAsia="Times New Roman" w:hAnsi="Book Antiqua" w:cs="Arial"/>
          <w:color w:val="000000"/>
          <w:sz w:val="19"/>
          <w:szCs w:val="19"/>
          <w:lang w:eastAsia="pt-BR"/>
        </w:rPr>
        <w:t>a oc</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rrê</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de d</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3"/>
          <w:sz w:val="19"/>
          <w:szCs w:val="19"/>
          <w:lang w:eastAsia="pt-BR"/>
        </w:rPr>
        <w:t> </w:t>
      </w:r>
      <w:r w:rsidRPr="00BA4D46">
        <w:rPr>
          <w:rFonts w:ascii="Book Antiqua" w:eastAsia="Times New Roman" w:hAnsi="Book Antiqua" w:cs="Arial"/>
          <w:color w:val="000000"/>
          <w:sz w:val="19"/>
          <w:szCs w:val="19"/>
          <w:lang w:eastAsia="pt-BR"/>
        </w:rPr>
        <w:t>fra</w:t>
      </w:r>
      <w:r w:rsidRPr="00BA4D46">
        <w:rPr>
          <w:rFonts w:ascii="Book Antiqua" w:eastAsia="Times New Roman" w:hAnsi="Book Antiqua" w:cs="Arial"/>
          <w:color w:val="000000"/>
          <w:spacing w:val="-1"/>
          <w:sz w:val="19"/>
          <w:szCs w:val="19"/>
          <w:lang w:eastAsia="pt-BR"/>
        </w:rPr>
        <w:t>u</w:t>
      </w:r>
      <w:r w:rsidRPr="00BA4D46">
        <w:rPr>
          <w:rFonts w:ascii="Book Antiqua" w:eastAsia="Times New Roman" w:hAnsi="Book Antiqua" w:cs="Arial"/>
          <w:color w:val="000000"/>
          <w:spacing w:val="-3"/>
          <w:sz w:val="19"/>
          <w:szCs w:val="19"/>
          <w:lang w:eastAsia="pt-BR"/>
        </w:rPr>
        <w:t>d</w:t>
      </w:r>
      <w:r w:rsidRPr="00BA4D46">
        <w:rPr>
          <w:rFonts w:ascii="Book Antiqua" w:eastAsia="Times New Roman" w:hAnsi="Book Antiqua" w:cs="Arial"/>
          <w:color w:val="000000"/>
          <w:sz w:val="19"/>
          <w:szCs w:val="19"/>
          <w:lang w:eastAsia="pt-BR"/>
        </w:rPr>
        <w:t>e ou s</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z w:val="19"/>
          <w:szCs w:val="19"/>
          <w:lang w:eastAsia="pt-BR"/>
        </w:rPr>
        <w:t>mu</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aç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w:t>
      </w:r>
    </w:p>
    <w:p w14:paraId="579F5B5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4"/>
      <w:bookmarkEnd w:id="3"/>
      <w:r w:rsidRPr="00BA4D46">
        <w:rPr>
          <w:rFonts w:ascii="Book Antiqua" w:eastAsia="Times New Roman" w:hAnsi="Book Antiqua" w:cs="Arial"/>
          <w:color w:val="000000"/>
          <w:sz w:val="19"/>
          <w:szCs w:val="19"/>
          <w:lang w:eastAsia="pt-BR"/>
        </w:rPr>
        <w:t>Art. 4º A imunidade de que trata esta Lei Complementar abrange </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s co</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tr</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1"/>
          <w:sz w:val="19"/>
          <w:szCs w:val="19"/>
          <w:lang w:eastAsia="pt-BR"/>
        </w:rPr>
        <w:t>u</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çõ</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9"/>
          <w:sz w:val="19"/>
          <w:szCs w:val="19"/>
          <w:lang w:eastAsia="pt-BR"/>
        </w:rPr>
        <w:t> </w:t>
      </w:r>
      <w:r w:rsidRPr="00BA4D46">
        <w:rPr>
          <w:rFonts w:ascii="Book Antiqua" w:eastAsia="Times New Roman" w:hAnsi="Book Antiqua" w:cs="Arial"/>
          <w:color w:val="000000"/>
          <w:sz w:val="19"/>
          <w:szCs w:val="19"/>
          <w:lang w:eastAsia="pt-BR"/>
        </w:rPr>
        <w:t>previstas nos </w:t>
      </w:r>
      <w:hyperlink r:id="rId12" w:anchor="art195i" w:history="1">
        <w:r w:rsidRPr="00BA4D46">
          <w:rPr>
            <w:rFonts w:ascii="Book Antiqua" w:eastAsia="Times New Roman" w:hAnsi="Book Antiqua" w:cs="Arial"/>
            <w:color w:val="0000FF"/>
            <w:sz w:val="19"/>
            <w:szCs w:val="19"/>
            <w:u w:val="single"/>
            <w:lang w:eastAsia="pt-BR"/>
          </w:rPr>
          <w:t>incisos I,</w:t>
        </w:r>
      </w:hyperlink>
      <w:r w:rsidRPr="00BA4D46">
        <w:rPr>
          <w:rFonts w:ascii="Book Antiqua" w:eastAsia="Times New Roman" w:hAnsi="Book Antiqua" w:cs="Arial"/>
          <w:color w:val="000000"/>
          <w:sz w:val="19"/>
          <w:szCs w:val="19"/>
          <w:lang w:eastAsia="pt-BR"/>
        </w:rPr>
        <w:t> </w:t>
      </w:r>
      <w:hyperlink r:id="rId13" w:anchor="art195iii" w:history="1">
        <w:r w:rsidRPr="00BA4D46">
          <w:rPr>
            <w:rFonts w:ascii="Book Antiqua" w:eastAsia="Times New Roman" w:hAnsi="Book Antiqua" w:cs="Arial"/>
            <w:color w:val="0000FF"/>
            <w:sz w:val="19"/>
            <w:szCs w:val="19"/>
            <w:u w:val="single"/>
            <w:lang w:eastAsia="pt-BR"/>
          </w:rPr>
          <w:t>III</w:t>
        </w:r>
      </w:hyperlink>
      <w:r w:rsidRPr="00BA4D46">
        <w:rPr>
          <w:rFonts w:ascii="Book Antiqua" w:eastAsia="Times New Roman" w:hAnsi="Book Antiqua" w:cs="Arial"/>
          <w:color w:val="000000"/>
          <w:sz w:val="19"/>
          <w:szCs w:val="19"/>
          <w:lang w:eastAsia="pt-BR"/>
        </w:rPr>
        <w:t> e </w:t>
      </w:r>
      <w:hyperlink r:id="rId14" w:anchor="art195iv" w:history="1">
        <w:r w:rsidRPr="00BA4D46">
          <w:rPr>
            <w:rFonts w:ascii="Book Antiqua" w:eastAsia="Times New Roman" w:hAnsi="Book Antiqua" w:cs="Arial"/>
            <w:color w:val="0000FF"/>
            <w:sz w:val="19"/>
            <w:szCs w:val="19"/>
            <w:u w:val="single"/>
            <w:lang w:eastAsia="pt-BR"/>
          </w:rPr>
          <w:t>IV do caput do art. 195 e no art. 239 da Constituição Federal,</w:t>
        </w:r>
      </w:hyperlink>
      <w:r w:rsidRPr="00BA4D46">
        <w:rPr>
          <w:rFonts w:ascii="Book Antiqua" w:eastAsia="Times New Roman" w:hAnsi="Book Antiqua" w:cs="Arial"/>
          <w:color w:val="000000"/>
          <w:spacing w:val="47"/>
          <w:sz w:val="19"/>
          <w:szCs w:val="19"/>
          <w:lang w:eastAsia="pt-BR"/>
        </w:rPr>
        <w:t> </w:t>
      </w:r>
      <w:r w:rsidRPr="00BA4D46">
        <w:rPr>
          <w:rFonts w:ascii="Book Antiqua" w:eastAsia="Times New Roman" w:hAnsi="Book Antiqua" w:cs="Arial"/>
          <w:color w:val="000000"/>
          <w:sz w:val="19"/>
          <w:szCs w:val="19"/>
          <w:lang w:eastAsia="pt-BR"/>
        </w:rPr>
        <w:t>re</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ati</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46"/>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4"/>
          <w:sz w:val="19"/>
          <w:szCs w:val="19"/>
          <w:lang w:eastAsia="pt-BR"/>
        </w:rPr>
        <w:t>e</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ce</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47"/>
          <w:sz w:val="19"/>
          <w:szCs w:val="19"/>
          <w:lang w:eastAsia="pt-BR"/>
        </w:rPr>
        <w:t> a </w:t>
      </w:r>
      <w:r w:rsidRPr="00BA4D46">
        <w:rPr>
          <w:rFonts w:ascii="Book Antiqua" w:eastAsia="Times New Roman" w:hAnsi="Book Antiqua" w:cs="Arial"/>
          <w:color w:val="000000"/>
          <w:sz w:val="19"/>
          <w:szCs w:val="19"/>
          <w:lang w:eastAsia="pt-BR"/>
        </w:rPr>
        <w:t>to</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46"/>
          <w:sz w:val="19"/>
          <w:szCs w:val="19"/>
          <w:lang w:eastAsia="pt-BR"/>
        </w:rPr>
        <w:t> </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47"/>
          <w:sz w:val="19"/>
          <w:szCs w:val="19"/>
          <w:lang w:eastAsia="pt-BR"/>
        </w:rPr>
        <w:t> </w:t>
      </w:r>
      <w:r w:rsidRPr="00BA4D46">
        <w:rPr>
          <w:rFonts w:ascii="Book Antiqua" w:eastAsia="Times New Roman" w:hAnsi="Book Antiqua" w:cs="Arial"/>
          <w:color w:val="000000"/>
          <w:sz w:val="19"/>
          <w:szCs w:val="19"/>
          <w:lang w:eastAsia="pt-BR"/>
        </w:rPr>
        <w:t>su</w:t>
      </w:r>
      <w:r w:rsidRPr="00BA4D46">
        <w:rPr>
          <w:rFonts w:ascii="Book Antiqua" w:eastAsia="Times New Roman" w:hAnsi="Book Antiqua" w:cs="Arial"/>
          <w:color w:val="000000"/>
          <w:spacing w:val="-4"/>
          <w:sz w:val="19"/>
          <w:szCs w:val="19"/>
          <w:lang w:eastAsia="pt-BR"/>
        </w:rPr>
        <w:t>a</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46"/>
          <w:sz w:val="19"/>
          <w:szCs w:val="19"/>
          <w:lang w:eastAsia="pt-BR"/>
        </w:rPr>
        <w:t> </w:t>
      </w:r>
      <w:r w:rsidRPr="00BA4D46">
        <w:rPr>
          <w:rFonts w:ascii="Book Antiqua" w:eastAsia="Times New Roman" w:hAnsi="Book Antiqua" w:cs="Arial"/>
          <w:color w:val="000000"/>
          <w:sz w:val="19"/>
          <w:szCs w:val="19"/>
          <w:lang w:eastAsia="pt-BR"/>
        </w:rPr>
        <w:t>ati</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 e aos</w:t>
      </w:r>
      <w:r w:rsidRPr="00BA4D46">
        <w:rPr>
          <w:rFonts w:ascii="Book Antiqua" w:eastAsia="Times New Roman" w:hAnsi="Book Antiqua" w:cs="Arial"/>
          <w:color w:val="000000"/>
          <w:spacing w:val="49"/>
          <w:sz w:val="19"/>
          <w:szCs w:val="19"/>
          <w:lang w:eastAsia="pt-BR"/>
        </w:rPr>
        <w:t> </w:t>
      </w:r>
      <w:r w:rsidRPr="00BA4D46">
        <w:rPr>
          <w:rFonts w:ascii="Book Antiqua" w:eastAsia="Times New Roman" w:hAnsi="Book Antiqua" w:cs="Arial"/>
          <w:color w:val="000000"/>
          <w:sz w:val="19"/>
          <w:szCs w:val="19"/>
          <w:lang w:eastAsia="pt-BR"/>
        </w:rPr>
        <w:t>empregados e demais segurados da previdência social, mas não se estende a outra pessoa jurídica, ainda que constituída e mantida pela entidade à qual a certificação foi concedida.</w:t>
      </w:r>
    </w:p>
    <w:p w14:paraId="177F3C8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BA4D46">
        <w:rPr>
          <w:rFonts w:ascii="Book Antiqua" w:eastAsia="Times New Roman" w:hAnsi="Book Antiqua" w:cs="Arial"/>
          <w:color w:val="000000"/>
          <w:sz w:val="19"/>
          <w:szCs w:val="19"/>
          <w:lang w:eastAsia="pt-BR"/>
        </w:rPr>
        <w:t>Art. 5º As entidades beneficentes deverão obedecer ao princípio da universalidade do atendimento, vedado dirigir suas atividades exclusivamente a seus associados ou categoria profissional.</w:t>
      </w:r>
    </w:p>
    <w:p w14:paraId="07418B18"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CAPÍTULO II</w:t>
      </w:r>
    </w:p>
    <w:p w14:paraId="7881C3D9"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DOS REQUISITOS PARA A CERTIFICAÇÃO DA ENTIDADE BENEFICENTE</w:t>
      </w:r>
    </w:p>
    <w:p w14:paraId="25435B83"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Seção I</w:t>
      </w:r>
    </w:p>
    <w:p w14:paraId="241A77D9"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Disposições Preliminares</w:t>
      </w:r>
    </w:p>
    <w:p w14:paraId="26748FB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BA4D46">
        <w:rPr>
          <w:rFonts w:ascii="Book Antiqua" w:eastAsia="Times New Roman" w:hAnsi="Book Antiqua" w:cs="Arial"/>
          <w:color w:val="000000"/>
          <w:sz w:val="19"/>
          <w:szCs w:val="19"/>
          <w:lang w:eastAsia="pt-BR"/>
        </w:rPr>
        <w:t>Art. 6º A certificação será concedida à entidade beneficente que demonstre, no exercício fiscal anterior ao do requerimento a que se refere o art. 34 desta Lei Complementar, observado o período mínimo de 12 (doze) meses de constituição da entidade, o cumprimento do disposto nas Seções II, III e IV deste Capítulo, de acordo com as respectivas áreas de atuação, sem prejuízo do disposto no art. 3º desta Lei.</w:t>
      </w:r>
    </w:p>
    <w:p w14:paraId="60B9DE5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 entidade que atue em mais de uma das áreas a que se refere o art. 2º desta Lei Complementar deverá manter escrituração contábil segregada por área, de modo a evidenciar as receitas, os custos e as despesas de cada atividade desempenhada.</w:t>
      </w:r>
    </w:p>
    <w:p w14:paraId="55942D7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 2º Nos processos de certificação, o período mínimo de cumprimento dos requisitos de que trata este artigo poderá ser reduzido se a entidade for prestadora de serviços por meio de contrato, de convênio ou de instrumento congênere com o Sistema Único de Saúde (SUS), com o Sistema Único de Assistência Social (Suas) ou com o Sistema Nacional de Políticas Públicas sobre Drogas (Sisnad), em caso de necessidade local atestada pelo gestor do respectivo sistema.</w:t>
      </w:r>
    </w:p>
    <w:p w14:paraId="30A0F0FE"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Seção II</w:t>
      </w:r>
    </w:p>
    <w:p w14:paraId="294A140C"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 Saúde</w:t>
      </w:r>
    </w:p>
    <w:p w14:paraId="19EFC6AF"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I</w:t>
      </w:r>
    </w:p>
    <w:p w14:paraId="1EA5F581"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Dos Requisitos Relativos às Entidades de Saúde</w:t>
      </w:r>
    </w:p>
    <w:p w14:paraId="5FC805B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BA4D46">
        <w:rPr>
          <w:rFonts w:ascii="Book Antiqua" w:eastAsia="Times New Roman" w:hAnsi="Book Antiqua" w:cs="Arial"/>
          <w:color w:val="000000"/>
          <w:sz w:val="19"/>
          <w:szCs w:val="19"/>
          <w:lang w:eastAsia="pt-BR"/>
        </w:rPr>
        <w:t>Art. 7º Para fazer jus à certificação, a entidade de saúde deverá, alternativamente:</w:t>
      </w:r>
    </w:p>
    <w:p w14:paraId="1791267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prestar serviços ao SUS;</w:t>
      </w:r>
    </w:p>
    <w:p w14:paraId="367E426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prestar serviços gratuitos;</w:t>
      </w:r>
    </w:p>
    <w:p w14:paraId="24C7589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atuar na promoção à saúde;</w:t>
      </w:r>
    </w:p>
    <w:p w14:paraId="0E9D8E0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ser de reconhecida excelência e realizar projetos de apoio ao desenvolvimento institucional do SUS; ou</w:t>
      </w:r>
    </w:p>
    <w:p w14:paraId="4D5DF30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pacing w:val="-3"/>
          <w:sz w:val="19"/>
          <w:szCs w:val="19"/>
          <w:lang w:eastAsia="pt-BR"/>
        </w:rPr>
        <w:t>V - </w:t>
      </w:r>
      <w:r w:rsidRPr="00BA4D46">
        <w:rPr>
          <w:rFonts w:ascii="Book Antiqua" w:eastAsia="Times New Roman" w:hAnsi="Book Antiqua" w:cs="Arial"/>
          <w:color w:val="000000"/>
          <w:sz w:val="19"/>
          <w:szCs w:val="19"/>
          <w:lang w:eastAsia="pt-BR"/>
        </w:rPr>
        <w:t>(VETADO).</w:t>
      </w:r>
    </w:p>
    <w:p w14:paraId="28419A5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 entidade de saúde também deverá manter o Cadastro Nacional de Estabelecimentos de Saúde (CNES) atualizado, informando as alterações referentes aos seus registros, na forma e no prazo determinados em regulamento.</w:t>
      </w:r>
    </w:p>
    <w:p w14:paraId="77CA5E3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As entidades poderão desenvolver atividades que gerem recursos, inclusive por meio de suas filiais, com ou sem cessão de mão de obra, independentemente do quantitativo de profissionais e dos recursos auferidos, de modo a contribuir com a realização das atividades previstas no art. 2º desta Lei Complementar, registradas segregadamente em sua contabilidade e destacadas em suas Notas Explicativas.</w:t>
      </w:r>
    </w:p>
    <w:p w14:paraId="298DF5D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8"/>
      <w:bookmarkEnd w:id="7"/>
      <w:r w:rsidRPr="00BA4D46">
        <w:rPr>
          <w:rFonts w:ascii="Book Antiqua" w:eastAsia="Times New Roman" w:hAnsi="Book Antiqua" w:cs="Arial"/>
          <w:color w:val="000000"/>
          <w:spacing w:val="-1"/>
          <w:sz w:val="19"/>
          <w:szCs w:val="19"/>
          <w:lang w:eastAsia="pt-BR"/>
        </w:rPr>
        <w:t>Art. 8º P</w:t>
      </w:r>
      <w:r w:rsidRPr="00BA4D46">
        <w:rPr>
          <w:rFonts w:ascii="Book Antiqua" w:eastAsia="Times New Roman" w:hAnsi="Book Antiqua" w:cs="Arial"/>
          <w:color w:val="000000"/>
          <w:sz w:val="19"/>
          <w:szCs w:val="19"/>
          <w:lang w:eastAsia="pt-BR"/>
        </w:rPr>
        <w:t>ara</w:t>
      </w:r>
      <w:r w:rsidRPr="00BA4D46">
        <w:rPr>
          <w:rFonts w:ascii="Book Antiqua" w:eastAsia="Times New Roman" w:hAnsi="Book Antiqua" w:cs="Arial"/>
          <w:color w:val="000000"/>
          <w:spacing w:val="40"/>
          <w:sz w:val="19"/>
          <w:szCs w:val="19"/>
          <w:lang w:eastAsia="pt-BR"/>
        </w:rPr>
        <w:t> </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ns</w:t>
      </w:r>
      <w:r w:rsidRPr="00BA4D46">
        <w:rPr>
          <w:rFonts w:ascii="Book Antiqua" w:eastAsia="Times New Roman" w:hAnsi="Book Antiqua" w:cs="Arial"/>
          <w:color w:val="000000"/>
          <w:spacing w:val="44"/>
          <w:sz w:val="19"/>
          <w:szCs w:val="19"/>
          <w:lang w:eastAsia="pt-BR"/>
        </w:rPr>
        <w:t> </w:t>
      </w:r>
      <w:r w:rsidRPr="00BA4D46">
        <w:rPr>
          <w:rFonts w:ascii="Book Antiqua" w:eastAsia="Times New Roman" w:hAnsi="Book Antiqua" w:cs="Arial"/>
          <w:color w:val="000000"/>
          <w:sz w:val="19"/>
          <w:szCs w:val="19"/>
          <w:lang w:eastAsia="pt-BR"/>
        </w:rPr>
        <w:t>do</w:t>
      </w:r>
      <w:r w:rsidRPr="00BA4D46">
        <w:rPr>
          <w:rFonts w:ascii="Book Antiqua" w:eastAsia="Times New Roman" w:hAnsi="Book Antiqua" w:cs="Arial"/>
          <w:color w:val="000000"/>
          <w:spacing w:val="42"/>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sp</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sto</w:t>
      </w:r>
      <w:r w:rsidRPr="00BA4D46">
        <w:rPr>
          <w:rFonts w:ascii="Book Antiqua" w:eastAsia="Times New Roman" w:hAnsi="Book Antiqua" w:cs="Arial"/>
          <w:color w:val="000000"/>
          <w:spacing w:val="42"/>
          <w:sz w:val="19"/>
          <w:szCs w:val="19"/>
          <w:lang w:eastAsia="pt-BR"/>
        </w:rPr>
        <w:t> </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sta</w:t>
      </w:r>
      <w:r w:rsidRPr="00BA4D46">
        <w:rPr>
          <w:rFonts w:ascii="Book Antiqua" w:eastAsia="Times New Roman" w:hAnsi="Book Antiqua" w:cs="Arial"/>
          <w:color w:val="000000"/>
          <w:spacing w:val="43"/>
          <w:sz w:val="19"/>
          <w:szCs w:val="19"/>
          <w:lang w:eastAsia="pt-BR"/>
        </w:rPr>
        <w:t> </w:t>
      </w:r>
      <w:r w:rsidRPr="00BA4D46">
        <w:rPr>
          <w:rFonts w:ascii="Book Antiqua" w:eastAsia="Times New Roman" w:hAnsi="Book Antiqua" w:cs="Arial"/>
          <w:color w:val="000000"/>
          <w:spacing w:val="-1"/>
          <w:sz w:val="19"/>
          <w:szCs w:val="19"/>
          <w:lang w:eastAsia="pt-BR"/>
        </w:rPr>
        <w:t>S</w:t>
      </w:r>
      <w:r w:rsidRPr="00BA4D46">
        <w:rPr>
          <w:rFonts w:ascii="Book Antiqua" w:eastAsia="Times New Roman" w:hAnsi="Book Antiqua" w:cs="Arial"/>
          <w:color w:val="000000"/>
          <w:sz w:val="19"/>
          <w:szCs w:val="19"/>
          <w:lang w:eastAsia="pt-BR"/>
        </w:rPr>
        <w:t>eç</w:t>
      </w:r>
      <w:r w:rsidRPr="00BA4D46">
        <w:rPr>
          <w:rFonts w:ascii="Book Antiqua" w:eastAsia="Times New Roman" w:hAnsi="Book Antiqua" w:cs="Arial"/>
          <w:color w:val="000000"/>
          <w:spacing w:val="-4"/>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46"/>
          <w:sz w:val="19"/>
          <w:szCs w:val="19"/>
          <w:lang w:eastAsia="pt-BR"/>
        </w:rPr>
        <w:t> </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rá</w:t>
      </w:r>
      <w:r w:rsidRPr="00BA4D46">
        <w:rPr>
          <w:rFonts w:ascii="Book Antiqua" w:eastAsia="Times New Roman" w:hAnsi="Book Antiqua" w:cs="Arial"/>
          <w:color w:val="000000"/>
          <w:spacing w:val="44"/>
          <w:sz w:val="19"/>
          <w:szCs w:val="19"/>
          <w:lang w:eastAsia="pt-BR"/>
        </w:rPr>
        <w:t> </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ra</w:t>
      </w:r>
      <w:r w:rsidRPr="00BA4D46">
        <w:rPr>
          <w:rFonts w:ascii="Book Antiqua" w:eastAsia="Times New Roman" w:hAnsi="Book Antiqua" w:cs="Arial"/>
          <w:color w:val="000000"/>
          <w:spacing w:val="-4"/>
          <w:sz w:val="19"/>
          <w:szCs w:val="19"/>
          <w:lang w:eastAsia="pt-BR"/>
        </w:rPr>
        <w:t>d</w:t>
      </w:r>
      <w:r w:rsidRPr="00BA4D46">
        <w:rPr>
          <w:rFonts w:ascii="Book Antiqua" w:eastAsia="Times New Roman" w:hAnsi="Book Antiqua" w:cs="Arial"/>
          <w:color w:val="000000"/>
          <w:sz w:val="19"/>
          <w:szCs w:val="19"/>
          <w:lang w:eastAsia="pt-BR"/>
        </w:rPr>
        <w:t>a </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nst</w:t>
      </w:r>
      <w:r w:rsidRPr="00BA4D46">
        <w:rPr>
          <w:rFonts w:ascii="Book Antiqua" w:eastAsia="Times New Roman" w:hAnsi="Book Antiqua" w:cs="Arial"/>
          <w:color w:val="000000"/>
          <w:spacing w:val="1"/>
          <w:sz w:val="19"/>
          <w:szCs w:val="19"/>
          <w:lang w:eastAsia="pt-BR"/>
        </w:rPr>
        <w:t>r</w:t>
      </w:r>
      <w:r w:rsidRPr="00BA4D46">
        <w:rPr>
          <w:rFonts w:ascii="Book Antiqua" w:eastAsia="Times New Roman" w:hAnsi="Book Antiqua" w:cs="Arial"/>
          <w:color w:val="000000"/>
          <w:sz w:val="19"/>
          <w:szCs w:val="19"/>
          <w:lang w:eastAsia="pt-BR"/>
        </w:rPr>
        <w:t>ume</w:t>
      </w:r>
      <w:r w:rsidRPr="00BA4D46">
        <w:rPr>
          <w:rFonts w:ascii="Book Antiqua" w:eastAsia="Times New Roman" w:hAnsi="Book Antiqua" w:cs="Arial"/>
          <w:color w:val="000000"/>
          <w:spacing w:val="-3"/>
          <w:sz w:val="19"/>
          <w:szCs w:val="19"/>
          <w:lang w:eastAsia="pt-BR"/>
        </w:rPr>
        <w:t>n</w:t>
      </w:r>
      <w:r w:rsidRPr="00BA4D46">
        <w:rPr>
          <w:rFonts w:ascii="Book Antiqua" w:eastAsia="Times New Roman" w:hAnsi="Book Antiqua" w:cs="Arial"/>
          <w:color w:val="000000"/>
          <w:sz w:val="19"/>
          <w:szCs w:val="19"/>
          <w:lang w:eastAsia="pt-BR"/>
        </w:rPr>
        <w:t>to</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ê</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re a</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aração</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do</w:t>
      </w:r>
      <w:r w:rsidRPr="00BA4D46">
        <w:rPr>
          <w:rFonts w:ascii="Book Antiqua" w:eastAsia="Times New Roman" w:hAnsi="Book Antiqua" w:cs="Arial"/>
          <w:color w:val="000000"/>
          <w:spacing w:val="-5"/>
          <w:sz w:val="19"/>
          <w:szCs w:val="19"/>
          <w:lang w:eastAsia="pt-BR"/>
        </w:rPr>
        <w:t> </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3"/>
          <w:sz w:val="19"/>
          <w:szCs w:val="19"/>
          <w:lang w:eastAsia="pt-BR"/>
        </w:rPr>
        <w:t>s</w:t>
      </w:r>
      <w:r w:rsidRPr="00BA4D46">
        <w:rPr>
          <w:rFonts w:ascii="Book Antiqua" w:eastAsia="Times New Roman" w:hAnsi="Book Antiqua" w:cs="Arial"/>
          <w:color w:val="000000"/>
          <w:sz w:val="19"/>
          <w:szCs w:val="19"/>
          <w:lang w:eastAsia="pt-BR"/>
        </w:rPr>
        <w:t>tor</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3"/>
          <w:sz w:val="19"/>
          <w:szCs w:val="19"/>
          <w:lang w:eastAsia="pt-BR"/>
        </w:rPr>
        <w:t>c</w:t>
      </w:r>
      <w:r w:rsidRPr="00BA4D46">
        <w:rPr>
          <w:rFonts w:ascii="Book Antiqua" w:eastAsia="Times New Roman" w:hAnsi="Book Antiqua" w:cs="Arial"/>
          <w:color w:val="000000"/>
          <w:sz w:val="19"/>
          <w:szCs w:val="19"/>
          <w:lang w:eastAsia="pt-BR"/>
        </w:rPr>
        <w:t>al</w:t>
      </w:r>
      <w:r w:rsidRPr="00BA4D46">
        <w:rPr>
          <w:rFonts w:ascii="Book Antiqua" w:eastAsia="Times New Roman" w:hAnsi="Book Antiqua" w:cs="Arial"/>
          <w:color w:val="000000"/>
          <w:spacing w:val="-1"/>
          <w:sz w:val="19"/>
          <w:szCs w:val="19"/>
          <w:lang w:eastAsia="pt-BR"/>
        </w:rPr>
        <w:t> </w:t>
      </w:r>
      <w:r w:rsidRPr="00BA4D46">
        <w:rPr>
          <w:rFonts w:ascii="Book Antiqua" w:eastAsia="Times New Roman" w:hAnsi="Book Antiqua" w:cs="Arial"/>
          <w:color w:val="000000"/>
          <w:sz w:val="19"/>
          <w:szCs w:val="19"/>
          <w:lang w:eastAsia="pt-BR"/>
        </w:rPr>
        <w:t>do </w:t>
      </w:r>
      <w:r w:rsidRPr="00BA4D46">
        <w:rPr>
          <w:rFonts w:ascii="Book Antiqua" w:eastAsia="Times New Roman" w:hAnsi="Book Antiqua" w:cs="Arial"/>
          <w:color w:val="000000"/>
          <w:spacing w:val="-1"/>
          <w:sz w:val="19"/>
          <w:szCs w:val="19"/>
          <w:lang w:eastAsia="pt-BR"/>
        </w:rPr>
        <w:t>S</w:t>
      </w:r>
      <w:r w:rsidRPr="00BA4D46">
        <w:rPr>
          <w:rFonts w:ascii="Book Antiqua" w:eastAsia="Times New Roman" w:hAnsi="Book Antiqua" w:cs="Arial"/>
          <w:color w:val="000000"/>
          <w:spacing w:val="-2"/>
          <w:sz w:val="19"/>
          <w:szCs w:val="19"/>
          <w:lang w:eastAsia="pt-BR"/>
        </w:rPr>
        <w:t>U</w:t>
      </w:r>
      <w:r w:rsidRPr="00BA4D46">
        <w:rPr>
          <w:rFonts w:ascii="Book Antiqua" w:eastAsia="Times New Roman" w:hAnsi="Book Antiqua" w:cs="Arial"/>
          <w:color w:val="000000"/>
          <w:spacing w:val="-4"/>
          <w:sz w:val="19"/>
          <w:szCs w:val="19"/>
          <w:lang w:eastAsia="pt-BR"/>
        </w:rPr>
        <w:t>S</w:t>
      </w:r>
      <w:r w:rsidRPr="00BA4D46">
        <w:rPr>
          <w:rFonts w:ascii="Book Antiqua" w:eastAsia="Times New Roman" w:hAnsi="Book Antiqua" w:cs="Arial"/>
          <w:color w:val="000000"/>
          <w:sz w:val="19"/>
          <w:szCs w:val="19"/>
          <w:lang w:eastAsia="pt-BR"/>
        </w:rPr>
        <w:t> </w:t>
      </w:r>
      <w:r w:rsidRPr="00BA4D46">
        <w:rPr>
          <w:rFonts w:ascii="Book Antiqua" w:eastAsia="Times New Roman" w:hAnsi="Book Antiqua" w:cs="Arial"/>
          <w:color w:val="000000"/>
          <w:spacing w:val="1"/>
          <w:sz w:val="19"/>
          <w:szCs w:val="19"/>
          <w:lang w:eastAsia="pt-BR"/>
        </w:rPr>
        <w:t>q</w:t>
      </w:r>
      <w:r w:rsidRPr="00BA4D46">
        <w:rPr>
          <w:rFonts w:ascii="Book Antiqua" w:eastAsia="Times New Roman" w:hAnsi="Book Antiqua" w:cs="Arial"/>
          <w:color w:val="000000"/>
          <w:sz w:val="19"/>
          <w:szCs w:val="19"/>
          <w:lang w:eastAsia="pt-BR"/>
        </w:rPr>
        <w:t>ue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te</w:t>
      </w:r>
      <w:r w:rsidRPr="00BA4D46">
        <w:rPr>
          <w:rFonts w:ascii="Book Antiqua" w:eastAsia="Times New Roman" w:hAnsi="Book Antiqua" w:cs="Arial"/>
          <w:color w:val="000000"/>
          <w:spacing w:val="-3"/>
          <w:sz w:val="19"/>
          <w:szCs w:val="19"/>
          <w:lang w:eastAsia="pt-BR"/>
        </w:rPr>
        <w:t>s</w:t>
      </w:r>
      <w:r w:rsidRPr="00BA4D46">
        <w:rPr>
          <w:rFonts w:ascii="Book Antiqua" w:eastAsia="Times New Roman" w:hAnsi="Book Antiqua" w:cs="Arial"/>
          <w:color w:val="000000"/>
          <w:sz w:val="19"/>
          <w:szCs w:val="19"/>
          <w:lang w:eastAsia="pt-BR"/>
        </w:rPr>
        <w:t>te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3"/>
          <w:sz w:val="19"/>
          <w:szCs w:val="19"/>
          <w:lang w:eastAsia="pt-BR"/>
        </w:rPr>
        <w:t>x</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stê</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0"/>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re</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aç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pacing w:val="-3"/>
          <w:sz w:val="19"/>
          <w:szCs w:val="19"/>
          <w:lang w:eastAsia="pt-BR"/>
        </w:rPr>
        <w:t>p</w:t>
      </w:r>
      <w:r w:rsidRPr="00BA4D46">
        <w:rPr>
          <w:rFonts w:ascii="Book Antiqua" w:eastAsia="Times New Roman" w:hAnsi="Book Antiqua" w:cs="Arial"/>
          <w:color w:val="000000"/>
          <w:sz w:val="19"/>
          <w:szCs w:val="19"/>
          <w:lang w:eastAsia="pt-BR"/>
        </w:rPr>
        <w:t>re</w:t>
      </w:r>
      <w:r w:rsidRPr="00BA4D46">
        <w:rPr>
          <w:rFonts w:ascii="Book Antiqua" w:eastAsia="Times New Roman" w:hAnsi="Book Antiqua" w:cs="Arial"/>
          <w:color w:val="000000"/>
          <w:spacing w:val="-3"/>
          <w:sz w:val="19"/>
          <w:szCs w:val="19"/>
          <w:lang w:eastAsia="pt-BR"/>
        </w:rPr>
        <w:t>s</w:t>
      </w:r>
      <w:r w:rsidRPr="00BA4D46">
        <w:rPr>
          <w:rFonts w:ascii="Book Antiqua" w:eastAsia="Times New Roman" w:hAnsi="Book Antiqua" w:cs="Arial"/>
          <w:color w:val="000000"/>
          <w:sz w:val="19"/>
          <w:szCs w:val="19"/>
          <w:lang w:eastAsia="pt-BR"/>
        </w:rPr>
        <w:t>taç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0"/>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ser</w:t>
      </w:r>
      <w:r w:rsidRPr="00BA4D46">
        <w:rPr>
          <w:rFonts w:ascii="Book Antiqua" w:eastAsia="Times New Roman" w:hAnsi="Book Antiqua" w:cs="Arial"/>
          <w:color w:val="000000"/>
          <w:spacing w:val="-2"/>
          <w:sz w:val="19"/>
          <w:szCs w:val="19"/>
          <w:lang w:eastAsia="pt-BR"/>
        </w:rPr>
        <w:t>vi</w:t>
      </w:r>
      <w:r w:rsidRPr="00BA4D46">
        <w:rPr>
          <w:rFonts w:ascii="Book Antiqua" w:eastAsia="Times New Roman" w:hAnsi="Book Antiqua" w:cs="Arial"/>
          <w:color w:val="000000"/>
          <w:sz w:val="19"/>
          <w:szCs w:val="19"/>
          <w:lang w:eastAsia="pt-BR"/>
        </w:rPr>
        <w:t>ços</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sa</w:t>
      </w:r>
      <w:r w:rsidRPr="00BA4D46">
        <w:rPr>
          <w:rFonts w:ascii="Book Antiqua" w:eastAsia="Times New Roman" w:hAnsi="Book Antiqua" w:cs="Arial"/>
          <w:color w:val="000000"/>
          <w:spacing w:val="-1"/>
          <w:sz w:val="19"/>
          <w:szCs w:val="19"/>
          <w:lang w:eastAsia="pt-BR"/>
        </w:rPr>
        <w:t>ú</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4"/>
          <w:sz w:val="19"/>
          <w:szCs w:val="19"/>
          <w:lang w:eastAsia="pt-BR"/>
        </w:rPr>
        <w:t>e</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13"/>
          <w:sz w:val="19"/>
          <w:szCs w:val="19"/>
          <w:lang w:eastAsia="pt-BR"/>
        </w:rPr>
        <w:t> </w:t>
      </w:r>
      <w:r w:rsidRPr="00BA4D46">
        <w:rPr>
          <w:rFonts w:ascii="Book Antiqua" w:eastAsia="Times New Roman" w:hAnsi="Book Antiqua" w:cs="Arial"/>
          <w:color w:val="000000"/>
          <w:spacing w:val="-3"/>
          <w:sz w:val="19"/>
          <w:szCs w:val="19"/>
          <w:lang w:eastAsia="pt-BR"/>
        </w:rPr>
        <w:t>n</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12"/>
          <w:sz w:val="19"/>
          <w:szCs w:val="19"/>
          <w:lang w:eastAsia="pt-BR"/>
        </w:rPr>
        <w:t> </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rmos</w:t>
      </w:r>
      <w:r w:rsidRPr="00BA4D46">
        <w:rPr>
          <w:rFonts w:ascii="Book Antiqua" w:eastAsia="Times New Roman" w:hAnsi="Book Antiqua" w:cs="Arial"/>
          <w:color w:val="000000"/>
          <w:spacing w:val="10"/>
          <w:sz w:val="19"/>
          <w:szCs w:val="19"/>
          <w:lang w:eastAsia="pt-BR"/>
        </w:rPr>
        <w:t> </w:t>
      </w:r>
      <w:r w:rsidRPr="00BA4D46">
        <w:rPr>
          <w:rFonts w:ascii="Book Antiqua" w:eastAsia="Times New Roman" w:hAnsi="Book Antiqua" w:cs="Arial"/>
          <w:color w:val="000000"/>
          <w:sz w:val="19"/>
          <w:szCs w:val="19"/>
          <w:lang w:eastAsia="pt-BR"/>
        </w:rPr>
        <w:t>de regulamento.</w:t>
      </w:r>
    </w:p>
    <w:p w14:paraId="461D3569"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II</w:t>
      </w:r>
    </w:p>
    <w:p w14:paraId="6996E418"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 Prestação de Serviços ao Sistema Único de Saúde (SUS)</w:t>
      </w:r>
    </w:p>
    <w:p w14:paraId="5CB95C9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9"/>
      <w:bookmarkEnd w:id="8"/>
      <w:r w:rsidRPr="00BA4D46">
        <w:rPr>
          <w:rFonts w:ascii="Book Antiqua" w:eastAsia="Times New Roman" w:hAnsi="Book Antiqua" w:cs="Arial"/>
          <w:color w:val="000000"/>
          <w:sz w:val="19"/>
          <w:szCs w:val="19"/>
          <w:lang w:eastAsia="pt-BR"/>
        </w:rPr>
        <w:t>Art. 9º Para ser certificada pela prestação de serviços ao SUS, a entidade de saúde deverá, nos termos de regulamento:</w:t>
      </w:r>
    </w:p>
    <w:p w14:paraId="4E21C79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celebrar contrato, convênio ou instrumento congênere com o gestor do SUS; e</w:t>
      </w:r>
    </w:p>
    <w:p w14:paraId="00F3220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comprovar, anualmente, a prestação de seus serviços ao SUS no percentual mínimo de 60% (sessenta por cento), com base nas internações e nos atendimentos ambulatoriais realizados.</w:t>
      </w:r>
    </w:p>
    <w:p w14:paraId="0A6C700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 prestação de serviços ao SUS de que trata o inciso II do caput deste artigo será apurada por cálculo percentual simples, com base no total de internações hospitalares, medidas por paciente por dia, incluídos usuários do SUS e não usuários do SUS, e no total de atendimentos ambulatoriais, medidos por número de atendimentos e procedimentos, de usuários do SUS e de não usuários do SUS, com a possibilidade da incorporação do componente ambulatorial do SUS, nos termos de regulamento.</w:t>
      </w:r>
    </w:p>
    <w:p w14:paraId="7D11C8E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 2º O atendimento do percentual mínimo de que trata o inciso II do caput deste artigo poderá ser individualizado por estabelecimento ou pelo conjunto de estabelecimentos de saúde da pessoa jurídica, desde que não abranja outra entidade com personalidade jurídica própria que seja por ela mantida.</w:t>
      </w:r>
    </w:p>
    <w:p w14:paraId="2E562D6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Para fins do disposto no § 2º deste artigo, no conjunto de estabelecimentos de saúde da pessoa jurídica, poderá ser incorporado estabelecimento vinculado em decorrência de contrato de gestão, no limite de 10% (dez por cento) dos seus serviços.</w:t>
      </w:r>
    </w:p>
    <w:p w14:paraId="3B1805C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Para fins do disposto no inciso II do caput</w:t>
      </w:r>
      <w:r w:rsidRPr="00BA4D46">
        <w:rPr>
          <w:rFonts w:ascii="Book Antiqua" w:eastAsia="Times New Roman" w:hAnsi="Book Antiqua" w:cs="Arial"/>
          <w:i/>
          <w:iCs/>
          <w:color w:val="000000"/>
          <w:sz w:val="19"/>
          <w:szCs w:val="19"/>
          <w:lang w:eastAsia="pt-BR"/>
        </w:rPr>
        <w:t> </w:t>
      </w:r>
      <w:r w:rsidRPr="00BA4D46">
        <w:rPr>
          <w:rFonts w:ascii="Book Antiqua" w:eastAsia="Times New Roman" w:hAnsi="Book Antiqua" w:cs="Arial"/>
          <w:color w:val="000000"/>
          <w:sz w:val="19"/>
          <w:szCs w:val="19"/>
          <w:lang w:eastAsia="pt-BR"/>
        </w:rPr>
        <w:t>deste artigo, a entidade de saúde que aderir a programas e a estratégias prioritárias definidas pela autoridade executiva federal competente fará jus a índice percentual que será adicionado ao total de prestação de seus serviços ofertados ao SUS, observado o limite máximo de 10% (dez por cento).</w:t>
      </w:r>
    </w:p>
    <w:p w14:paraId="23A39DA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 entidade de saúde que presta serviços exclusivamente na área ambulatorial deverá observar o disposto nos incisos I e II do caput</w:t>
      </w:r>
      <w:r w:rsidRPr="00BA4D46">
        <w:rPr>
          <w:rFonts w:ascii="Book Antiqua" w:eastAsia="Times New Roman" w:hAnsi="Book Antiqua" w:cs="Arial"/>
          <w:i/>
          <w:iCs/>
          <w:color w:val="000000"/>
          <w:sz w:val="19"/>
          <w:szCs w:val="19"/>
          <w:lang w:eastAsia="pt-BR"/>
        </w:rPr>
        <w:t> </w:t>
      </w:r>
      <w:r w:rsidRPr="00BA4D46">
        <w:rPr>
          <w:rFonts w:ascii="Book Antiqua" w:eastAsia="Times New Roman" w:hAnsi="Book Antiqua" w:cs="Arial"/>
          <w:color w:val="000000"/>
          <w:sz w:val="19"/>
          <w:szCs w:val="19"/>
          <w:lang w:eastAsia="pt-BR"/>
        </w:rPr>
        <w:t>deste artigo e comprovar, anualmente, a prestação dos serviços ao SUS no percentual mínimo de 60% (sessenta por cento).</w:t>
      </w:r>
    </w:p>
    <w:p w14:paraId="56E500F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0"/>
      <w:bookmarkEnd w:id="9"/>
      <w:r w:rsidRPr="00BA4D46">
        <w:rPr>
          <w:rFonts w:ascii="Book Antiqua" w:eastAsia="Times New Roman" w:hAnsi="Book Antiqua" w:cs="Arial"/>
          <w:color w:val="000000"/>
          <w:sz w:val="19"/>
          <w:szCs w:val="19"/>
          <w:lang w:eastAsia="pt-BR"/>
        </w:rPr>
        <w:t>Art. 10. A entidade de saúde deverá informar obrigatoriamente, na forma estabelecida em regulamento:</w:t>
      </w:r>
    </w:p>
    <w:p w14:paraId="2A63CF8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a totalidade das internações e dos atendimentos ambulatoriais realizados para os pacientes não usuários do SUS; e</w:t>
      </w:r>
    </w:p>
    <w:p w14:paraId="521CBA1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a totalidade das internações e dos atendimentos ambulatoriais realizados para os pacientes usuários do SUS.</w:t>
      </w:r>
    </w:p>
    <w:p w14:paraId="331CEF7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1"/>
      <w:bookmarkEnd w:id="10"/>
      <w:r w:rsidRPr="00BA4D46">
        <w:rPr>
          <w:rFonts w:ascii="Book Antiqua" w:eastAsia="Times New Roman" w:hAnsi="Book Antiqua" w:cs="Arial"/>
          <w:color w:val="000000"/>
          <w:sz w:val="19"/>
          <w:szCs w:val="19"/>
          <w:lang w:eastAsia="pt-BR"/>
        </w:rPr>
        <w:t>Art. 11. Para os requerimentos de renovação da certificação, caso a entidade de saúde não cumpra o disposto no inciso II do caput do art. 9º desta Lei Complementar, no exercício fiscal anterior ao exercício do requerimento, será avaliado o cumprimento do requisito com base na média da prestação de serviços ao SUS de que trata o referido dispositivo, atendido pela entidade, durante todo o período de certificação em curso, que deverá ser de, no mínimo, 60% (sessenta por cento).</w:t>
      </w:r>
    </w:p>
    <w:p w14:paraId="781B3E2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Parágrafo único. Para fins do disposto no caput</w:t>
      </w:r>
      <w:r w:rsidRPr="00BA4D46">
        <w:rPr>
          <w:rFonts w:ascii="Book Antiqua" w:eastAsia="Times New Roman" w:hAnsi="Book Antiqua" w:cs="Arial"/>
          <w:i/>
          <w:iCs/>
          <w:color w:val="000000"/>
          <w:sz w:val="19"/>
          <w:szCs w:val="19"/>
          <w:lang w:eastAsia="pt-BR"/>
        </w:rPr>
        <w:t> </w:t>
      </w:r>
      <w:r w:rsidRPr="00BA4D46">
        <w:rPr>
          <w:rFonts w:ascii="Book Antiqua" w:eastAsia="Times New Roman" w:hAnsi="Book Antiqua" w:cs="Arial"/>
          <w:color w:val="000000"/>
          <w:sz w:val="19"/>
          <w:szCs w:val="19"/>
          <w:lang w:eastAsia="pt-BR"/>
        </w:rPr>
        <w:t>deste artigo, apenas será admitida a avaliação caso a entidade tenha cumprido, no mínimo, 50% (cinquenta por cento) da prestação de serviços ao SUS de que trata o inciso II do caput do art. 9º desta Lei Complementar em cada um dos anos do período de certificação.</w:t>
      </w:r>
    </w:p>
    <w:p w14:paraId="482D7361"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III</w:t>
      </w:r>
    </w:p>
    <w:p w14:paraId="12B03612"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 Prestação de Serviços Gratuitos na Área da Saúde</w:t>
      </w:r>
    </w:p>
    <w:p w14:paraId="0D16FE4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2"/>
      <w:bookmarkEnd w:id="11"/>
      <w:r w:rsidRPr="00BA4D46">
        <w:rPr>
          <w:rFonts w:ascii="Book Antiqua" w:eastAsia="Times New Roman" w:hAnsi="Book Antiqua" w:cs="Arial"/>
          <w:color w:val="000000"/>
          <w:sz w:val="19"/>
          <w:szCs w:val="19"/>
          <w:lang w:eastAsia="pt-BR"/>
        </w:rPr>
        <w:t>Art. 12. Para ser certificada pela aplicação de percentual de sua receita em gratuidade na área da saúde, a entidade deverá comprovar essa aplicação da seguinte forma:</w:t>
      </w:r>
    </w:p>
    <w:p w14:paraId="4624891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- 20% (vinte por cento), quando não houver interesse de contratação pelo gestor local do SUS ou se o percentual de prestação de serviços ao SUS for inferior a 30% (trinta por cento);</w:t>
      </w:r>
    </w:p>
    <w:p w14:paraId="02ABCE7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- 10% (dez por cento), se o percentual de prestação de serviços ao SUS for igual ou superior a 30% (trinta por cento) e inferior a 50% (cinquenta por cento); ou</w:t>
      </w:r>
    </w:p>
    <w:p w14:paraId="141B501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- 5% (cinco por cento), se o percentual de prestação de serviços ao SUS for igual ou superior a 50% (cinquenta por cento).</w:t>
      </w:r>
    </w:p>
    <w:p w14:paraId="76DB6A8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 receita prevista no caput deste artigo será a efetivamente recebida pela prestação de serviços de saúde.</w:t>
      </w:r>
    </w:p>
    <w:p w14:paraId="5A9393E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 2º Para as entidades que não possuam receita de prestação de serviços de saúde, a receita prevista no caput deste artigo será a proveniente de qualquer fonte cujo montante do dispêndio com gratuidade não seja inferior à imunidade de contribuições sociais usufruída.</w:t>
      </w:r>
    </w:p>
    <w:p w14:paraId="6A9E590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A prestação de serviços prevista no caput deste artigo será pactuada com o gestor local do SUS por meio de contrato, de convênio ou de instrumento congênere.</w:t>
      </w:r>
    </w:p>
    <w:p w14:paraId="57CAB716"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IV</w:t>
      </w:r>
    </w:p>
    <w:p w14:paraId="16DEBAC2"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Das Ações e dos Serviços de Promoção de Saúde</w:t>
      </w:r>
    </w:p>
    <w:p w14:paraId="79AF704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3"/>
      <w:bookmarkEnd w:id="12"/>
      <w:r w:rsidRPr="00BA4D46">
        <w:rPr>
          <w:rFonts w:ascii="Book Antiqua" w:eastAsia="Times New Roman" w:hAnsi="Book Antiqua" w:cs="Arial"/>
          <w:color w:val="000000"/>
          <w:sz w:val="19"/>
          <w:szCs w:val="19"/>
          <w:lang w:eastAsia="pt-BR"/>
        </w:rPr>
        <w:t>Art. 13. Será admitida a certificação de entidades que atuem exclusivamente na promoção da saúde sem exigência de contraprestação do usuário pelas ações e pelos serviços de saúde realizados e pactuados com o gestor do SUS, na forma prevista em regulamento.</w:t>
      </w:r>
    </w:p>
    <w:p w14:paraId="5A74334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 execução de ações e de serviços de promoção da saúde será previamente pactuada por meio de contrato, de convênio ou de instrumento congênere com o gestor local do SUS.</w:t>
      </w:r>
    </w:p>
    <w:p w14:paraId="36E02DF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Para efeito do disposto no caput</w:t>
      </w:r>
      <w:r w:rsidRPr="00BA4D46">
        <w:rPr>
          <w:rFonts w:ascii="Book Antiqua" w:eastAsia="Times New Roman" w:hAnsi="Book Antiqua" w:cs="Arial"/>
          <w:i/>
          <w:iCs/>
          <w:color w:val="000000"/>
          <w:sz w:val="19"/>
          <w:szCs w:val="19"/>
          <w:lang w:eastAsia="pt-BR"/>
        </w:rPr>
        <w:t> </w:t>
      </w:r>
      <w:r w:rsidRPr="00BA4D46">
        <w:rPr>
          <w:rFonts w:ascii="Book Antiqua" w:eastAsia="Times New Roman" w:hAnsi="Book Antiqua" w:cs="Arial"/>
          <w:color w:val="000000"/>
          <w:sz w:val="19"/>
          <w:szCs w:val="19"/>
          <w:lang w:eastAsia="pt-BR"/>
        </w:rPr>
        <w:t>deste artigo, são consideradas ações e serviços de promoção da saúde as atividades direcionadas para a redução de risco à saúde, desenvolvidas em áreas como:</w:t>
      </w:r>
    </w:p>
    <w:p w14:paraId="5151452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nutrição e alimentação saudável;</w:t>
      </w:r>
    </w:p>
    <w:p w14:paraId="35D61DB7"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prática corporal ou atividade física;</w:t>
      </w:r>
    </w:p>
    <w:p w14:paraId="723ED2B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prevenção e controle do tabagismo;</w:t>
      </w:r>
    </w:p>
    <w:p w14:paraId="6F25A8A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prevenção ao câncer;</w:t>
      </w:r>
    </w:p>
    <w:p w14:paraId="12C37B6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 - prevenção ao vírus da imunodeficiência humana (HIV) e às hepatites virais;</w:t>
      </w:r>
    </w:p>
    <w:p w14:paraId="7062514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VI - prevenção e controle da dengue;</w:t>
      </w:r>
    </w:p>
    <w:p w14:paraId="06D4B40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VII - prevenção à malária;</w:t>
      </w:r>
    </w:p>
    <w:p w14:paraId="290A98F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VIII - ações de promoção à saúde relacionadas à tuberculose e à hanseníase;</w:t>
      </w:r>
    </w:p>
    <w:p w14:paraId="169A958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IX - redução da morbimortalidade em decorrência do uso abusivo de álcool e de outras drogas;</w:t>
      </w:r>
    </w:p>
    <w:p w14:paraId="4366D0B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X - redução da morbimortalidade por acidentes de trânsito;</w:t>
      </w:r>
    </w:p>
    <w:p w14:paraId="5A625F5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XI - redução da morbimortalidade nos diversos ciclos de vida;</w:t>
      </w:r>
    </w:p>
    <w:p w14:paraId="0AF14CE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XII - prevenção da violência;</w:t>
      </w:r>
    </w:p>
    <w:p w14:paraId="6620E747"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XIII – (VETADO).</w:t>
      </w:r>
    </w:p>
    <w:p w14:paraId="17557E10"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V</w:t>
      </w:r>
    </w:p>
    <w:p w14:paraId="45D1FB89"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Do Desenvolvimento de Projetos no Âmbito do Programa de Apoio ao Desenvolvimento Institucional do Sistema Único de Saúde (Proadi-SUS)</w:t>
      </w:r>
    </w:p>
    <w:p w14:paraId="23AB9AC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4"/>
      <w:bookmarkEnd w:id="13"/>
      <w:r w:rsidRPr="00BA4D46">
        <w:rPr>
          <w:rFonts w:ascii="Book Antiqua" w:eastAsia="Times New Roman" w:hAnsi="Book Antiqua" w:cs="Arial"/>
          <w:color w:val="000000"/>
          <w:sz w:val="19"/>
          <w:szCs w:val="19"/>
          <w:lang w:eastAsia="pt-BR"/>
        </w:rPr>
        <w:t>Art. 14. A entidade de saúde com reconhecida excelência poderá ser certificada como entidade beneficente pelo desenvolvimento de projetos no âmbito do Programa de Apoio ao Desenvolvimento Institucional do Sistema Único de Saúde (Proadi-SUS), nas seguintes áreas de atuação:</w:t>
      </w:r>
    </w:p>
    <w:p w14:paraId="095E70C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I - estudos de avaliação e incorporação de tecnologias;</w:t>
      </w:r>
    </w:p>
    <w:p w14:paraId="0718847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capacitação de recursos humanos;</w:t>
      </w:r>
    </w:p>
    <w:p w14:paraId="529F8A3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pesquisas de interesse público em saúde; ou</w:t>
      </w:r>
    </w:p>
    <w:p w14:paraId="4D868C3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desenvolvimento de técnicas e operação de gestão em serviços de saúde.</w:t>
      </w:r>
    </w:p>
    <w:p w14:paraId="3DBEF0B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O recurso despendido pela entidade de saúde com projeto de apoio e desenvolvimento institucional do SUS não poderá ser inferior ao valor da imunidade das contribuições sociais usufruída.</w:t>
      </w:r>
    </w:p>
    <w:p w14:paraId="6124FC7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Regulamento definirá os requisitos técnicos para reconhecimento de excelência das entidades de saúde.</w:t>
      </w:r>
    </w:p>
    <w:p w14:paraId="62F70BB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A participação das entidades de saúde ou de educação em projetos de apoio previstos neste artigo não poderá ocorrer em prejuízo das atividades beneficentes prestadas ao SUS.</w:t>
      </w:r>
    </w:p>
    <w:p w14:paraId="3A8A6B0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5"/>
      <w:bookmarkEnd w:id="14"/>
      <w:r w:rsidRPr="00BA4D46">
        <w:rPr>
          <w:rFonts w:ascii="Book Antiqua" w:eastAsia="Times New Roman" w:hAnsi="Book Antiqua" w:cs="Arial"/>
          <w:color w:val="000000"/>
          <w:sz w:val="19"/>
          <w:szCs w:val="19"/>
          <w:lang w:eastAsia="pt-BR"/>
        </w:rPr>
        <w:t>Art. 15. As entidades de saúde de reconhecida excelência que desenvolvam projetos no âmbito do Proadi-SUS poderão, após autorização da autoridade executiva federal competente, firmar pacto com o gestor local do SUS para a prestação de serviços ambulatoriais e hospitalares ao SUS não remunerados, observadas as seguintes condições:</w:t>
      </w:r>
    </w:p>
    <w:p w14:paraId="6B39318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o gasto com a prestação de serviços ambulatoriais e hospitalares ao SUS não remunerados não poderá ultrapassar 30% (trinta por cento) do valor usufruído com imunidade das contribuições sociais;</w:t>
      </w:r>
    </w:p>
    <w:p w14:paraId="0C2CF7A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a entidade de saúde deverá apresentar a relação de serviços ambulatoriais e hospitalares a serem ofertados, com o respectivo demonstrativo da projeção das despesas e do referencial utilizado, os quais não poderão exceder o valor por ela efetivamente despendido;</w:t>
      </w:r>
    </w:p>
    <w:p w14:paraId="3425C11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a comprovação dos custos a que se refere o inciso II deste caput poderá ser exigida a qualquer tempo, mediante apresentação dos documentos necessários;</w:t>
      </w:r>
    </w:p>
    <w:p w14:paraId="276E9AF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a entidade de saúde deverá informar a produção na forma estabelecida em regulamento, com observação de não geração de créditos.</w:t>
      </w:r>
    </w:p>
    <w:p w14:paraId="593C450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BA4D46">
        <w:rPr>
          <w:rFonts w:ascii="Book Antiqua" w:eastAsia="Times New Roman" w:hAnsi="Book Antiqua" w:cs="Arial"/>
          <w:color w:val="000000"/>
          <w:sz w:val="19"/>
          <w:szCs w:val="19"/>
          <w:lang w:eastAsia="pt-BR"/>
        </w:rPr>
        <w:t>Art. 16. O valor dos recursos despendidos e o conteúdo das atividades desenvolvidas no âmbito dos projetos de apoio ao desenvolvimento institucional do SUS ou da prestação de serviços previstos no art. 15 desta Lei Complementar deverão ser objeto de relatórios anuais encaminhados à autoridade executiva federal competente para acompanhamento e fiscalização, sem prejuízo das atribuições dos órgãos de fiscalização tributária.</w:t>
      </w:r>
    </w:p>
    <w:p w14:paraId="78321AE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Os relatórios previstos no caput deste artigo deverão ser acompanhados de demonstrações contábeis e financeiras submetidas a parecer conclusivo de auditoria independente, realizada por instituição credenciada perante o Conselho Regional de Contabilidade.</w:t>
      </w:r>
    </w:p>
    <w:p w14:paraId="353FE51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O cálculo do valor da imunidade prevista no § 1º do art. 14 desta Lei Complementar será realizado anualmente com base no exercício fiscal anterior.</w:t>
      </w:r>
    </w:p>
    <w:p w14:paraId="6F43977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Em caso de requerimento de concessão da certificação, o recurso despendido pela entidade de saúde no projeto de apoio não poderá ser inferior ao valor das contribuições para a seguridade social referente ao exercício fiscal anterior ao do requerimento.</w:t>
      </w:r>
    </w:p>
    <w:p w14:paraId="0F16855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Caso os recursos despendidos nos projetos de apoio institucional não alcancem o valor da imunidade usufruída, na forma do § 2º deste artigo, a entidade deverá complementar a diferença até o término do prazo de validade de sua certificação.</w:t>
      </w:r>
    </w:p>
    <w:p w14:paraId="6E068E5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 5º O disposto no § 4º deste artigo alcança somente as entidades que tenham aplicado, no mínimo, 70% (setenta por cento) do valor usufruído anualmente com a imunidade nos projetos de apoio ao desenvolvimento institucional do SUS.</w:t>
      </w:r>
    </w:p>
    <w:p w14:paraId="0C902FE6"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VI</w:t>
      </w:r>
    </w:p>
    <w:p w14:paraId="128A4155"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 Prestação de Serviços de Saúde não Remunerados pelo SUS a Trabalhadores</w:t>
      </w:r>
    </w:p>
    <w:p w14:paraId="78EEB1B0" w14:textId="164D7F89" w:rsid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Art. 17.</w:t>
      </w:r>
      <w:r>
        <w:rPr>
          <w:rFonts w:ascii="Book Antiqua" w:eastAsia="Times New Roman" w:hAnsi="Book Antiqua" w:cs="Arial"/>
          <w:color w:val="000000"/>
          <w:sz w:val="19"/>
          <w:szCs w:val="19"/>
          <w:lang w:eastAsia="pt-BR"/>
        </w:rPr>
        <w:t xml:space="preserve"> </w:t>
      </w:r>
      <w:r w:rsidRPr="00BA4D46">
        <w:rPr>
          <w:rFonts w:ascii="Book Antiqua" w:eastAsia="Times New Roman" w:hAnsi="Book Antiqua" w:cs="Arial"/>
          <w:color w:val="000000"/>
          <w:sz w:val="19"/>
          <w:szCs w:val="19"/>
          <w:lang w:eastAsia="pt-BR"/>
        </w:rPr>
        <w:t>As entidades da área de saúde certificadas até o dia imediatamente anterior ao da publicação da Lei nº 12.101, de 27 de novembro de 2009, que prestem serviços assistenciais de saúde não remunerados pelo SUS a trabalhadores ativos e inativos e aos respectivos dependentes econômicos, decorrentes do estabelecido em lei ou Norma Coletiva de Trabalho, e desde que, simultaneamente, destinem no mínimo 20% (vinte por cento) do valor total das imunidades de suas contribuições sociais em serviços, com universalidade de atendimento, a beneficiários do SUS, mediante pacto do gestor do local, terão concedida ou renovada a certificação, na forma de regulamento.</w:t>
      </w:r>
    </w:p>
    <w:p w14:paraId="583D5C58"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Seção III</w:t>
      </w:r>
    </w:p>
    <w:p w14:paraId="450C7AAE"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 Educação</w:t>
      </w:r>
    </w:p>
    <w:p w14:paraId="0ACB2F7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8"/>
      <w:bookmarkEnd w:id="16"/>
      <w:r w:rsidRPr="00BA4D46">
        <w:rPr>
          <w:rFonts w:ascii="Book Antiqua" w:eastAsia="Times New Roman" w:hAnsi="Book Antiqua" w:cs="Arial"/>
          <w:color w:val="000000"/>
          <w:sz w:val="19"/>
          <w:szCs w:val="19"/>
          <w:lang w:eastAsia="pt-BR"/>
        </w:rPr>
        <w:t>Art. 18. Para fazer jus à imunidade, a entidade com atuação na área da educação cujas atividades sejam de oferta de educação básica, de educação superior ou de ambas, deve atender ao disposto nesta Seção e na legislação aplicável.</w:t>
      </w:r>
    </w:p>
    <w:p w14:paraId="2FE8C24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As instituições de ensino deverão:</w:t>
      </w:r>
    </w:p>
    <w:p w14:paraId="0F729DD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obter autorização de funcionamento expedida pela autoridade executiva competente;</w:t>
      </w:r>
    </w:p>
    <w:p w14:paraId="3B1D74A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informar anualmente os dados referentes à instituição ao Instituto Nacional de Estudos e Pesquisas Educacionais Anísio Teixeira (Inep); e</w:t>
      </w:r>
    </w:p>
    <w:p w14:paraId="7412068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atender a padrões mínimos de qualidade aferidos pelos processos de avaliação conduzidos pela autoridade executiva federal competente.</w:t>
      </w:r>
    </w:p>
    <w:p w14:paraId="7292837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Para os fins desta Lei Complementar, o atendimento ao princípio da universalidade na área da educação pressupõe a seleção de bolsistas segundo o perfil socioeconômico, sem qualquer forma de discriminação, segregação ou diferenciação, vedada a utilização de critérios étnicos, religiosos, corporativos, políticos ou quaisquer outros que afrontem esse perfil, ressalvados os estabelecidos na legislação vigente, em especial na </w:t>
      </w:r>
      <w:hyperlink r:id="rId15" w:history="1">
        <w:r w:rsidRPr="00BA4D46">
          <w:rPr>
            <w:rFonts w:ascii="Book Antiqua" w:eastAsia="Times New Roman" w:hAnsi="Book Antiqua" w:cs="Arial"/>
            <w:color w:val="0000FF"/>
            <w:sz w:val="19"/>
            <w:szCs w:val="19"/>
            <w:u w:val="single"/>
            <w:lang w:eastAsia="pt-BR"/>
          </w:rPr>
          <w:t>Lei nº 12.711, de 29 de agosto de 2012.</w:t>
        </w:r>
      </w:hyperlink>
    </w:p>
    <w:p w14:paraId="79CBA08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As instituições que prestam serviços totalmente gratuitos e as que prestam serviços mediante convênio com órgãos ou entidades dos poderes públicos devem assegurar que os alunos a serem contabilizados no atendimento da proporcionalidade de bolsas sejam selecionados segundo o perfil socioeconômico definido nesta Lei Complementar.</w:t>
      </w:r>
    </w:p>
    <w:p w14:paraId="13DA9C4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(VETADO).</w:t>
      </w:r>
    </w:p>
    <w:p w14:paraId="44AA616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 cada 2 (dois) anos, será publicado levantamento dos resultados apresentados pelas instituições de ensino que oferecem educação básica certificadas na forma desta Lei Complementar, quanto às condições de oferta e de desempenho dos estudantes, com base no Censo Escolar da Educação Básica e no Sistema de Avaliação da Educação Básica (Saeb).</w:t>
      </w:r>
    </w:p>
    <w:p w14:paraId="57669D4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6º A cada 3 (três) anos, será publicado levantamento dos resultados apresentados pelas instituições de ensino superior certificadas na forma desta Lei Complementar, em termos de avaliação das instituições, dos cursos e do desempenho dos estudantes da educação superior, a partir dos dados do Sistema Nacional de Avaliação da Educação Superior (Sinaes).</w:t>
      </w:r>
    </w:p>
    <w:p w14:paraId="16AD95B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19"/>
      <w:bookmarkEnd w:id="17"/>
      <w:r w:rsidRPr="00BA4D46">
        <w:rPr>
          <w:rFonts w:ascii="Book Antiqua" w:eastAsia="Times New Roman" w:hAnsi="Book Antiqua" w:cs="Arial"/>
          <w:color w:val="000000"/>
          <w:sz w:val="19"/>
          <w:szCs w:val="19"/>
          <w:lang w:eastAsia="pt-BR"/>
        </w:rPr>
        <w:lastRenderedPageBreak/>
        <w:t>Art. 19. As entidades que atuam na área da educação devem comprovar a oferta de gratuidade na forma de bolsas de estudo e de benefícios.</w:t>
      </w:r>
    </w:p>
    <w:p w14:paraId="1C55B2A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As entidades devem conceder bolsas de estudo nos seguintes termos:</w:t>
      </w:r>
    </w:p>
    <w:p w14:paraId="1EB2647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bolsa de estudo integral a aluno cuja renda familiar bruta mensal per capita não exceda o valor de 1,5 (um inteiro e cinco décimos) salário mínimo;</w:t>
      </w:r>
    </w:p>
    <w:p w14:paraId="3CC5EA6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bolsa de estudo parcial com 50% (cinquenta por cento) de gratuidade a aluno cuja renda familiar bruta mensal per capita não exceda o valor de 3 (três) salários mínimos.</w:t>
      </w:r>
    </w:p>
    <w:p w14:paraId="0FBD2BF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Para fins de concessão da bolsa de estudo integral, admite-se a majoração em até 20% (vinte por cento) do teto estabelecido, ao se considerar aspectos de natureza social do beneficiário, de sua família ou de ambos, quando consubstanciados em relatório comprobatório devidamente assinado por assistente social com registro no respectivo órgão de classe.</w:t>
      </w:r>
    </w:p>
    <w:p w14:paraId="674D247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Para os fins desta Lei Complementar, consideram-se benefícios aqueles providos pela entidade a beneficiários cuja renda familiar bruta mensal per capita esteja enquadrada nos limites dos incisos I e II do § 1º deste artigo, que tenham por objetivo promover ao estudante o acesso, a permanência, a aprendizagem e a conclusão do curso na instituição de ensino e estejam explicitamente orientados para o alcance das metas e estratégias do Plano Nacional de Educação (PNE).</w:t>
      </w:r>
    </w:p>
    <w:p w14:paraId="157D7CE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Os benefícios de que trata o § 3º deste artigo são tipificados em:</w:t>
      </w:r>
    </w:p>
    <w:p w14:paraId="0A2D1A7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tipo 1: benefícios destinados exclusivamente ao aluno bolsista, tais como transporte escolar, uniforme, material didático, moradia e alimentação;</w:t>
      </w:r>
    </w:p>
    <w:p w14:paraId="7F5DD0D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tipo 2: ações e serviços destinados a alunos e a seu grupo familiar, com vistas a favorecer ao estudante o acesso, a permanência, a aprendizagem e a conclusão do curso na instituição de ensino; e</w:t>
      </w:r>
    </w:p>
    <w:p w14:paraId="4D2211D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tipo 3: projetos e atividades de educação em tempo integral destinados à ampliação da jornada escolar dos alunos da educação básica matriculados em escolas públicas que apresentem índice de nível socioeconômico baixo estabelecido nos termos da legislação.</w:t>
      </w:r>
    </w:p>
    <w:p w14:paraId="2F12318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As entidades que optarem pela substituição de bolsas de estudo por benefícios de tipos 1 e 2, no limite de até 25% (vinte e cinco por cento) das bolsas de estudo, deverão firmar Termo de Concessão de Benefícios Complementares com cada um dos beneficiários.</w:t>
      </w:r>
    </w:p>
    <w:p w14:paraId="6801ECA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6º As entidades que optarem pela substituição de bolsas de estudo por projetos e atividades de educação em tempo integral destinados à ampliação da jornada escolar dos alunos da educação básica matriculados em escolas públicas deverão firmar termo de parceria ou instrumento congênere com instituições públicas de ensino.</w:t>
      </w:r>
    </w:p>
    <w:p w14:paraId="2CE0340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7º Os projetos e atividades de educação em tempo integral deverão:</w:t>
      </w:r>
    </w:p>
    <w:p w14:paraId="3039ED2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estar integrados ao projeto pedagógico da escola pública parceira;</w:t>
      </w:r>
    </w:p>
    <w:p w14:paraId="394CCD5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assegurar a complementação da carga horária da escola pública parceira em, no mínimo, 10 (dez) horas semanais; e</w:t>
      </w:r>
    </w:p>
    <w:p w14:paraId="526F1F7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estar relacionados aos componentes da grade curricular da escola pública parceira.</w:t>
      </w:r>
    </w:p>
    <w:p w14:paraId="0C17A27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8º Considera-se educação básica em tempo integral a jornada escolar com duração igual ou superior a 7 (sete) horas diárias, durante todo o período letivo, que compreende o tempo em que o aluno permanece na escola e aquele em que exerce, nos termos de regulamento, atividades escolares em outros espaços educacionais.</w:t>
      </w:r>
    </w:p>
    <w:p w14:paraId="01BFFDC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 9º As regras de conversão dos valores de benefícios em bolsas de estudo serão definidas conforme o valor médio do encargo educacional mensal ao longo do período letivo, a ser estabelecido com base em planilha que deverá ser enviada, anualmente, por cada instituição de ensino à autoridade executiva federal competente.</w:t>
      </w:r>
    </w:p>
    <w:p w14:paraId="3D7799A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10. O encargo educacional de que trata o § 9º deste artigo considerará todos os descontos aplicados pela instituição, regulares ou temporários, de caráter coletivo ou decorrentes de convênios com instituições públicas ou privadas, incluídos os descontos concedidos devido ao seu pagamento pontual, respeitada a proporcionalidade da carga horária.</w:t>
      </w:r>
    </w:p>
    <w:p w14:paraId="304D834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20"/>
      <w:bookmarkEnd w:id="18"/>
      <w:r w:rsidRPr="00BA4D46">
        <w:rPr>
          <w:rFonts w:ascii="Book Antiqua" w:eastAsia="Times New Roman" w:hAnsi="Book Antiqua" w:cs="Arial"/>
          <w:color w:val="000000"/>
          <w:sz w:val="19"/>
          <w:szCs w:val="19"/>
          <w:lang w:eastAsia="pt-BR"/>
        </w:rPr>
        <w:t>Art. 20. A entidade que atua na educação básica deverá conceder, anualmente, bolsas de estudo na proporção de 1 (uma) bolsa de estudo integral para cada 5 (cinco) alunos pagantes.</w:t>
      </w:r>
    </w:p>
    <w:p w14:paraId="28B1A70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Para o cumprimento da proporção estabelecida no caput</w:t>
      </w:r>
      <w:r w:rsidRPr="00BA4D46">
        <w:rPr>
          <w:rFonts w:ascii="Book Antiqua" w:eastAsia="Times New Roman" w:hAnsi="Book Antiqua" w:cs="Arial"/>
          <w:i/>
          <w:iCs/>
          <w:color w:val="000000"/>
          <w:sz w:val="19"/>
          <w:szCs w:val="19"/>
          <w:lang w:eastAsia="pt-BR"/>
        </w:rPr>
        <w:t> </w:t>
      </w:r>
      <w:r w:rsidRPr="00BA4D46">
        <w:rPr>
          <w:rFonts w:ascii="Book Antiqua" w:eastAsia="Times New Roman" w:hAnsi="Book Antiqua" w:cs="Arial"/>
          <w:color w:val="000000"/>
          <w:sz w:val="19"/>
          <w:szCs w:val="19"/>
          <w:lang w:eastAsia="pt-BR"/>
        </w:rPr>
        <w:t>deste artigo, a entidade poderá oferecer, em substituição, bolsas de estudo parciais, observadas as seguintes condições:</w:t>
      </w:r>
    </w:p>
    <w:p w14:paraId="4260F9B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no mínimo, 1 (uma) bolsa de estudo integral para cada 9 (nove) alunos pagantes; e</w:t>
      </w:r>
    </w:p>
    <w:p w14:paraId="1D59340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bolsas de estudo parciais com 50% (cinquenta por cento) de gratuidade, para o alcance do número mínimo exigido, mantida a equivalência de 2 (duas) bolsas de estudo parciais para cada 1 (uma) bolsa de estudo integral.</w:t>
      </w:r>
    </w:p>
    <w:p w14:paraId="022DDA1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Será facultado à entidade substituir até 25% (vinte e cinco por cento) da quantidade das bolsas de estudo definidas no caput e no § 1º deste artigo por benefícios concedidos nos termos do art. 19 desta Lei Complementar.</w:t>
      </w:r>
    </w:p>
    <w:p w14:paraId="3415881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Para fins de cumprimento das proporções de que tratam o caput e o § 1º deste artigo:</w:t>
      </w:r>
    </w:p>
    <w:p w14:paraId="3913AAD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cada bolsa de estudo integral concedida a aluno com deficiência, assim declarado ao Censo Escolar da Educação Básica, equivalerá a 1,2 (um inteiro e dois décimos) do valor da bolsa de estudo integral;</w:t>
      </w:r>
    </w:p>
    <w:p w14:paraId="428EA11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cada bolsa de estudo integral concedida a aluno matriculado na educação básica em tempo integral equivalerá a 1,4 (um inteiro e quatro décimos) do valor da bolsa de estudo integral.</w:t>
      </w:r>
    </w:p>
    <w:p w14:paraId="74C71A7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As equivalências previstas nos incisos I e II do § 3º deste artigo não poderão ser cumulativas.</w:t>
      </w:r>
    </w:p>
    <w:p w14:paraId="1550288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 entidade de educação que presta serviços integralmente gratuitos deverá garantir a proporção de, no mínimo, 1 (um) aluno cuja renda familiar bruta mensal per capita não exceda o valor de 1,5 (um inteiro e cinco décimos) salário mínimo para cada 5 (cinco) alunos matriculados.</w:t>
      </w:r>
    </w:p>
    <w:p w14:paraId="3F2F3A9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6º Atendidas as condições socioeconômicas referidas nos incisos I e II do § 1º do art. 19 desta Lei Complementar, as instituições poderão considerar como bolsistas os trabalhadores da própria instituição e os dependentes destes em decorrência de convenção coletiva ou de acordo coletivo de trabalho, até o limite de 20% (vinte por cento) da proporção definida no caput e nos incisos I e II do § 1º deste artigo.</w:t>
      </w:r>
    </w:p>
    <w:p w14:paraId="11E7057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7º</w:t>
      </w:r>
      <w:r w:rsidRPr="00BA4D46">
        <w:rPr>
          <w:rFonts w:ascii="Book Antiqua" w:eastAsia="Times New Roman" w:hAnsi="Book Antiqua" w:cs="Arial"/>
          <w:color w:val="000000"/>
          <w:spacing w:val="47"/>
          <w:sz w:val="19"/>
          <w:szCs w:val="19"/>
          <w:lang w:eastAsia="pt-BR"/>
        </w:rPr>
        <w:t> </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tes</w:t>
      </w:r>
      <w:r w:rsidRPr="00BA4D46">
        <w:rPr>
          <w:rFonts w:ascii="Book Antiqua" w:eastAsia="Times New Roman" w:hAnsi="Book Antiqua" w:cs="Arial"/>
          <w:color w:val="000000"/>
          <w:spacing w:val="46"/>
          <w:sz w:val="19"/>
          <w:szCs w:val="19"/>
          <w:lang w:eastAsia="pt-BR"/>
        </w:rPr>
        <w:t> </w:t>
      </w:r>
      <w:r w:rsidRPr="00BA4D46">
        <w:rPr>
          <w:rFonts w:ascii="Book Antiqua" w:eastAsia="Times New Roman" w:hAnsi="Book Antiqua" w:cs="Arial"/>
          <w:color w:val="000000"/>
          <w:sz w:val="19"/>
          <w:szCs w:val="19"/>
          <w:lang w:eastAsia="pt-BR"/>
        </w:rPr>
        <w:t>fe</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er</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q</w:t>
      </w:r>
      <w:r w:rsidRPr="00BA4D46">
        <w:rPr>
          <w:rFonts w:ascii="Book Antiqua" w:eastAsia="Times New Roman" w:hAnsi="Book Antiqua" w:cs="Arial"/>
          <w:color w:val="000000"/>
          <w:spacing w:val="-1"/>
          <w:sz w:val="19"/>
          <w:szCs w:val="19"/>
          <w:lang w:eastAsia="pt-BR"/>
        </w:rPr>
        <w:t>u</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ma</w:t>
      </w:r>
      <w:r w:rsidRPr="00BA4D46">
        <w:rPr>
          <w:rFonts w:ascii="Book Antiqua" w:eastAsia="Times New Roman" w:hAnsi="Book Antiqua" w:cs="Arial"/>
          <w:color w:val="000000"/>
          <w:spacing w:val="-4"/>
          <w:sz w:val="19"/>
          <w:szCs w:val="19"/>
          <w:lang w:eastAsia="pt-BR"/>
        </w:rPr>
        <w:t>n</w:t>
      </w:r>
      <w:r w:rsidRPr="00BA4D46">
        <w:rPr>
          <w:rFonts w:ascii="Book Antiqua" w:eastAsia="Times New Roman" w:hAnsi="Book Antiqua" w:cs="Arial"/>
          <w:color w:val="000000"/>
          <w:sz w:val="19"/>
          <w:szCs w:val="19"/>
          <w:lang w:eastAsia="pt-BR"/>
        </w:rPr>
        <w:t>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h</w:t>
      </w:r>
      <w:r w:rsidRPr="00BA4D46">
        <w:rPr>
          <w:rFonts w:ascii="Book Antiqua" w:eastAsia="Times New Roman" w:hAnsi="Book Antiqua" w:cs="Arial"/>
          <w:color w:val="000000"/>
          <w:spacing w:val="-4"/>
          <w:sz w:val="19"/>
          <w:szCs w:val="19"/>
          <w:lang w:eastAsia="pt-BR"/>
        </w:rPr>
        <w:t>a</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50"/>
          <w:sz w:val="19"/>
          <w:szCs w:val="19"/>
          <w:lang w:eastAsia="pt-BR"/>
        </w:rPr>
        <w:t> </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ú</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2"/>
          <w:sz w:val="19"/>
          <w:szCs w:val="19"/>
          <w:lang w:eastAsia="pt-BR"/>
        </w:rPr>
        <w:t>li</w:t>
      </w:r>
      <w:r w:rsidRPr="00BA4D46">
        <w:rPr>
          <w:rFonts w:ascii="Book Antiqua" w:eastAsia="Times New Roman" w:hAnsi="Book Antiqua" w:cs="Arial"/>
          <w:color w:val="000000"/>
          <w:sz w:val="19"/>
          <w:szCs w:val="19"/>
          <w:lang w:eastAsia="pt-BR"/>
        </w:rPr>
        <w:t>cas</w:t>
      </w:r>
      <w:r w:rsidRPr="00BA4D46">
        <w:rPr>
          <w:rFonts w:ascii="Book Antiqua" w:eastAsia="Times New Roman" w:hAnsi="Book Antiqua" w:cs="Arial"/>
          <w:color w:val="000000"/>
          <w:spacing w:val="48"/>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ra</w:t>
      </w:r>
      <w:r w:rsidRPr="00BA4D46">
        <w:rPr>
          <w:rFonts w:ascii="Book Antiqua" w:eastAsia="Times New Roman" w:hAnsi="Book Antiqua" w:cs="Arial"/>
          <w:color w:val="000000"/>
          <w:spacing w:val="46"/>
          <w:sz w:val="19"/>
          <w:szCs w:val="19"/>
          <w:lang w:eastAsia="pt-BR"/>
        </w:rPr>
        <w:t> </w:t>
      </w:r>
      <w:r w:rsidRPr="00BA4D46">
        <w:rPr>
          <w:rFonts w:ascii="Book Antiqua" w:eastAsia="Times New Roman" w:hAnsi="Book Antiqua" w:cs="Arial"/>
          <w:color w:val="000000"/>
          <w:sz w:val="19"/>
          <w:szCs w:val="19"/>
          <w:lang w:eastAsia="pt-BR"/>
        </w:rPr>
        <w:t>a e</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uc</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ção</w:t>
      </w:r>
      <w:r w:rsidRPr="00BA4D46">
        <w:rPr>
          <w:rFonts w:ascii="Book Antiqua" w:eastAsia="Times New Roman" w:hAnsi="Book Antiqua" w:cs="Arial"/>
          <w:color w:val="000000"/>
          <w:spacing w:val="36"/>
          <w:sz w:val="19"/>
          <w:szCs w:val="19"/>
          <w:lang w:eastAsia="pt-BR"/>
        </w:rPr>
        <w:t> </w:t>
      </w:r>
      <w:r w:rsidRPr="00BA4D46">
        <w:rPr>
          <w:rFonts w:ascii="Book Antiqua" w:eastAsia="Times New Roman" w:hAnsi="Book Antiqua" w:cs="Arial"/>
          <w:color w:val="000000"/>
          <w:sz w:val="19"/>
          <w:szCs w:val="19"/>
          <w:lang w:eastAsia="pt-BR"/>
        </w:rPr>
        <w:t>b</w:t>
      </w:r>
      <w:r w:rsidRPr="00BA4D46">
        <w:rPr>
          <w:rFonts w:ascii="Book Antiqua" w:eastAsia="Times New Roman" w:hAnsi="Book Antiqua" w:cs="Arial"/>
          <w:color w:val="000000"/>
          <w:spacing w:val="-4"/>
          <w:sz w:val="19"/>
          <w:szCs w:val="19"/>
          <w:lang w:eastAsia="pt-BR"/>
        </w:rPr>
        <w:t>á</w:t>
      </w:r>
      <w:r w:rsidRPr="00BA4D46">
        <w:rPr>
          <w:rFonts w:ascii="Book Antiqua" w:eastAsia="Times New Roman" w:hAnsi="Book Antiqua" w:cs="Arial"/>
          <w:color w:val="000000"/>
          <w:spacing w:val="-1"/>
          <w:sz w:val="19"/>
          <w:szCs w:val="19"/>
          <w:lang w:eastAsia="pt-BR"/>
        </w:rPr>
        <w:t>s</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ca</w:t>
      </w:r>
      <w:r w:rsidRPr="00BA4D46">
        <w:rPr>
          <w:rFonts w:ascii="Book Antiqua" w:eastAsia="Times New Roman" w:hAnsi="Book Antiqua" w:cs="Arial"/>
          <w:color w:val="000000"/>
          <w:spacing w:val="36"/>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4"/>
          <w:sz w:val="19"/>
          <w:szCs w:val="19"/>
          <w:lang w:eastAsia="pt-BR"/>
        </w:rPr>
        <w:t>o</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35"/>
          <w:sz w:val="19"/>
          <w:szCs w:val="19"/>
          <w:lang w:eastAsia="pt-BR"/>
        </w:rPr>
        <w:t> </w:t>
      </w:r>
      <w:r w:rsidRPr="00BA4D46">
        <w:rPr>
          <w:rFonts w:ascii="Book Antiqua" w:eastAsia="Times New Roman" w:hAnsi="Book Antiqua" w:cs="Arial"/>
          <w:color w:val="000000"/>
          <w:spacing w:val="-2"/>
          <w:sz w:val="19"/>
          <w:szCs w:val="19"/>
          <w:lang w:eastAsia="pt-BR"/>
        </w:rPr>
        <w:t>m</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36"/>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33"/>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33"/>
          <w:sz w:val="19"/>
          <w:szCs w:val="19"/>
          <w:lang w:eastAsia="pt-BR"/>
        </w:rPr>
        <w:t> </w:t>
      </w:r>
      <w:r w:rsidRPr="00BA4D46">
        <w:rPr>
          <w:rFonts w:ascii="Book Antiqua" w:eastAsia="Times New Roman" w:hAnsi="Book Antiqua" w:cs="Arial"/>
          <w:color w:val="000000"/>
          <w:sz w:val="19"/>
          <w:szCs w:val="19"/>
          <w:lang w:eastAsia="pt-BR"/>
        </w:rPr>
        <w:t>c</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36"/>
          <w:sz w:val="19"/>
          <w:szCs w:val="19"/>
          <w:lang w:eastAsia="pt-BR"/>
        </w:rPr>
        <w:t> </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2"/>
          <w:sz w:val="19"/>
          <w:szCs w:val="19"/>
          <w:lang w:eastAsia="pt-BR"/>
        </w:rPr>
        <w:t>t</w:t>
      </w:r>
      <w:r w:rsidRPr="00BA4D46">
        <w:rPr>
          <w:rFonts w:ascii="Book Antiqua" w:eastAsia="Times New Roman" w:hAnsi="Book Antiqua" w:cs="Arial"/>
          <w:color w:val="000000"/>
          <w:sz w:val="19"/>
          <w:szCs w:val="19"/>
          <w:lang w:eastAsia="pt-BR"/>
        </w:rPr>
        <w:t>u</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ção</w:t>
      </w:r>
      <w:r w:rsidRPr="00BA4D46">
        <w:rPr>
          <w:rFonts w:ascii="Book Antiqua" w:eastAsia="Times New Roman" w:hAnsi="Book Antiqua" w:cs="Arial"/>
          <w:color w:val="000000"/>
          <w:spacing w:val="36"/>
          <w:sz w:val="19"/>
          <w:szCs w:val="19"/>
          <w:lang w:eastAsia="pt-BR"/>
        </w:rPr>
        <w:t> </w:t>
      </w:r>
      <w:r w:rsidRPr="00BA4D46">
        <w:rPr>
          <w:rFonts w:ascii="Book Antiqua" w:eastAsia="Times New Roman" w:hAnsi="Book Antiqua" w:cs="Arial"/>
          <w:color w:val="000000"/>
          <w:sz w:val="19"/>
          <w:szCs w:val="19"/>
          <w:lang w:eastAsia="pt-BR"/>
        </w:rPr>
        <w:t>na</w:t>
      </w:r>
      <w:r w:rsidRPr="00BA4D46">
        <w:rPr>
          <w:rFonts w:ascii="Book Antiqua" w:eastAsia="Times New Roman" w:hAnsi="Book Antiqua" w:cs="Arial"/>
          <w:color w:val="000000"/>
          <w:spacing w:val="33"/>
          <w:sz w:val="19"/>
          <w:szCs w:val="19"/>
          <w:lang w:eastAsia="pt-BR"/>
        </w:rPr>
        <w:t> </w:t>
      </w:r>
      <w:r w:rsidRPr="00BA4D46">
        <w:rPr>
          <w:rFonts w:ascii="Book Antiqua" w:eastAsia="Times New Roman" w:hAnsi="Book Antiqua" w:cs="Arial"/>
          <w:color w:val="000000"/>
          <w:spacing w:val="-3"/>
          <w:sz w:val="19"/>
          <w:szCs w:val="19"/>
          <w:lang w:eastAsia="pt-BR"/>
        </w:rPr>
        <w:t>á</w:t>
      </w:r>
      <w:r w:rsidRPr="00BA4D46">
        <w:rPr>
          <w:rFonts w:ascii="Book Antiqua" w:eastAsia="Times New Roman" w:hAnsi="Book Antiqua" w:cs="Arial"/>
          <w:color w:val="000000"/>
          <w:sz w:val="19"/>
          <w:szCs w:val="19"/>
          <w:lang w:eastAsia="pt-BR"/>
        </w:rPr>
        <w:t>rea</w:t>
      </w:r>
      <w:r w:rsidRPr="00BA4D46">
        <w:rPr>
          <w:rFonts w:ascii="Book Antiqua" w:eastAsia="Times New Roman" w:hAnsi="Book Antiqua" w:cs="Arial"/>
          <w:color w:val="000000"/>
          <w:spacing w:val="33"/>
          <w:sz w:val="19"/>
          <w:szCs w:val="19"/>
          <w:lang w:eastAsia="pt-BR"/>
        </w:rPr>
        <w:t> </w:t>
      </w:r>
      <w:r w:rsidRPr="00BA4D46">
        <w:rPr>
          <w:rFonts w:ascii="Book Antiqua" w:eastAsia="Times New Roman" w:hAnsi="Book Antiqua" w:cs="Arial"/>
          <w:color w:val="000000"/>
          <w:sz w:val="19"/>
          <w:szCs w:val="19"/>
          <w:lang w:eastAsia="pt-BR"/>
        </w:rPr>
        <w:t>da</w:t>
      </w:r>
      <w:r w:rsidRPr="00BA4D46">
        <w:rPr>
          <w:rFonts w:ascii="Book Antiqua" w:eastAsia="Times New Roman" w:hAnsi="Book Antiqua" w:cs="Arial"/>
          <w:color w:val="000000"/>
          <w:spacing w:val="33"/>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u</w:t>
      </w:r>
      <w:r w:rsidRPr="00BA4D46">
        <w:rPr>
          <w:rFonts w:ascii="Book Antiqua" w:eastAsia="Times New Roman" w:hAnsi="Book Antiqua" w:cs="Arial"/>
          <w:color w:val="000000"/>
          <w:spacing w:val="-3"/>
          <w:sz w:val="19"/>
          <w:szCs w:val="19"/>
          <w:lang w:eastAsia="pt-BR"/>
        </w:rPr>
        <w:t>c</w:t>
      </w:r>
      <w:r w:rsidRPr="00BA4D46">
        <w:rPr>
          <w:rFonts w:ascii="Book Antiqua" w:eastAsia="Times New Roman" w:hAnsi="Book Antiqua" w:cs="Arial"/>
          <w:color w:val="000000"/>
          <w:sz w:val="19"/>
          <w:szCs w:val="19"/>
          <w:lang w:eastAsia="pt-BR"/>
        </w:rPr>
        <w:t>aç</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36"/>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er</w:t>
      </w:r>
      <w:r w:rsidRPr="00BA4D46">
        <w:rPr>
          <w:rFonts w:ascii="Book Antiqua" w:eastAsia="Times New Roman" w:hAnsi="Book Antiqua" w:cs="Arial"/>
          <w:color w:val="000000"/>
          <w:spacing w:val="-3"/>
          <w:sz w:val="19"/>
          <w:szCs w:val="19"/>
          <w:lang w:eastAsia="pt-BR"/>
        </w:rPr>
        <w:t>ã</w:t>
      </w:r>
      <w:r w:rsidRPr="00BA4D46">
        <w:rPr>
          <w:rFonts w:ascii="Book Antiqua" w:eastAsia="Times New Roman" w:hAnsi="Book Antiqua" w:cs="Arial"/>
          <w:color w:val="000000"/>
          <w:sz w:val="19"/>
          <w:szCs w:val="19"/>
          <w:lang w:eastAsia="pt-BR"/>
        </w:rPr>
        <w:t>o res</w:t>
      </w:r>
      <w:r w:rsidRPr="00BA4D46">
        <w:rPr>
          <w:rFonts w:ascii="Book Antiqua" w:eastAsia="Times New Roman" w:hAnsi="Book Antiqua" w:cs="Arial"/>
          <w:color w:val="000000"/>
          <w:spacing w:val="-1"/>
          <w:sz w:val="19"/>
          <w:szCs w:val="19"/>
          <w:lang w:eastAsia="pt-BR"/>
        </w:rPr>
        <w:t>p</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ta</w:t>
      </w:r>
      <w:r w:rsidRPr="00BA4D46">
        <w:rPr>
          <w:rFonts w:ascii="Book Antiqua" w:eastAsia="Times New Roman" w:hAnsi="Book Antiqua" w:cs="Arial"/>
          <w:color w:val="000000"/>
          <w:spacing w:val="-2"/>
          <w:sz w:val="19"/>
          <w:szCs w:val="19"/>
          <w:lang w:eastAsia="pt-BR"/>
        </w:rPr>
        <w:t>r</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23"/>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4"/>
          <w:sz w:val="19"/>
          <w:szCs w:val="19"/>
          <w:lang w:eastAsia="pt-BR"/>
        </w:rPr>
        <w:t>a</w:t>
      </w:r>
      <w:r w:rsidRPr="00BA4D46">
        <w:rPr>
          <w:rFonts w:ascii="Book Antiqua" w:eastAsia="Times New Roman" w:hAnsi="Book Antiqua" w:cs="Arial"/>
          <w:color w:val="000000"/>
          <w:sz w:val="19"/>
          <w:szCs w:val="19"/>
          <w:lang w:eastAsia="pt-BR"/>
        </w:rPr>
        <w:t>ra</w:t>
      </w:r>
      <w:r w:rsidRPr="00BA4D46">
        <w:rPr>
          <w:rFonts w:ascii="Book Antiqua" w:eastAsia="Times New Roman" w:hAnsi="Book Antiqua" w:cs="Arial"/>
          <w:color w:val="000000"/>
          <w:spacing w:val="22"/>
          <w:sz w:val="19"/>
          <w:szCs w:val="19"/>
          <w:lang w:eastAsia="pt-BR"/>
        </w:rPr>
        <w:t> </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19"/>
          <w:sz w:val="19"/>
          <w:szCs w:val="19"/>
          <w:lang w:eastAsia="pt-BR"/>
        </w:rPr>
        <w:t> </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19"/>
          <w:sz w:val="19"/>
          <w:szCs w:val="19"/>
          <w:lang w:eastAsia="pt-BR"/>
        </w:rPr>
        <w:t> </w:t>
      </w:r>
      <w:r w:rsidRPr="00BA4D46">
        <w:rPr>
          <w:rFonts w:ascii="Book Antiqua" w:eastAsia="Times New Roman" w:hAnsi="Book Antiqua" w:cs="Arial"/>
          <w:color w:val="000000"/>
          <w:spacing w:val="-3"/>
          <w:sz w:val="19"/>
          <w:szCs w:val="19"/>
          <w:lang w:eastAsia="pt-BR"/>
        </w:rPr>
        <w:t>o</w:t>
      </w:r>
      <w:r w:rsidRPr="00BA4D46">
        <w:rPr>
          <w:rFonts w:ascii="Book Antiqua" w:eastAsia="Times New Roman" w:hAnsi="Book Antiqua" w:cs="Arial"/>
          <w:color w:val="000000"/>
          <w:spacing w:val="3"/>
          <w:sz w:val="19"/>
          <w:szCs w:val="19"/>
          <w:lang w:eastAsia="pt-BR"/>
        </w:rPr>
        <w:t>f</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2"/>
          <w:sz w:val="19"/>
          <w:szCs w:val="19"/>
          <w:lang w:eastAsia="pt-BR"/>
        </w:rPr>
        <w:t>r</w:t>
      </w:r>
      <w:r w:rsidRPr="00BA4D46">
        <w:rPr>
          <w:rFonts w:ascii="Book Antiqua" w:eastAsia="Times New Roman" w:hAnsi="Book Antiqua" w:cs="Arial"/>
          <w:color w:val="000000"/>
          <w:sz w:val="19"/>
          <w:szCs w:val="19"/>
          <w:lang w:eastAsia="pt-BR"/>
        </w:rPr>
        <w:t>ta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19"/>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20"/>
          <w:sz w:val="19"/>
          <w:szCs w:val="19"/>
          <w:lang w:eastAsia="pt-BR"/>
        </w:rPr>
        <w:t> </w:t>
      </w:r>
      <w:r w:rsidRPr="00BA4D46">
        <w:rPr>
          <w:rFonts w:ascii="Book Antiqua" w:eastAsia="Times New Roman" w:hAnsi="Book Antiqua" w:cs="Arial"/>
          <w:color w:val="000000"/>
          <w:sz w:val="19"/>
          <w:szCs w:val="19"/>
          <w:lang w:eastAsia="pt-BR"/>
        </w:rPr>
        <w:t>me</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2"/>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7"/>
          <w:sz w:val="19"/>
          <w:szCs w:val="19"/>
          <w:lang w:eastAsia="pt-BR"/>
        </w:rPr>
        <w:t> </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ê</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22"/>
          <w:sz w:val="19"/>
          <w:szCs w:val="19"/>
          <w:lang w:eastAsia="pt-BR"/>
        </w:rPr>
        <w:t> </w:t>
      </w:r>
      <w:r w:rsidRPr="00BA4D46">
        <w:rPr>
          <w:rFonts w:ascii="Book Antiqua" w:eastAsia="Times New Roman" w:hAnsi="Book Antiqua" w:cs="Arial"/>
          <w:color w:val="000000"/>
          <w:sz w:val="19"/>
          <w:szCs w:val="19"/>
          <w:lang w:eastAsia="pt-BR"/>
        </w:rPr>
        <w:t>ou</w:t>
      </w:r>
      <w:r w:rsidRPr="00BA4D46">
        <w:rPr>
          <w:rFonts w:ascii="Book Antiqua" w:eastAsia="Times New Roman" w:hAnsi="Book Antiqua" w:cs="Arial"/>
          <w:color w:val="000000"/>
          <w:spacing w:val="21"/>
          <w:sz w:val="19"/>
          <w:szCs w:val="19"/>
          <w:lang w:eastAsia="pt-BR"/>
        </w:rPr>
        <w:t> </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ê</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2"/>
          <w:sz w:val="19"/>
          <w:szCs w:val="19"/>
          <w:lang w:eastAsia="pt-BR"/>
        </w:rPr>
        <w:t> </w:t>
      </w:r>
      <w:r w:rsidRPr="00BA4D46">
        <w:rPr>
          <w:rFonts w:ascii="Book Antiqua" w:eastAsia="Times New Roman" w:hAnsi="Book Antiqua" w:cs="Arial"/>
          <w:color w:val="000000"/>
          <w:sz w:val="19"/>
          <w:szCs w:val="19"/>
          <w:lang w:eastAsia="pt-BR"/>
        </w:rPr>
        <w:t>com</w:t>
      </w:r>
      <w:r w:rsidRPr="00BA4D46">
        <w:rPr>
          <w:rFonts w:ascii="Book Antiqua" w:eastAsia="Times New Roman" w:hAnsi="Book Antiqua" w:cs="Arial"/>
          <w:color w:val="000000"/>
          <w:spacing w:val="20"/>
          <w:sz w:val="19"/>
          <w:szCs w:val="19"/>
          <w:lang w:eastAsia="pt-BR"/>
        </w:rPr>
        <w:t> </w:t>
      </w:r>
      <w:r w:rsidRPr="00BA4D46">
        <w:rPr>
          <w:rFonts w:ascii="Book Antiqua" w:eastAsia="Times New Roman" w:hAnsi="Book Antiqua" w:cs="Arial"/>
          <w:color w:val="000000"/>
          <w:sz w:val="19"/>
          <w:szCs w:val="19"/>
          <w:lang w:eastAsia="pt-BR"/>
        </w:rPr>
        <w:t>ess</w:t>
      </w:r>
      <w:r w:rsidRPr="00BA4D46">
        <w:rPr>
          <w:rFonts w:ascii="Book Antiqua" w:eastAsia="Times New Roman" w:hAnsi="Book Antiqua" w:cs="Arial"/>
          <w:color w:val="000000"/>
          <w:spacing w:val="-4"/>
          <w:sz w:val="19"/>
          <w:szCs w:val="19"/>
          <w:lang w:eastAsia="pt-BR"/>
        </w:rPr>
        <w:t>a</w:t>
      </w:r>
      <w:r w:rsidRPr="00BA4D46">
        <w:rPr>
          <w:rFonts w:ascii="Book Antiqua" w:eastAsia="Times New Roman" w:hAnsi="Book Antiqua" w:cs="Arial"/>
          <w:color w:val="000000"/>
          <w:sz w:val="19"/>
          <w:szCs w:val="19"/>
          <w:lang w:eastAsia="pt-BR"/>
        </w:rPr>
        <w:t>s 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sp</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pacing w:val="-3"/>
          <w:sz w:val="19"/>
          <w:szCs w:val="19"/>
          <w:lang w:eastAsia="pt-BR"/>
        </w:rPr>
        <w:t>s</w:t>
      </w:r>
      <w:r w:rsidRPr="00BA4D46">
        <w:rPr>
          <w:rFonts w:ascii="Book Antiqua" w:eastAsia="Times New Roman" w:hAnsi="Book Antiqua" w:cs="Arial"/>
          <w:color w:val="000000"/>
          <w:sz w:val="19"/>
          <w:szCs w:val="19"/>
          <w:lang w:eastAsia="pt-BR"/>
        </w:rPr>
        <w:t>to n</w:t>
      </w:r>
      <w:r w:rsidRPr="00BA4D46">
        <w:rPr>
          <w:rFonts w:ascii="Book Antiqua" w:eastAsia="Times New Roman" w:hAnsi="Book Antiqua" w:cs="Arial"/>
          <w:color w:val="000000"/>
          <w:spacing w:val="-3"/>
          <w:sz w:val="19"/>
          <w:szCs w:val="19"/>
          <w:lang w:eastAsia="pt-BR"/>
        </w:rPr>
        <w:t>e</w:t>
      </w:r>
      <w:r w:rsidRPr="00BA4D46">
        <w:rPr>
          <w:rFonts w:ascii="Book Antiqua" w:eastAsia="Times New Roman" w:hAnsi="Book Antiqua" w:cs="Arial"/>
          <w:color w:val="000000"/>
          <w:sz w:val="19"/>
          <w:szCs w:val="19"/>
          <w:lang w:eastAsia="pt-BR"/>
        </w:rPr>
        <w:t>ste </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rt</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pacing w:val="1"/>
          <w:sz w:val="19"/>
          <w:szCs w:val="19"/>
          <w:lang w:eastAsia="pt-BR"/>
        </w:rPr>
        <w:t>go</w:t>
      </w:r>
      <w:r w:rsidRPr="00BA4D46">
        <w:rPr>
          <w:rFonts w:ascii="Book Antiqua" w:eastAsia="Times New Roman" w:hAnsi="Book Antiqua" w:cs="Arial"/>
          <w:color w:val="000000"/>
          <w:sz w:val="19"/>
          <w:szCs w:val="19"/>
          <w:lang w:eastAsia="pt-BR"/>
        </w:rPr>
        <w:t>.</w:t>
      </w:r>
    </w:p>
    <w:p w14:paraId="66C8E3C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8º</w:t>
      </w:r>
      <w:r w:rsidRPr="00BA4D46">
        <w:rPr>
          <w:rFonts w:ascii="Book Antiqua" w:eastAsia="Times New Roman" w:hAnsi="Book Antiqua" w:cs="Arial"/>
          <w:color w:val="000000"/>
          <w:spacing w:val="-15"/>
          <w:sz w:val="19"/>
          <w:szCs w:val="19"/>
          <w:lang w:eastAsia="pt-BR"/>
        </w:rPr>
        <w:t> </w:t>
      </w:r>
      <w:r w:rsidRPr="00BA4D46">
        <w:rPr>
          <w:rFonts w:ascii="Book Antiqua" w:eastAsia="Times New Roman" w:hAnsi="Book Antiqua" w:cs="Arial"/>
          <w:color w:val="000000"/>
          <w:spacing w:val="-4"/>
          <w:sz w:val="19"/>
          <w:szCs w:val="19"/>
          <w:lang w:eastAsia="pt-BR"/>
        </w:rPr>
        <w:t>E</w:t>
      </w:r>
      <w:r w:rsidRPr="00BA4D46">
        <w:rPr>
          <w:rFonts w:ascii="Book Antiqua" w:eastAsia="Times New Roman" w:hAnsi="Book Antiqua" w:cs="Arial"/>
          <w:color w:val="000000"/>
          <w:sz w:val="19"/>
          <w:szCs w:val="19"/>
          <w:lang w:eastAsia="pt-BR"/>
        </w:rPr>
        <w:t>m</w:t>
      </w:r>
      <w:r w:rsidRPr="00BA4D46">
        <w:rPr>
          <w:rFonts w:ascii="Book Antiqua" w:eastAsia="Times New Roman" w:hAnsi="Book Antiqua" w:cs="Arial"/>
          <w:color w:val="000000"/>
          <w:spacing w:val="-15"/>
          <w:sz w:val="19"/>
          <w:szCs w:val="19"/>
          <w:lang w:eastAsia="pt-BR"/>
        </w:rPr>
        <w:t> </w:t>
      </w:r>
      <w:r w:rsidRPr="00BA4D46">
        <w:rPr>
          <w:rFonts w:ascii="Book Antiqua" w:eastAsia="Times New Roman" w:hAnsi="Book Antiqua" w:cs="Arial"/>
          <w:color w:val="000000"/>
          <w:sz w:val="19"/>
          <w:szCs w:val="19"/>
          <w:lang w:eastAsia="pt-BR"/>
        </w:rPr>
        <w:t>caso</w:t>
      </w:r>
      <w:r w:rsidRPr="00BA4D46">
        <w:rPr>
          <w:rFonts w:ascii="Book Antiqua" w:eastAsia="Times New Roman" w:hAnsi="Book Antiqua" w:cs="Arial"/>
          <w:color w:val="000000"/>
          <w:spacing w:val="-17"/>
          <w:sz w:val="19"/>
          <w:szCs w:val="19"/>
          <w:lang w:eastAsia="pt-BR"/>
        </w:rPr>
        <w:t> </w:t>
      </w:r>
      <w:r w:rsidRPr="00BA4D46">
        <w:rPr>
          <w:rFonts w:ascii="Book Antiqua" w:eastAsia="Times New Roman" w:hAnsi="Book Antiqua" w:cs="Arial"/>
          <w:color w:val="000000"/>
          <w:sz w:val="19"/>
          <w:szCs w:val="19"/>
          <w:lang w:eastAsia="pt-BR"/>
        </w:rPr>
        <w:t>de</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4"/>
          <w:sz w:val="19"/>
          <w:szCs w:val="19"/>
          <w:lang w:eastAsia="pt-BR"/>
        </w:rPr>
        <w:t>e</w:t>
      </w:r>
      <w:r w:rsidRPr="00BA4D46">
        <w:rPr>
          <w:rFonts w:ascii="Book Antiqua" w:eastAsia="Times New Roman" w:hAnsi="Book Antiqua" w:cs="Arial"/>
          <w:color w:val="000000"/>
          <w:sz w:val="19"/>
          <w:szCs w:val="19"/>
          <w:lang w:eastAsia="pt-BR"/>
        </w:rPr>
        <w:t>scu</w:t>
      </w:r>
      <w:r w:rsidRPr="00BA4D46">
        <w:rPr>
          <w:rFonts w:ascii="Book Antiqua" w:eastAsia="Times New Roman" w:hAnsi="Book Antiqua" w:cs="Arial"/>
          <w:color w:val="000000"/>
          <w:spacing w:val="-2"/>
          <w:sz w:val="19"/>
          <w:szCs w:val="19"/>
          <w:lang w:eastAsia="pt-BR"/>
        </w:rPr>
        <w:t>m</w:t>
      </w:r>
      <w:r w:rsidRPr="00BA4D46">
        <w:rPr>
          <w:rFonts w:ascii="Book Antiqua" w:eastAsia="Times New Roman" w:hAnsi="Book Antiqua" w:cs="Arial"/>
          <w:color w:val="000000"/>
          <w:sz w:val="19"/>
          <w:szCs w:val="19"/>
          <w:lang w:eastAsia="pt-BR"/>
        </w:rPr>
        <w:t>primento</w:t>
      </w:r>
      <w:r w:rsidRPr="00BA4D46">
        <w:rPr>
          <w:rFonts w:ascii="Book Antiqua" w:eastAsia="Times New Roman" w:hAnsi="Book Antiqua" w:cs="Arial"/>
          <w:color w:val="000000"/>
          <w:spacing w:val="-16"/>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pacing w:val="-2"/>
          <w:sz w:val="19"/>
          <w:szCs w:val="19"/>
          <w:lang w:eastAsia="pt-BR"/>
        </w:rPr>
        <w:t>l</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17"/>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tes</w:t>
      </w:r>
      <w:r w:rsidRPr="00BA4D46">
        <w:rPr>
          <w:rFonts w:ascii="Book Antiqua" w:eastAsia="Times New Roman" w:hAnsi="Book Antiqua" w:cs="Arial"/>
          <w:color w:val="000000"/>
          <w:spacing w:val="-19"/>
          <w:sz w:val="19"/>
          <w:szCs w:val="19"/>
          <w:lang w:eastAsia="pt-BR"/>
        </w:rPr>
        <w:t> </w:t>
      </w:r>
      <w:r w:rsidRPr="00BA4D46">
        <w:rPr>
          <w:rFonts w:ascii="Book Antiqua" w:eastAsia="Times New Roman" w:hAnsi="Book Antiqua" w:cs="Arial"/>
          <w:color w:val="000000"/>
          <w:sz w:val="19"/>
          <w:szCs w:val="19"/>
          <w:lang w:eastAsia="pt-BR"/>
        </w:rPr>
        <w:t>fe</w:t>
      </w:r>
      <w:r w:rsidRPr="00BA4D46">
        <w:rPr>
          <w:rFonts w:ascii="Book Antiqua" w:eastAsia="Times New Roman" w:hAnsi="Book Antiqua" w:cs="Arial"/>
          <w:color w:val="000000"/>
          <w:spacing w:val="-4"/>
          <w:sz w:val="19"/>
          <w:szCs w:val="19"/>
          <w:lang w:eastAsia="pt-BR"/>
        </w:rPr>
        <w:t>d</w:t>
      </w:r>
      <w:r w:rsidRPr="00BA4D46">
        <w:rPr>
          <w:rFonts w:ascii="Book Antiqua" w:eastAsia="Times New Roman" w:hAnsi="Book Antiqua" w:cs="Arial"/>
          <w:color w:val="000000"/>
          <w:sz w:val="19"/>
          <w:szCs w:val="19"/>
          <w:lang w:eastAsia="pt-BR"/>
        </w:rPr>
        <w:t>erat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os</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da</w:t>
      </w:r>
      <w:r w:rsidRPr="00BA4D46">
        <w:rPr>
          <w:rFonts w:ascii="Book Antiqua" w:eastAsia="Times New Roman" w:hAnsi="Book Antiqua" w:cs="Arial"/>
          <w:color w:val="000000"/>
          <w:spacing w:val="-17"/>
          <w:sz w:val="19"/>
          <w:szCs w:val="19"/>
          <w:lang w:eastAsia="pt-BR"/>
        </w:rPr>
        <w:t> </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
          <w:sz w:val="19"/>
          <w:szCs w:val="19"/>
          <w:lang w:eastAsia="pt-BR"/>
        </w:rPr>
        <w:t>b</w:t>
      </w:r>
      <w:r w:rsidRPr="00BA4D46">
        <w:rPr>
          <w:rFonts w:ascii="Book Antiqua" w:eastAsia="Times New Roman" w:hAnsi="Book Antiqua" w:cs="Arial"/>
          <w:color w:val="000000"/>
          <w:sz w:val="19"/>
          <w:szCs w:val="19"/>
          <w:lang w:eastAsia="pt-BR"/>
        </w:rPr>
        <w:t>r</w:t>
      </w:r>
      <w:r w:rsidRPr="00BA4D46">
        <w:rPr>
          <w:rFonts w:ascii="Book Antiqua" w:eastAsia="Times New Roman" w:hAnsi="Book Antiqua" w:cs="Arial"/>
          <w:color w:val="000000"/>
          <w:spacing w:val="-4"/>
          <w:sz w:val="19"/>
          <w:szCs w:val="19"/>
          <w:lang w:eastAsia="pt-BR"/>
        </w:rPr>
        <w:t>i</w:t>
      </w:r>
      <w:r w:rsidRPr="00BA4D46">
        <w:rPr>
          <w:rFonts w:ascii="Book Antiqua" w:eastAsia="Times New Roman" w:hAnsi="Book Antiqua" w:cs="Arial"/>
          <w:color w:val="000000"/>
          <w:spacing w:val="1"/>
          <w:sz w:val="19"/>
          <w:szCs w:val="19"/>
          <w:lang w:eastAsia="pt-BR"/>
        </w:rPr>
        <w:t>g</w:t>
      </w:r>
      <w:r w:rsidRPr="00BA4D46">
        <w:rPr>
          <w:rFonts w:ascii="Book Antiqua" w:eastAsia="Times New Roman" w:hAnsi="Book Antiqua" w:cs="Arial"/>
          <w:color w:val="000000"/>
          <w:sz w:val="19"/>
          <w:szCs w:val="19"/>
          <w:lang w:eastAsia="pt-BR"/>
        </w:rPr>
        <w:t>aç</w:t>
      </w:r>
      <w:r w:rsidRPr="00BA4D46">
        <w:rPr>
          <w:rFonts w:ascii="Book Antiqua" w:eastAsia="Times New Roman" w:hAnsi="Book Antiqua" w:cs="Arial"/>
          <w:color w:val="000000"/>
          <w:spacing w:val="-4"/>
          <w:sz w:val="19"/>
          <w:szCs w:val="19"/>
          <w:lang w:eastAsia="pt-BR"/>
        </w:rPr>
        <w:t>ã</w:t>
      </w:r>
      <w:r w:rsidRPr="00BA4D46">
        <w:rPr>
          <w:rFonts w:ascii="Book Antiqua" w:eastAsia="Times New Roman" w:hAnsi="Book Antiqua" w:cs="Arial"/>
          <w:color w:val="000000"/>
          <w:sz w:val="19"/>
          <w:szCs w:val="19"/>
          <w:lang w:eastAsia="pt-BR"/>
        </w:rPr>
        <w:t>o de</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pacing w:val="1"/>
          <w:sz w:val="19"/>
          <w:szCs w:val="19"/>
          <w:lang w:eastAsia="pt-BR"/>
        </w:rPr>
        <w:t>q</w:t>
      </w:r>
      <w:r w:rsidRPr="00BA4D46">
        <w:rPr>
          <w:rFonts w:ascii="Book Antiqua" w:eastAsia="Times New Roman" w:hAnsi="Book Antiqua" w:cs="Arial"/>
          <w:color w:val="000000"/>
          <w:sz w:val="19"/>
          <w:szCs w:val="19"/>
          <w:lang w:eastAsia="pt-BR"/>
        </w:rPr>
        <w:t>ue</w:t>
      </w:r>
      <w:r w:rsidRPr="00BA4D46">
        <w:rPr>
          <w:rFonts w:ascii="Book Antiqua" w:eastAsia="Times New Roman" w:hAnsi="Book Antiqua" w:cs="Arial"/>
          <w:color w:val="000000"/>
          <w:spacing w:val="-17"/>
          <w:sz w:val="19"/>
          <w:szCs w:val="19"/>
          <w:lang w:eastAsia="pt-BR"/>
        </w:rPr>
        <w:t> </w:t>
      </w:r>
      <w:r w:rsidRPr="00BA4D46">
        <w:rPr>
          <w:rFonts w:ascii="Book Antiqua" w:eastAsia="Times New Roman" w:hAnsi="Book Antiqua" w:cs="Arial"/>
          <w:color w:val="000000"/>
          <w:sz w:val="19"/>
          <w:szCs w:val="19"/>
          <w:lang w:eastAsia="pt-BR"/>
        </w:rPr>
        <w:t>tr</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ta</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pacing w:val="-3"/>
          <w:sz w:val="19"/>
          <w:szCs w:val="19"/>
          <w:lang w:eastAsia="pt-BR"/>
        </w:rPr>
        <w:t>7</w:t>
      </w:r>
      <w:r w:rsidRPr="00BA4D46">
        <w:rPr>
          <w:rFonts w:ascii="Book Antiqua" w:eastAsia="Times New Roman" w:hAnsi="Book Antiqua" w:cs="Arial"/>
          <w:color w:val="000000"/>
          <w:spacing w:val="1"/>
          <w:sz w:val="19"/>
          <w:szCs w:val="19"/>
          <w:lang w:eastAsia="pt-BR"/>
        </w:rPr>
        <w:t>º deste artigo</w:t>
      </w:r>
      <w:r w:rsidRPr="00BA4D46">
        <w:rPr>
          <w:rFonts w:ascii="Book Antiqua" w:eastAsia="Times New Roman" w:hAnsi="Book Antiqua" w:cs="Arial"/>
          <w:color w:val="000000"/>
          <w:sz w:val="19"/>
          <w:szCs w:val="19"/>
          <w:lang w:eastAsia="pt-BR"/>
        </w:rPr>
        <w:t>,</w:t>
      </w:r>
      <w:r w:rsidRPr="00BA4D46">
        <w:rPr>
          <w:rFonts w:ascii="Book Antiqua" w:eastAsia="Times New Roman" w:hAnsi="Book Antiqua" w:cs="Arial"/>
          <w:color w:val="000000"/>
          <w:spacing w:val="-13"/>
          <w:sz w:val="19"/>
          <w:szCs w:val="19"/>
          <w:lang w:eastAsia="pt-BR"/>
        </w:rPr>
        <w:t> </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1"/>
          <w:sz w:val="19"/>
          <w:szCs w:val="19"/>
          <w:lang w:eastAsia="pt-BR"/>
        </w:rPr>
        <w:t>ã</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pacing w:val="-3"/>
          <w:sz w:val="19"/>
          <w:szCs w:val="19"/>
          <w:lang w:eastAsia="pt-BR"/>
        </w:rPr>
        <w:t>p</w:t>
      </w:r>
      <w:r w:rsidRPr="00BA4D46">
        <w:rPr>
          <w:rFonts w:ascii="Book Antiqua" w:eastAsia="Times New Roman" w:hAnsi="Book Antiqua" w:cs="Arial"/>
          <w:color w:val="000000"/>
          <w:sz w:val="19"/>
          <w:szCs w:val="19"/>
          <w:lang w:eastAsia="pt-BR"/>
        </w:rPr>
        <w:t>o</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erão</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ser</w:t>
      </w:r>
      <w:r w:rsidRPr="00BA4D46">
        <w:rPr>
          <w:rFonts w:ascii="Book Antiqua" w:eastAsia="Times New Roman" w:hAnsi="Book Antiqua" w:cs="Arial"/>
          <w:color w:val="000000"/>
          <w:spacing w:val="-13"/>
          <w:sz w:val="19"/>
          <w:szCs w:val="19"/>
          <w:lang w:eastAsia="pt-BR"/>
        </w:rPr>
        <w:t> </w:t>
      </w:r>
      <w:r w:rsidRPr="00BA4D46">
        <w:rPr>
          <w:rFonts w:ascii="Book Antiqua" w:eastAsia="Times New Roman" w:hAnsi="Book Antiqua" w:cs="Arial"/>
          <w:color w:val="000000"/>
          <w:sz w:val="19"/>
          <w:szCs w:val="19"/>
          <w:lang w:eastAsia="pt-BR"/>
        </w:rPr>
        <w:t>p</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n</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pacing w:val="-2"/>
          <w:sz w:val="19"/>
          <w:szCs w:val="19"/>
          <w:lang w:eastAsia="pt-BR"/>
        </w:rPr>
        <w:t>li</w:t>
      </w:r>
      <w:r w:rsidRPr="00BA4D46">
        <w:rPr>
          <w:rFonts w:ascii="Book Antiqua" w:eastAsia="Times New Roman" w:hAnsi="Book Antiqua" w:cs="Arial"/>
          <w:color w:val="000000"/>
          <w:spacing w:val="-3"/>
          <w:sz w:val="19"/>
          <w:szCs w:val="19"/>
          <w:lang w:eastAsia="pt-BR"/>
        </w:rPr>
        <w:t>z</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z w:val="19"/>
          <w:szCs w:val="19"/>
          <w:lang w:eastAsia="pt-BR"/>
        </w:rPr>
        <w:t>t</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a</w:t>
      </w:r>
      <w:r w:rsidRPr="00BA4D46">
        <w:rPr>
          <w:rFonts w:ascii="Book Antiqua" w:eastAsia="Times New Roman" w:hAnsi="Book Antiqua" w:cs="Arial"/>
          <w:color w:val="000000"/>
          <w:sz w:val="19"/>
          <w:szCs w:val="19"/>
          <w:lang w:eastAsia="pt-BR"/>
        </w:rPr>
        <w:t>d</w:t>
      </w:r>
      <w:r w:rsidRPr="00BA4D46">
        <w:rPr>
          <w:rFonts w:ascii="Book Antiqua" w:eastAsia="Times New Roman" w:hAnsi="Book Antiqua" w:cs="Arial"/>
          <w:color w:val="000000"/>
          <w:spacing w:val="-1"/>
          <w:sz w:val="19"/>
          <w:szCs w:val="19"/>
          <w:lang w:eastAsia="pt-BR"/>
        </w:rPr>
        <w:t>e</w:t>
      </w:r>
      <w:r w:rsidRPr="00BA4D46">
        <w:rPr>
          <w:rFonts w:ascii="Book Antiqua" w:eastAsia="Times New Roman" w:hAnsi="Book Antiqua" w:cs="Arial"/>
          <w:color w:val="000000"/>
          <w:sz w:val="19"/>
          <w:szCs w:val="19"/>
          <w:lang w:eastAsia="pt-BR"/>
        </w:rPr>
        <w:t>s</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co</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3"/>
          <w:sz w:val="19"/>
          <w:szCs w:val="19"/>
          <w:lang w:eastAsia="pt-BR"/>
        </w:rPr>
        <w:t>v</w:t>
      </w:r>
      <w:r w:rsidRPr="00BA4D46">
        <w:rPr>
          <w:rFonts w:ascii="Book Antiqua" w:eastAsia="Times New Roman" w:hAnsi="Book Antiqua" w:cs="Arial"/>
          <w:color w:val="000000"/>
          <w:sz w:val="19"/>
          <w:szCs w:val="19"/>
          <w:lang w:eastAsia="pt-BR"/>
        </w:rPr>
        <w:t>e</w:t>
      </w:r>
      <w:r w:rsidRPr="00BA4D46">
        <w:rPr>
          <w:rFonts w:ascii="Book Antiqua" w:eastAsia="Times New Roman" w:hAnsi="Book Antiqua" w:cs="Arial"/>
          <w:color w:val="000000"/>
          <w:spacing w:val="-1"/>
          <w:sz w:val="19"/>
          <w:szCs w:val="19"/>
          <w:lang w:eastAsia="pt-BR"/>
        </w:rPr>
        <w:t>n</w:t>
      </w:r>
      <w:r w:rsidRPr="00BA4D46">
        <w:rPr>
          <w:rFonts w:ascii="Book Antiqua" w:eastAsia="Times New Roman" w:hAnsi="Book Antiqua" w:cs="Arial"/>
          <w:color w:val="000000"/>
          <w:spacing w:val="-2"/>
          <w:sz w:val="19"/>
          <w:szCs w:val="19"/>
          <w:lang w:eastAsia="pt-BR"/>
        </w:rPr>
        <w:t>i</w:t>
      </w:r>
      <w:r w:rsidRPr="00BA4D46">
        <w:rPr>
          <w:rFonts w:ascii="Book Antiqua" w:eastAsia="Times New Roman" w:hAnsi="Book Antiqua" w:cs="Arial"/>
          <w:color w:val="000000"/>
          <w:sz w:val="19"/>
          <w:szCs w:val="19"/>
          <w:lang w:eastAsia="pt-BR"/>
        </w:rPr>
        <w:t>a</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as</w:t>
      </w:r>
      <w:r w:rsidRPr="00BA4D46">
        <w:rPr>
          <w:rFonts w:ascii="Book Antiqua" w:eastAsia="Times New Roman" w:hAnsi="Book Antiqua" w:cs="Arial"/>
          <w:color w:val="000000"/>
          <w:spacing w:val="-14"/>
          <w:sz w:val="19"/>
          <w:szCs w:val="19"/>
          <w:lang w:eastAsia="pt-BR"/>
        </w:rPr>
        <w:t> </w:t>
      </w:r>
      <w:r w:rsidRPr="00BA4D46">
        <w:rPr>
          <w:rFonts w:ascii="Book Antiqua" w:eastAsia="Times New Roman" w:hAnsi="Book Antiqua" w:cs="Arial"/>
          <w:color w:val="000000"/>
          <w:sz w:val="19"/>
          <w:szCs w:val="19"/>
          <w:lang w:eastAsia="pt-BR"/>
        </w:rPr>
        <w:t>com</w:t>
      </w:r>
      <w:r w:rsidRPr="00BA4D46">
        <w:rPr>
          <w:rFonts w:ascii="Book Antiqua" w:eastAsia="Times New Roman" w:hAnsi="Book Antiqua" w:cs="Arial"/>
          <w:color w:val="000000"/>
          <w:spacing w:val="-13"/>
          <w:sz w:val="19"/>
          <w:szCs w:val="19"/>
          <w:lang w:eastAsia="pt-BR"/>
        </w:rPr>
        <w:t> </w:t>
      </w:r>
      <w:r w:rsidRPr="00BA4D46">
        <w:rPr>
          <w:rFonts w:ascii="Book Antiqua" w:eastAsia="Times New Roman" w:hAnsi="Book Antiqua" w:cs="Arial"/>
          <w:color w:val="000000"/>
          <w:sz w:val="19"/>
          <w:szCs w:val="19"/>
          <w:lang w:eastAsia="pt-BR"/>
        </w:rPr>
        <w:t>atu</w:t>
      </w:r>
      <w:r w:rsidRPr="00BA4D46">
        <w:rPr>
          <w:rFonts w:ascii="Book Antiqua" w:eastAsia="Times New Roman" w:hAnsi="Book Antiqua" w:cs="Arial"/>
          <w:color w:val="000000"/>
          <w:spacing w:val="-3"/>
          <w:sz w:val="19"/>
          <w:szCs w:val="19"/>
          <w:lang w:eastAsia="pt-BR"/>
        </w:rPr>
        <w:t>a</w:t>
      </w:r>
      <w:r w:rsidRPr="00BA4D46">
        <w:rPr>
          <w:rFonts w:ascii="Book Antiqua" w:eastAsia="Times New Roman" w:hAnsi="Book Antiqua" w:cs="Arial"/>
          <w:color w:val="000000"/>
          <w:sz w:val="19"/>
          <w:szCs w:val="19"/>
          <w:lang w:eastAsia="pt-BR"/>
        </w:rPr>
        <w:t>ç</w:t>
      </w:r>
      <w:r w:rsidRPr="00BA4D46">
        <w:rPr>
          <w:rFonts w:ascii="Book Antiqua" w:eastAsia="Times New Roman" w:hAnsi="Book Antiqua" w:cs="Arial"/>
          <w:color w:val="000000"/>
          <w:spacing w:val="-3"/>
          <w:sz w:val="19"/>
          <w:szCs w:val="19"/>
          <w:lang w:eastAsia="pt-BR"/>
        </w:rPr>
        <w:t>ã</w:t>
      </w:r>
      <w:r w:rsidRPr="00BA4D46">
        <w:rPr>
          <w:rFonts w:ascii="Book Antiqua" w:eastAsia="Times New Roman" w:hAnsi="Book Antiqua" w:cs="Arial"/>
          <w:color w:val="000000"/>
          <w:sz w:val="19"/>
          <w:szCs w:val="19"/>
          <w:lang w:eastAsia="pt-BR"/>
        </w:rPr>
        <w:t>o na área</w:t>
      </w:r>
      <w:r w:rsidRPr="00BA4D46">
        <w:rPr>
          <w:rFonts w:ascii="Book Antiqua" w:eastAsia="Times New Roman" w:hAnsi="Book Antiqua" w:cs="Arial"/>
          <w:color w:val="000000"/>
          <w:spacing w:val="-2"/>
          <w:sz w:val="19"/>
          <w:szCs w:val="19"/>
          <w:lang w:eastAsia="pt-BR"/>
        </w:rPr>
        <w:t> </w:t>
      </w:r>
      <w:r w:rsidRPr="00BA4D46">
        <w:rPr>
          <w:rFonts w:ascii="Book Antiqua" w:eastAsia="Times New Roman" w:hAnsi="Book Antiqua" w:cs="Arial"/>
          <w:color w:val="000000"/>
          <w:sz w:val="19"/>
          <w:szCs w:val="19"/>
          <w:lang w:eastAsia="pt-BR"/>
        </w:rPr>
        <w:t>da e</w:t>
      </w:r>
      <w:r w:rsidRPr="00BA4D46">
        <w:rPr>
          <w:rFonts w:ascii="Book Antiqua" w:eastAsia="Times New Roman" w:hAnsi="Book Antiqua" w:cs="Arial"/>
          <w:color w:val="000000"/>
          <w:spacing w:val="-1"/>
          <w:sz w:val="19"/>
          <w:szCs w:val="19"/>
          <w:lang w:eastAsia="pt-BR"/>
        </w:rPr>
        <w:t>d</w:t>
      </w:r>
      <w:r w:rsidRPr="00BA4D46">
        <w:rPr>
          <w:rFonts w:ascii="Book Antiqua" w:eastAsia="Times New Roman" w:hAnsi="Book Antiqua" w:cs="Arial"/>
          <w:color w:val="000000"/>
          <w:sz w:val="19"/>
          <w:szCs w:val="19"/>
          <w:lang w:eastAsia="pt-BR"/>
        </w:rPr>
        <w:t>uc</w:t>
      </w:r>
      <w:r w:rsidRPr="00BA4D46">
        <w:rPr>
          <w:rFonts w:ascii="Book Antiqua" w:eastAsia="Times New Roman" w:hAnsi="Book Antiqua" w:cs="Arial"/>
          <w:color w:val="000000"/>
          <w:spacing w:val="-4"/>
          <w:sz w:val="19"/>
          <w:szCs w:val="19"/>
          <w:lang w:eastAsia="pt-BR"/>
        </w:rPr>
        <w:t>a</w:t>
      </w:r>
      <w:r w:rsidRPr="00BA4D46">
        <w:rPr>
          <w:rFonts w:ascii="Book Antiqua" w:eastAsia="Times New Roman" w:hAnsi="Book Antiqua" w:cs="Arial"/>
          <w:color w:val="000000"/>
          <w:sz w:val="19"/>
          <w:szCs w:val="19"/>
          <w:lang w:eastAsia="pt-BR"/>
        </w:rPr>
        <w:t>çã</w:t>
      </w:r>
      <w:r w:rsidRPr="00BA4D46">
        <w:rPr>
          <w:rFonts w:ascii="Book Antiqua" w:eastAsia="Times New Roman" w:hAnsi="Book Antiqua" w:cs="Arial"/>
          <w:color w:val="000000"/>
          <w:spacing w:val="-1"/>
          <w:sz w:val="19"/>
          <w:szCs w:val="19"/>
          <w:lang w:eastAsia="pt-BR"/>
        </w:rPr>
        <w:t>o</w:t>
      </w:r>
      <w:r w:rsidRPr="00BA4D46">
        <w:rPr>
          <w:rFonts w:ascii="Book Antiqua" w:eastAsia="Times New Roman" w:hAnsi="Book Antiqua" w:cs="Arial"/>
          <w:color w:val="000000"/>
          <w:sz w:val="19"/>
          <w:szCs w:val="19"/>
          <w:lang w:eastAsia="pt-BR"/>
        </w:rPr>
        <w:t>.</w:t>
      </w:r>
    </w:p>
    <w:p w14:paraId="43D6D1F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21"/>
      <w:bookmarkEnd w:id="19"/>
      <w:r w:rsidRPr="00BA4D46">
        <w:rPr>
          <w:rFonts w:ascii="Book Antiqua" w:eastAsia="Times New Roman" w:hAnsi="Book Antiqua" w:cs="Arial"/>
          <w:color w:val="000000"/>
          <w:sz w:val="19"/>
          <w:szCs w:val="19"/>
          <w:lang w:eastAsia="pt-BR"/>
        </w:rPr>
        <w:t>Art. 21. As entidades que atuam na educação superior e que aderiram ao Programa Universidade para Todos (Prouni), na forma do caput do </w:t>
      </w:r>
      <w:hyperlink r:id="rId16" w:anchor="art11" w:history="1">
        <w:r w:rsidRPr="00BA4D46">
          <w:rPr>
            <w:rFonts w:ascii="Book Antiqua" w:eastAsia="Times New Roman" w:hAnsi="Book Antiqua" w:cs="Arial"/>
            <w:color w:val="0000FF"/>
            <w:sz w:val="19"/>
            <w:szCs w:val="19"/>
            <w:u w:val="single"/>
            <w:lang w:eastAsia="pt-BR"/>
          </w:rPr>
          <w:t xml:space="preserve">art. 11 da Lei nº 11.096, de 13 de janeiro de </w:t>
        </w:r>
        <w:r w:rsidRPr="00BA4D46">
          <w:rPr>
            <w:rFonts w:ascii="Book Antiqua" w:eastAsia="Times New Roman" w:hAnsi="Book Antiqua" w:cs="Arial"/>
            <w:color w:val="0000FF"/>
            <w:sz w:val="19"/>
            <w:szCs w:val="19"/>
            <w:u w:val="single"/>
            <w:lang w:eastAsia="pt-BR"/>
          </w:rPr>
          <w:lastRenderedPageBreak/>
          <w:t>2005</w:t>
        </w:r>
      </w:hyperlink>
      <w:r w:rsidRPr="00BA4D46">
        <w:rPr>
          <w:rFonts w:ascii="Book Antiqua" w:eastAsia="Times New Roman" w:hAnsi="Book Antiqua" w:cs="Arial"/>
          <w:color w:val="000000"/>
          <w:sz w:val="19"/>
          <w:szCs w:val="19"/>
          <w:lang w:eastAsia="pt-BR"/>
        </w:rPr>
        <w:t>, deverão atender às condições previstas no caput e nos §§ 1º, 2º e 5º do art. 20 desta Lei Complementar.</w:t>
      </w:r>
    </w:p>
    <w:p w14:paraId="23428D1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As entidades que atuam concomitantemente na educação básica e na educação superior com adesão ao Prouni deverão cumprir os requisitos exigidos para cada nível de educação, inclusive quanto à complementação eventual da gratuidade por meio da concessão de bolsas de estudo parciais de 50% (cinquenta por cento) e de benefícios.</w:t>
      </w:r>
    </w:p>
    <w:p w14:paraId="4B2B44F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Somente serão aceitas no âmbito da educação superior bolsas de estudo vinculadas ao Prouni, salvo as bolsas integrais ou parciais de 50% (cinquenta por cento) para pós-graduação stricto sensu e as estabelecidas nos termos do § 6º do art. 20 desta Lei Complementar.</w:t>
      </w:r>
    </w:p>
    <w:p w14:paraId="56022FA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Excepcionalmente, serão aceitas como gratuidade, no âmbito da educação superior, as bolsas de estudo integrais ou parciais de 50% (cinquenta por cento) oferecidas sem vínculo com o Prouni aos alunos enquadrados nos limites de renda familiar bruta mensal per capita de que tratam os incisos I e II do § 1º do art. 19 desta Lei Complementar, desde que a entidade tenha cumprido a proporção de 1 (uma) bolsa de estudo integral para cada 9 (nove) alunos pagantes no Prouni e tenha ofertado bolsas no âmbito do Prouni que não tenham sido preenchidas.</w:t>
      </w:r>
    </w:p>
    <w:p w14:paraId="2CEB8ED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22"/>
      <w:bookmarkEnd w:id="20"/>
      <w:r w:rsidRPr="00BA4D46">
        <w:rPr>
          <w:rFonts w:ascii="Book Antiqua" w:eastAsia="Times New Roman" w:hAnsi="Book Antiqua" w:cs="Arial"/>
          <w:color w:val="000000"/>
          <w:sz w:val="19"/>
          <w:szCs w:val="19"/>
          <w:lang w:eastAsia="pt-BR"/>
        </w:rPr>
        <w:t>Art. 22. As entidades que atuam na educação superior e que não tenham aderido ao Prouni na forma do </w:t>
      </w:r>
      <w:hyperlink r:id="rId17" w:anchor="art10" w:history="1">
        <w:r w:rsidRPr="00BA4D46">
          <w:rPr>
            <w:rFonts w:ascii="Book Antiqua" w:eastAsia="Times New Roman" w:hAnsi="Book Antiqua" w:cs="Arial"/>
            <w:color w:val="0000FF"/>
            <w:sz w:val="19"/>
            <w:szCs w:val="19"/>
            <w:u w:val="single"/>
            <w:lang w:eastAsia="pt-BR"/>
          </w:rPr>
          <w:t>art. 10 da Lei nº 11.096, de 13 de janeiro de 200</w:t>
        </w:r>
      </w:hyperlink>
      <w:r w:rsidRPr="00BA4D46">
        <w:rPr>
          <w:rFonts w:ascii="Book Antiqua" w:eastAsia="Times New Roman" w:hAnsi="Book Antiqua" w:cs="Arial"/>
          <w:color w:val="000000"/>
          <w:sz w:val="19"/>
          <w:szCs w:val="19"/>
          <w:lang w:eastAsia="pt-BR"/>
        </w:rPr>
        <w:t>5, deverão conceder anualmente bolsas de estudo na proporção de 1 (uma) bolsa de estudo integral para cada 4 (quatro) alunos pagantes.</w:t>
      </w:r>
    </w:p>
    <w:p w14:paraId="63D367C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Para o cumprimento da proporção descrita no caput</w:t>
      </w:r>
      <w:r w:rsidRPr="00BA4D46">
        <w:rPr>
          <w:rFonts w:ascii="Book Antiqua" w:eastAsia="Times New Roman" w:hAnsi="Book Antiqua" w:cs="Arial"/>
          <w:i/>
          <w:iCs/>
          <w:color w:val="000000"/>
          <w:sz w:val="19"/>
          <w:szCs w:val="19"/>
          <w:lang w:eastAsia="pt-BR"/>
        </w:rPr>
        <w:t> </w:t>
      </w:r>
      <w:r w:rsidRPr="00BA4D46">
        <w:rPr>
          <w:rFonts w:ascii="Book Antiqua" w:eastAsia="Times New Roman" w:hAnsi="Book Antiqua" w:cs="Arial"/>
          <w:color w:val="000000"/>
          <w:sz w:val="19"/>
          <w:szCs w:val="19"/>
          <w:lang w:eastAsia="pt-BR"/>
        </w:rPr>
        <w:t>deste artigo, a entidade poderá oferecer bolsas de estudo parciais, desde que conceda:</w:t>
      </w:r>
    </w:p>
    <w:p w14:paraId="40422F4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no mínimo, 1 (uma) bolsa de estudo integral para cada 9 (nove) alunos pagantes; e</w:t>
      </w:r>
    </w:p>
    <w:p w14:paraId="461D017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bolsas de estudo parciais de 50% (cinquenta por cento), quando necessário para o alcance do número mínimo exigido, mantida a equivalência de 2 (duas) bolsas de estudo parciais para cada 1 (uma) bolsa de estudo integral.</w:t>
      </w:r>
    </w:p>
    <w:p w14:paraId="61CE65C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Será facultado à entidade substituir até 25% (vinte e cinco por cento) da quantidade das bolsas de estudo definida no caput e no § 1º deste artigo por benefícios concedidos nos termos do art. 19 desta Lei Complementar.</w:t>
      </w:r>
    </w:p>
    <w:p w14:paraId="4622A56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Sem prejuízo do cumprimento das proporções estabelecidas no inciso II do § 1º deste artigo, a entidade de educação deverá ofertar, em cada uma de suas instituições de ensino superior, no mínimo, 1 (uma) bolsa integral para cada 25 (vinte e cinco) alunos pagantes.</w:t>
      </w:r>
    </w:p>
    <w:p w14:paraId="3A30702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A entidade deverá ofertar bolsa integral em todos os cursos de todas as instituições de ensino superior por ela mantidos e poderá, nos termos do § 6º do art. 20 desta Lei Complementar, considerar como bolsistas os trabalhadores da própria instituição e os dependentes destes em decorrência de convenção coletiva ou de acordo coletivo de trabalho, até o limite de 20% (vinte por cento) da proporção definida no caput e nos incisos I e II do § 1º deste artigo.</w:t>
      </w:r>
    </w:p>
    <w:p w14:paraId="6F4A8AA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As entidades que atuam concomitantemente na educação básica e na educação superior sem ter aderido ao Prouni deverão cumprir os requisitos exigidos de maneira segregada, por nível de educação, inclusive quanto à eventual complementação da gratuidade por meio da concessão de bolsas de estudo parciais de 50% (cinquenta por cento) e de benefícios.</w:t>
      </w:r>
    </w:p>
    <w:p w14:paraId="19B66C1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6º Para os fins do disposto neste artigo, somente serão computadas as bolsas de estudo concedidas em cursos regulares de graduação ou sequenciais de formação específica.</w:t>
      </w:r>
    </w:p>
    <w:p w14:paraId="065D30A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23"/>
      <w:bookmarkEnd w:id="21"/>
      <w:r w:rsidRPr="00BA4D46">
        <w:rPr>
          <w:rFonts w:ascii="Book Antiqua" w:eastAsia="Times New Roman" w:hAnsi="Book Antiqua" w:cs="Arial"/>
          <w:color w:val="000000"/>
          <w:sz w:val="19"/>
          <w:szCs w:val="19"/>
          <w:lang w:eastAsia="pt-BR"/>
        </w:rPr>
        <w:t>Art. 23. A entidade que atua na oferta da educação profissional em consonância com as </w:t>
      </w:r>
      <w:hyperlink r:id="rId18" w:history="1">
        <w:r w:rsidRPr="00BA4D46">
          <w:rPr>
            <w:rFonts w:ascii="Book Antiqua" w:eastAsia="Times New Roman" w:hAnsi="Book Antiqua" w:cs="Arial"/>
            <w:color w:val="0000FF"/>
            <w:sz w:val="19"/>
            <w:szCs w:val="19"/>
            <w:u w:val="single"/>
            <w:lang w:eastAsia="pt-BR"/>
          </w:rPr>
          <w:t>Leis nºs 9.394, de 20 de dezembro de 1996</w:t>
        </w:r>
      </w:hyperlink>
      <w:r w:rsidRPr="00BA4D46">
        <w:rPr>
          <w:rFonts w:ascii="Book Antiqua" w:eastAsia="Times New Roman" w:hAnsi="Book Antiqua" w:cs="Arial"/>
          <w:color w:val="000000"/>
          <w:sz w:val="19"/>
          <w:szCs w:val="19"/>
          <w:lang w:eastAsia="pt-BR"/>
        </w:rPr>
        <w:t>, e </w:t>
      </w:r>
      <w:hyperlink r:id="rId19" w:history="1">
        <w:r w:rsidRPr="00BA4D46">
          <w:rPr>
            <w:rFonts w:ascii="Book Antiqua" w:eastAsia="Times New Roman" w:hAnsi="Book Antiqua" w:cs="Arial"/>
            <w:color w:val="0000FF"/>
            <w:sz w:val="19"/>
            <w:szCs w:val="19"/>
            <w:u w:val="single"/>
            <w:lang w:eastAsia="pt-BR"/>
          </w:rPr>
          <w:t>12.513, de 26 de outubro de 2011</w:t>
        </w:r>
      </w:hyperlink>
      <w:r w:rsidRPr="00BA4D46">
        <w:rPr>
          <w:rFonts w:ascii="Book Antiqua" w:eastAsia="Times New Roman" w:hAnsi="Book Antiqua" w:cs="Arial"/>
          <w:color w:val="000000"/>
          <w:sz w:val="19"/>
          <w:szCs w:val="19"/>
          <w:lang w:eastAsia="pt-BR"/>
        </w:rPr>
        <w:t>, deverá atender às proporções previstas no caput e nos §§ 1º, 2º e 5º do art. 20 desta Lei Complementar na educação profissional.</w:t>
      </w:r>
    </w:p>
    <w:p w14:paraId="40214EE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Parágrafo único. É permitido ao estudante acumular bolsas de estudo na educação profissional técnica de nível médio e ser contabilizado em ambas para fins de apuração das proporções exigidas nesta Seção.</w:t>
      </w:r>
    </w:p>
    <w:p w14:paraId="58DC45D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4"/>
      <w:bookmarkEnd w:id="22"/>
      <w:r w:rsidRPr="00BA4D46">
        <w:rPr>
          <w:rFonts w:ascii="Book Antiqua" w:eastAsia="Times New Roman" w:hAnsi="Book Antiqua" w:cs="Arial"/>
          <w:color w:val="000000"/>
          <w:sz w:val="19"/>
          <w:szCs w:val="19"/>
          <w:lang w:eastAsia="pt-BR"/>
        </w:rPr>
        <w:t>Art. 24. Considera-se alunos pagantes, para fins de aplicação das proporções previstas nos arts. 20, 21, 22 e 23 desta Lei Complementar, o total de alunos matriculados, excluídos os beneficiados com bolsas de estudo integrais nos termos do inciso I do § 1º do art. 20 e com outras bolsas integrais concedidas pela entidade.</w:t>
      </w:r>
    </w:p>
    <w:p w14:paraId="157007C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Na aplicação das proporções previstas nos arts. 21 e 22 desta Lei Complementar, serão considerados os alunos pagantes, incluídos os beneficiários de bolsas de estudo de que trata esta Lei Complementar, matriculados em cursos regulares de graduação ou sequenciais de formação específica.</w:t>
      </w:r>
    </w:p>
    <w:p w14:paraId="05E5FE8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Não se consideram alunos pagantes os inadimplentes por período superior a 90 (noventa) dias cujas matrículas tenham sido recusadas no período letivo imediatamente subsequente ao inadimplemento.</w:t>
      </w:r>
    </w:p>
    <w:p w14:paraId="6362809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25"/>
      <w:bookmarkEnd w:id="23"/>
      <w:r w:rsidRPr="00BA4D46">
        <w:rPr>
          <w:rFonts w:ascii="Book Antiqua" w:eastAsia="Times New Roman" w:hAnsi="Book Antiqua" w:cs="Arial"/>
          <w:color w:val="000000"/>
          <w:sz w:val="19"/>
          <w:szCs w:val="19"/>
          <w:lang w:eastAsia="pt-BR"/>
        </w:rPr>
        <w:t>Art. 25. Para os efeitos desta Lei Complementar, a bolsa de estudo refere-se às semestralidades ou às anuidades escolares fixadas na forma da lei, considerados todos os descontos aplicados pela instituição, regulares ou temporários, de caráter coletivo ou decorrentes de convênios com instituições públicas ou privadas, incluídos os descontos concedidos devido ao seu pagamento pontual, respeitada a proporcionalidade da carga horária, vedados a cobrança de taxas de qualquer natureza e o cômputo de custeio de material didático eventualmente oferecido em caráter gratuito ao aluno beneficiado exclusivamente com bolsa de estudo integral.</w:t>
      </w:r>
    </w:p>
    <w:p w14:paraId="54EB40B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As entidades que atuam na área de educação devem registrar e divulgar em sua contabilidade, atendidas as normas brasileiras de contabilidade, de modo segregado, as bolsas de estudo e os benefícios concedidos, bem como evidenciar em suas Notas Explicativas o atendimento às proporções referidas nesta Seção.</w:t>
      </w:r>
    </w:p>
    <w:p w14:paraId="601ED15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Para fins de aferição dos requisitos desta Seção, será considerado o número total de alunos matriculados no último mês de cada período letivo.</w:t>
      </w:r>
    </w:p>
    <w:p w14:paraId="19512802"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(VETADO).</w:t>
      </w:r>
    </w:p>
    <w:p w14:paraId="597899C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26"/>
      <w:bookmarkEnd w:id="24"/>
      <w:r w:rsidRPr="00BA4D46">
        <w:rPr>
          <w:rFonts w:ascii="Book Antiqua" w:eastAsia="Times New Roman" w:hAnsi="Book Antiqua" w:cs="Arial"/>
          <w:color w:val="000000"/>
          <w:sz w:val="19"/>
          <w:szCs w:val="19"/>
          <w:lang w:eastAsia="pt-BR"/>
        </w:rPr>
        <w:t>Art. 26. Os alunos beneficiários das bolsas de estudo de que trata esta Lei Complementar, ou seus pais ou responsáveis, quando for o caso, respondem legalmente pela veracidade e pela autenticidade das informações por eles prestadas, e as informações prestadas pelas instituições de ensino superior (IES) acerca dos beneficiários em qualquer âmbito devem respeitar os limites estabelecidos pela </w:t>
      </w:r>
      <w:hyperlink r:id="rId20" w:history="1">
        <w:r w:rsidRPr="00BA4D46">
          <w:rPr>
            <w:rFonts w:ascii="Book Antiqua" w:eastAsia="Times New Roman" w:hAnsi="Book Antiqua" w:cs="Arial"/>
            <w:color w:val="0000FF"/>
            <w:sz w:val="19"/>
            <w:szCs w:val="19"/>
            <w:u w:val="single"/>
            <w:lang w:eastAsia="pt-BR"/>
          </w:rPr>
          <w:t>Lei nº 13.709, de 14 de agosto de 2018</w:t>
        </w:r>
      </w:hyperlink>
      <w:r w:rsidRPr="00BA4D46">
        <w:rPr>
          <w:rFonts w:ascii="Book Antiqua" w:eastAsia="Times New Roman" w:hAnsi="Book Antiqua" w:cs="Arial"/>
          <w:color w:val="000000"/>
          <w:sz w:val="19"/>
          <w:szCs w:val="19"/>
          <w:lang w:eastAsia="pt-BR"/>
        </w:rPr>
        <w:t>.</w:t>
      </w:r>
    </w:p>
    <w:p w14:paraId="02B1862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Compete à entidade que atua na área de educação confirmar o atendimento, pelo candidato, do perfil socioeconômico de que trata esta Lei Complementar.</w:t>
      </w:r>
    </w:p>
    <w:p w14:paraId="6F75160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As bolsas de estudo poderão ser canceladas a qualquer tempo em caso de constatação de falsidade da informação prestada pelo bolsista ou por seus pais ou seu responsável, ou de inidoneidade de documento apresentado, sem prejuízo das demais sanções cíveis e penais cabíveis, sem que o ato do cancelamento resulte em prejuízo à entidade beneficente concedente, inclusive na apuração das proporções exigidas nesta Seção, salvo se comprovada negligência ou má-fé da entidade beneficente.</w:t>
      </w:r>
    </w:p>
    <w:p w14:paraId="79DA244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Os estudantes a serem beneficiados pelas bolsas de estudo para os cursos superiores poderão ser pré-selecionados pelos resultados do Exame Nacional do Ensino Médio (Enem).</w:t>
      </w:r>
    </w:p>
    <w:p w14:paraId="40AE37D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É vedado ao estudante acumular bolsas de estudo concedidas por entidades em gozo da imunidade na forma desta Lei Complementar, salvo no que se refere ao disposto no parágrafo único do art. 23 desta Lei Complementar.</w:t>
      </w:r>
    </w:p>
    <w:p w14:paraId="76A22087"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 5º As bolsas de estudo integrais e parciais com 50% (cinquenta por cento) de gratuidade concedidas pelas entidades antes da vigência desta Lei Complementar, nos casos em que a renda familiar bruta mensal per capita do bolsista não exceda os parâmetros de que trata o § 1º do art. 19 desta Lei Complementar, poderão ser mantidas e consideradas até a conclusão do ensino médio, para a educação básica, e até a conclusão do curso superior, para a educação superior.</w:t>
      </w:r>
    </w:p>
    <w:p w14:paraId="44C6D5E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27"/>
      <w:bookmarkEnd w:id="25"/>
      <w:r w:rsidRPr="00BA4D46">
        <w:rPr>
          <w:rFonts w:ascii="Book Antiqua" w:eastAsia="Times New Roman" w:hAnsi="Book Antiqua" w:cs="Arial"/>
          <w:color w:val="000000"/>
          <w:sz w:val="19"/>
          <w:szCs w:val="19"/>
          <w:lang w:eastAsia="pt-BR"/>
        </w:rPr>
        <w:t>Art. 27. É vedada qualquer discriminação ou diferença de tratamento entre alunos bolsistas e pagantes.</w:t>
      </w:r>
    </w:p>
    <w:p w14:paraId="1B09BAB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28"/>
      <w:bookmarkEnd w:id="26"/>
      <w:r w:rsidRPr="00BA4D46">
        <w:rPr>
          <w:rFonts w:ascii="Book Antiqua" w:eastAsia="Times New Roman" w:hAnsi="Book Antiqua" w:cs="Arial"/>
          <w:color w:val="000000"/>
          <w:sz w:val="19"/>
          <w:szCs w:val="19"/>
          <w:lang w:eastAsia="pt-BR"/>
        </w:rPr>
        <w:t>Art. 28. (VETADO).</w:t>
      </w:r>
    </w:p>
    <w:p w14:paraId="5F4DD61A"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Seção IV</w:t>
      </w:r>
    </w:p>
    <w:p w14:paraId="481B7D6F"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 Assistência Social</w:t>
      </w:r>
    </w:p>
    <w:p w14:paraId="61A7EAEE"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I</w:t>
      </w:r>
    </w:p>
    <w:p w14:paraId="01ECA3FA"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Das Entidades de Assistência Social em Geral</w:t>
      </w:r>
    </w:p>
    <w:p w14:paraId="6E5B566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29"/>
      <w:bookmarkEnd w:id="27"/>
      <w:r w:rsidRPr="00BA4D46">
        <w:rPr>
          <w:rFonts w:ascii="Book Antiqua" w:eastAsia="Times New Roman" w:hAnsi="Book Antiqua" w:cs="Arial"/>
          <w:color w:val="000000"/>
          <w:sz w:val="19"/>
          <w:szCs w:val="19"/>
          <w:lang w:eastAsia="pt-BR"/>
        </w:rPr>
        <w:t>Art. 29. A certificação ou sua renovação será concedida às entidades beneficentes com atuação na área de assistência social abrangidas pela </w:t>
      </w:r>
      <w:hyperlink r:id="rId21" w:history="1">
        <w:r w:rsidRPr="00BA4D46">
          <w:rPr>
            <w:rFonts w:ascii="Book Antiqua" w:eastAsia="Times New Roman" w:hAnsi="Book Antiqua" w:cs="Arial"/>
            <w:color w:val="0000FF"/>
            <w:sz w:val="19"/>
            <w:szCs w:val="19"/>
            <w:u w:val="single"/>
            <w:lang w:eastAsia="pt-BR"/>
          </w:rPr>
          <w:t>Lei nº 8.742, de 7 de dezembro de 1993</w:t>
        </w:r>
      </w:hyperlink>
      <w:r w:rsidRPr="00BA4D46">
        <w:rPr>
          <w:rFonts w:ascii="Book Antiqua" w:eastAsia="Times New Roman" w:hAnsi="Book Antiqua" w:cs="Arial"/>
          <w:color w:val="000000"/>
          <w:sz w:val="19"/>
          <w:szCs w:val="19"/>
          <w:lang w:eastAsia="pt-BR"/>
        </w:rPr>
        <w:t>, que executem:</w:t>
      </w:r>
    </w:p>
    <w:p w14:paraId="410FA50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serviços, programas ou projetos socioassistenciais de atendimento ou de assessoramento ou que atuem na defesa e na garantia dos direitos dos beneficiários da </w:t>
      </w:r>
      <w:hyperlink r:id="rId22" w:history="1">
        <w:r w:rsidRPr="00BA4D46">
          <w:rPr>
            <w:rFonts w:ascii="Book Antiqua" w:eastAsia="Times New Roman" w:hAnsi="Book Antiqua" w:cs="Arial"/>
            <w:color w:val="0000FF"/>
            <w:sz w:val="19"/>
            <w:szCs w:val="19"/>
            <w:u w:val="single"/>
            <w:lang w:eastAsia="pt-BR"/>
          </w:rPr>
          <w:t>Lei nº 8.742, de 7 de dezembro de 1993;</w:t>
        </w:r>
      </w:hyperlink>
    </w:p>
    <w:p w14:paraId="103B2A6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serviços, programas ou projetos socioassistenciais com o objetivo de habilitação e de reabilitação da pessoa com deficiência e de promoção da sua inclusão à vida comunitária, no enfrentamento dos limites existentes para as pessoas com deficiência, de forma articulada ou não com ações educacionais ou de saúde;</w:t>
      </w:r>
    </w:p>
    <w:p w14:paraId="48D68CF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programas de aprendizagem de adolescentes, de jovens ou de pessoas com deficiência, prestados com a finalidade de promover a sua integração ao mundo do trabalho nos termos da </w:t>
      </w:r>
      <w:hyperlink r:id="rId23" w:history="1">
        <w:r w:rsidRPr="00BA4D46">
          <w:rPr>
            <w:rFonts w:ascii="Book Antiqua" w:eastAsia="Times New Roman" w:hAnsi="Book Antiqua" w:cs="Arial"/>
            <w:color w:val="0000FF"/>
            <w:sz w:val="19"/>
            <w:szCs w:val="19"/>
            <w:u w:val="single"/>
            <w:lang w:eastAsia="pt-BR"/>
          </w:rPr>
          <w:t>Lei nº 8.742, de 7 de dezembro de 1993</w:t>
        </w:r>
      </w:hyperlink>
      <w:r w:rsidRPr="00BA4D46">
        <w:rPr>
          <w:rFonts w:ascii="Book Antiqua" w:eastAsia="Times New Roman" w:hAnsi="Book Antiqua" w:cs="Arial"/>
          <w:color w:val="000000"/>
          <w:sz w:val="19"/>
          <w:szCs w:val="19"/>
          <w:lang w:eastAsia="pt-BR"/>
        </w:rPr>
        <w:t>, e do </w:t>
      </w:r>
      <w:hyperlink r:id="rId24" w:anchor="art430ii" w:history="1">
        <w:r w:rsidRPr="00BA4D46">
          <w:rPr>
            <w:rFonts w:ascii="Book Antiqua" w:eastAsia="Times New Roman" w:hAnsi="Book Antiqua" w:cs="Arial"/>
            <w:color w:val="0000FF"/>
            <w:sz w:val="19"/>
            <w:szCs w:val="19"/>
            <w:u w:val="single"/>
            <w:lang w:eastAsia="pt-BR"/>
          </w:rPr>
          <w:t>inciso II do </w:t>
        </w:r>
      </w:hyperlink>
      <w:hyperlink r:id="rId25" w:anchor="art430ii" w:history="1">
        <w:r w:rsidRPr="00BA4D46">
          <w:rPr>
            <w:rFonts w:ascii="Book Antiqua" w:eastAsia="Times New Roman" w:hAnsi="Book Antiqua" w:cs="Arial"/>
            <w:color w:val="0000FF"/>
            <w:sz w:val="19"/>
            <w:szCs w:val="19"/>
            <w:u w:val="single"/>
            <w:lang w:eastAsia="pt-BR"/>
          </w:rPr>
          <w:t>caput do art. 430 da Consolidação das Leis do Trabalho (CLT), aprovada pelo Decreto-Lei nº 5.452, de 1º de maio de 1943</w:t>
        </w:r>
      </w:hyperlink>
      <w:r w:rsidRPr="00BA4D46">
        <w:rPr>
          <w:rFonts w:ascii="Book Antiqua" w:eastAsia="Times New Roman" w:hAnsi="Book Antiqua" w:cs="Arial"/>
          <w:color w:val="000000"/>
          <w:sz w:val="19"/>
          <w:szCs w:val="19"/>
          <w:lang w:eastAsia="pt-BR"/>
        </w:rPr>
        <w:t>, ou da legislação que lhe for superveniente, observadas as ações protetivas previstas na </w:t>
      </w:r>
      <w:hyperlink r:id="rId26" w:history="1">
        <w:r w:rsidRPr="00BA4D46">
          <w:rPr>
            <w:rFonts w:ascii="Book Antiqua" w:eastAsia="Times New Roman" w:hAnsi="Book Antiqua" w:cs="Arial"/>
            <w:color w:val="0000FF"/>
            <w:sz w:val="19"/>
            <w:szCs w:val="19"/>
            <w:u w:val="single"/>
            <w:lang w:eastAsia="pt-BR"/>
          </w:rPr>
          <w:t>Lei nº 8.069, de 13 de julho de 1990</w:t>
        </w:r>
      </w:hyperlink>
      <w:r w:rsidRPr="00BA4D46">
        <w:rPr>
          <w:rFonts w:ascii="Book Antiqua" w:eastAsia="Times New Roman" w:hAnsi="Book Antiqua" w:cs="Arial"/>
          <w:color w:val="000000"/>
          <w:sz w:val="19"/>
          <w:szCs w:val="19"/>
          <w:lang w:eastAsia="pt-BR"/>
        </w:rPr>
        <w:t> (Estatuto da Criança e do Adolescente);</w:t>
      </w:r>
    </w:p>
    <w:p w14:paraId="69EB51A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serviço de acolhimento institucional provisório de pessoas e de seus acompanhantes que estejam em trânsito e sem condições de autossustento durante o tratamento de doenças graves fora da localidade de residência.</w:t>
      </w:r>
    </w:p>
    <w:p w14:paraId="03A9212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Parágrafo único. Desde que observado o disposto no caput deste artigo e no </w:t>
      </w:r>
      <w:hyperlink r:id="rId27" w:anchor="art35" w:history="1">
        <w:r w:rsidRPr="00BA4D46">
          <w:rPr>
            <w:rFonts w:ascii="Book Antiqua" w:eastAsia="Times New Roman" w:hAnsi="Book Antiqua" w:cs="Arial"/>
            <w:color w:val="0000FF"/>
            <w:sz w:val="19"/>
            <w:szCs w:val="19"/>
            <w:u w:val="single"/>
            <w:lang w:eastAsia="pt-BR"/>
          </w:rPr>
          <w:t>art. 35 da Lei nº 10.741, de 1º de outubro de 2003</w:t>
        </w:r>
      </w:hyperlink>
      <w:r w:rsidRPr="00BA4D46">
        <w:rPr>
          <w:rFonts w:ascii="Book Antiqua" w:eastAsia="Times New Roman" w:hAnsi="Book Antiqua" w:cs="Arial"/>
          <w:color w:val="000000"/>
          <w:sz w:val="19"/>
          <w:szCs w:val="19"/>
          <w:lang w:eastAsia="pt-BR"/>
        </w:rPr>
        <w:t> (Estatuto do Idoso), as entidades beneficentes poderão ser certificadas, com a condição de que eventual cobrança de participação do idoso no custeio da entidade ocorra nos termos e nos limites do § 2º do art. 35 da referida Lei.</w:t>
      </w:r>
    </w:p>
    <w:p w14:paraId="0A6AB88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30"/>
      <w:bookmarkEnd w:id="28"/>
      <w:r w:rsidRPr="00BA4D46">
        <w:rPr>
          <w:rFonts w:ascii="Book Antiqua" w:eastAsia="Times New Roman" w:hAnsi="Book Antiqua" w:cs="Arial"/>
          <w:color w:val="000000"/>
          <w:sz w:val="19"/>
          <w:szCs w:val="19"/>
          <w:lang w:eastAsia="pt-BR"/>
        </w:rPr>
        <w:t>Art. 30. As entidades beneficentes de assistência social poderão desenvolver atividades que gerem recursos, inclusive por meio de filiais, com ou sem cessão de mão de obra, de modo a contribuir com as finalidades previstas no art. 2º desta Lei Complementar, registradas segregadamente em sua contabilidade e destacadas em suas Notas Explicativas.</w:t>
      </w:r>
    </w:p>
    <w:p w14:paraId="3B36E71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31"/>
      <w:bookmarkEnd w:id="29"/>
      <w:r w:rsidRPr="00BA4D46">
        <w:rPr>
          <w:rFonts w:ascii="Book Antiqua" w:eastAsia="Times New Roman" w:hAnsi="Book Antiqua" w:cs="Arial"/>
          <w:color w:val="000000"/>
          <w:sz w:val="19"/>
          <w:szCs w:val="19"/>
          <w:lang w:eastAsia="pt-BR"/>
        </w:rPr>
        <w:t>Art. 31. Constituem requisitos para a certificação de entidade de assistência social:</w:t>
      </w:r>
    </w:p>
    <w:p w14:paraId="444B5BF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ser constituída como pessoa jurídica de natureza privada e ter objetivos e públicos-alvo compatíveis com a </w:t>
      </w:r>
      <w:hyperlink r:id="rId28" w:history="1">
        <w:r w:rsidRPr="00BA4D46">
          <w:rPr>
            <w:rFonts w:ascii="Book Antiqua" w:eastAsia="Times New Roman" w:hAnsi="Book Antiqua" w:cs="Arial"/>
            <w:color w:val="0000FF"/>
            <w:sz w:val="19"/>
            <w:szCs w:val="19"/>
            <w:u w:val="single"/>
            <w:lang w:eastAsia="pt-BR"/>
          </w:rPr>
          <w:t>Lei nº 8.742, de 7 de dezembro de 1993;</w:t>
        </w:r>
      </w:hyperlink>
    </w:p>
    <w:p w14:paraId="1A13853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II - comprovar inscrição no conselho municipal ou distrital de assistência social, nos termos do </w:t>
      </w:r>
      <w:hyperlink r:id="rId29" w:anchor="art9" w:history="1">
        <w:r w:rsidRPr="00BA4D46">
          <w:rPr>
            <w:rFonts w:ascii="Book Antiqua" w:eastAsia="Times New Roman" w:hAnsi="Book Antiqua" w:cs="Arial"/>
            <w:color w:val="0000FF"/>
            <w:sz w:val="19"/>
            <w:szCs w:val="19"/>
            <w:u w:val="single"/>
            <w:lang w:eastAsia="pt-BR"/>
          </w:rPr>
          <w:t>art. 9º da Lei nº 8.742, de 7 de dezembro de 1993;</w:t>
        </w:r>
      </w:hyperlink>
    </w:p>
    <w:p w14:paraId="79EB810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prestar e manter atualizado o cadastro de entidades e organizações de assistência social de que trata o </w:t>
      </w:r>
      <w:hyperlink r:id="rId30" w:anchor="art19xi" w:history="1">
        <w:r w:rsidRPr="00BA4D46">
          <w:rPr>
            <w:rFonts w:ascii="Book Antiqua" w:eastAsia="Times New Roman" w:hAnsi="Book Antiqua" w:cs="Arial"/>
            <w:color w:val="0000FF"/>
            <w:sz w:val="19"/>
            <w:szCs w:val="19"/>
            <w:u w:val="single"/>
            <w:lang w:eastAsia="pt-BR"/>
          </w:rPr>
          <w:t>inciso XI do caput do art. 19 da Lei nº 8.742, de 7 de dezembro de 1993;</w:t>
        </w:r>
      </w:hyperlink>
    </w:p>
    <w:p w14:paraId="5AC2AE4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manter escrituração contábil regular que registre os custos e as despesas em atendimento às Normas Brasileiras de Contabilidade;</w:t>
      </w:r>
    </w:p>
    <w:p w14:paraId="79A4E2F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 - comprovar, cumulativamente, que, no ano anterior ao requerimento:</w:t>
      </w:r>
    </w:p>
    <w:p w14:paraId="45A4CDC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a) destinou a maior parte de seus custos e despesas a serviços, a programas ou a projetos no âmbito da assistência social e a atividades certificáveis nas áreas de educação, de saúde ou em ambas, caso a entidade também atue nessas áreas;</w:t>
      </w:r>
    </w:p>
    <w:p w14:paraId="5E779C1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b) remunerou seus dirigentes de modo compatível com o seu resultado financeiro do exercício, na forma a ser definida em regulamento, observados os limites referidos nos §§ 1º e 2º do art. 3º desta Lei Complementar.</w:t>
      </w:r>
    </w:p>
    <w:p w14:paraId="2DAD0DA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Para fins de certificação, a entidade de assistência social de atendimento que atuar em mais de um Município ou Estado, inclusive o Distrito Federal, deverá apresentar o comprovante de inscrição, ou de solicitação desta, de suas atividades nos conselhos de assistência social de, no mínimo, 90% (noventa por cento) dos Municípios de atuação, com comprovação de que a preponderância dos custos e das despesas esteja nesses Municípios, conforme definido em regulamento.</w:t>
      </w:r>
    </w:p>
    <w:p w14:paraId="62F1A8F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Para fins de certificação, a entidade de assistência social de assessoramento ou defesa e garantia de direitos que atuar em mais de um Município ou Estado, inclusive o Distrito Federal, deverá apresentar o comprovante de inscrição da entidade, ou de solicitação desta, no conselho municipal de assistência social de sua sede, ou do Distrito Federal, caso nele situada a sua sede, nos termos do </w:t>
      </w:r>
      <w:hyperlink r:id="rId31" w:anchor="art9" w:history="1">
        <w:r w:rsidRPr="00BA4D46">
          <w:rPr>
            <w:rFonts w:ascii="Book Antiqua" w:eastAsia="Times New Roman" w:hAnsi="Book Antiqua" w:cs="Arial"/>
            <w:color w:val="0000FF"/>
            <w:sz w:val="19"/>
            <w:szCs w:val="19"/>
            <w:u w:val="single"/>
            <w:lang w:eastAsia="pt-BR"/>
          </w:rPr>
          <w:t>art. 9º da Lei nº 8.742, de 7 de dezembro de 1993.</w:t>
        </w:r>
      </w:hyperlink>
    </w:p>
    <w:p w14:paraId="6BEB074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Os requisitos constantes dos incisos II e III do caput deste artigo deverão ser cumpridos:</w:t>
      </w:r>
    </w:p>
    <w:p w14:paraId="3282436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no ano do protocolo ou no anterior, quando se tratar de concessão da certificação; ou</w:t>
      </w:r>
    </w:p>
    <w:p w14:paraId="4A6154FC"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no ano anterior ao do protocolo, quando se tratar de renovação.</w:t>
      </w:r>
    </w:p>
    <w:p w14:paraId="13061DB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As entidades que atuem exclusivamente na área certificável de assistência social, ainda que desempenhem eventual atividade de que trata o art. 30 desta Lei Complementar, caso obtenham faturamento anual que ultrapasse o valor fixado em regulamento, deverão apresentar as demonstrações contábeis auditadas, nos termos definidos em regulamento.</w:t>
      </w:r>
    </w:p>
    <w:p w14:paraId="6CAECAF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As entidades de atendimento ao idoso de longa permanência, ou casas-lares, poderão gozar da imunidade de que trata esta Lei Complementar, desde que seja firmado contrato de prestação de serviços com a pessoa idosa abrigada e de que eventual cobrança de participação do idoso no custeio da entidade seja realizada no limite de 70% (setenta por cento) de qualquer benefício previdenciário ou de assistência social percebido pelo idoso.</w:t>
      </w:r>
    </w:p>
    <w:p w14:paraId="08AD95F7"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6º  (VETADO).</w:t>
      </w:r>
    </w:p>
    <w:p w14:paraId="065EE09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7º  Não se equiparam a entidades de atendimento ao idoso de longa permanência, ou casas-lares, aquelas unidades destinadas somente à hospedagem de idoso e remuneradas com fins de geração de recursos para as finalidades beneficentes de mantenedora, conforme o art. 30 desta Lei Complementar.</w:t>
      </w:r>
    </w:p>
    <w:p w14:paraId="00DB2C72"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Subseção II</w:t>
      </w:r>
    </w:p>
    <w:p w14:paraId="7344C33D"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b/>
          <w:bCs/>
          <w:color w:val="000000"/>
          <w:sz w:val="19"/>
          <w:szCs w:val="19"/>
          <w:lang w:eastAsia="pt-BR"/>
        </w:rPr>
        <w:t>Das Entidades Atuantes na Redução de Demandas de Drogas</w:t>
      </w:r>
    </w:p>
    <w:p w14:paraId="3002F35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32"/>
      <w:bookmarkEnd w:id="30"/>
      <w:r w:rsidRPr="00BA4D46">
        <w:rPr>
          <w:rFonts w:ascii="Book Antiqua" w:eastAsia="Times New Roman" w:hAnsi="Book Antiqua" w:cs="Arial"/>
          <w:color w:val="000000"/>
          <w:sz w:val="19"/>
          <w:szCs w:val="19"/>
          <w:lang w:eastAsia="pt-BR"/>
        </w:rPr>
        <w:lastRenderedPageBreak/>
        <w:t>Art. 32. A certificação de entidade beneficente será concedida ou renovada às instituições que atuem na redução da demanda de drogas, nos termos desta Subseção.</w:t>
      </w:r>
    </w:p>
    <w:p w14:paraId="7C3E69D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1º Consideram-se entidades que atuam na redução da demanda de drogas:</w:t>
      </w:r>
    </w:p>
    <w:p w14:paraId="016EFBA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as comunidades terapêuticas;</w:t>
      </w:r>
    </w:p>
    <w:p w14:paraId="19B9F9E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as entidades de cuidado, de prevenção, de apoio, de mútua ajuda, de atendimento psicossocial e de ressocialização de dependentes do álcool e de outras drogas e seus familiares.</w:t>
      </w:r>
    </w:p>
    <w:p w14:paraId="0EB42B5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2º Considera-se comunidade terapêutica o modelo terapêutico de atenção em regime residencial e transitório, mediante adesão e permanência voluntárias, a pessoas com problemas associados ao uso, ao  abuso ou à dependência do álcool e de outras drogas acolhidas em ambiente protegido e técnica e eticamente orientado, que tem como objetivo promover o desenvolvimento pessoal e social, por meio da promoção da abstinência, bem como a reinserção social, buscando a melhora geral na qualidade de vida do indivíduo.</w:t>
      </w:r>
    </w:p>
    <w:p w14:paraId="30F0997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3º Considera-se entidade de cuidado, de prevenção, de apoio, de mútua ajuda, de atendimento psicossocial e de ressocialização de dependentes do álcool e de outras drogas e seus familiares a entidade que presta serviços intersetoriais, interdisciplinares, transversais e complementares da área do uso e da dependência do álcool e de outras drogas.</w:t>
      </w:r>
    </w:p>
    <w:p w14:paraId="193B4F8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4º As entidades referidas nos §§ 2º e 3º deste artigo, constituídas como pessoas jurídicas sem fins lucrativos, na forma dos </w:t>
      </w:r>
      <w:hyperlink r:id="rId32" w:anchor="art44i" w:history="1">
        <w:r w:rsidRPr="00BA4D46">
          <w:rPr>
            <w:rFonts w:ascii="Book Antiqua" w:eastAsia="Times New Roman" w:hAnsi="Book Antiqua" w:cs="Arial"/>
            <w:color w:val="0000FF"/>
            <w:sz w:val="19"/>
            <w:szCs w:val="19"/>
            <w:u w:val="single"/>
            <w:lang w:eastAsia="pt-BR"/>
          </w:rPr>
          <w:t>incisos I</w:t>
        </w:r>
      </w:hyperlink>
      <w:r w:rsidRPr="00BA4D46">
        <w:rPr>
          <w:rFonts w:ascii="Book Antiqua" w:eastAsia="Times New Roman" w:hAnsi="Book Antiqua" w:cs="Arial"/>
          <w:color w:val="000000"/>
          <w:sz w:val="19"/>
          <w:szCs w:val="19"/>
          <w:lang w:eastAsia="pt-BR"/>
        </w:rPr>
        <w:t>, </w:t>
      </w:r>
      <w:hyperlink r:id="rId33" w:anchor="art44iii" w:history="1">
        <w:r w:rsidRPr="00BA4D46">
          <w:rPr>
            <w:rFonts w:ascii="Book Antiqua" w:eastAsia="Times New Roman" w:hAnsi="Book Antiqua" w:cs="Arial"/>
            <w:color w:val="0000FF"/>
            <w:sz w:val="19"/>
            <w:szCs w:val="19"/>
            <w:u w:val="single"/>
            <w:lang w:eastAsia="pt-BR"/>
          </w:rPr>
          <w:t>III </w:t>
        </w:r>
      </w:hyperlink>
      <w:r w:rsidRPr="00BA4D46">
        <w:rPr>
          <w:rFonts w:ascii="Book Antiqua" w:eastAsia="Times New Roman" w:hAnsi="Book Antiqua" w:cs="Arial"/>
          <w:color w:val="000000"/>
          <w:sz w:val="19"/>
          <w:szCs w:val="19"/>
          <w:lang w:eastAsia="pt-BR"/>
        </w:rPr>
        <w:t>ou </w:t>
      </w:r>
      <w:hyperlink r:id="rId34" w:anchor="art44iv" w:history="1">
        <w:r w:rsidRPr="00BA4D46">
          <w:rPr>
            <w:rFonts w:ascii="Book Antiqua" w:eastAsia="Times New Roman" w:hAnsi="Book Antiqua" w:cs="Arial"/>
            <w:color w:val="0000FF"/>
            <w:sz w:val="19"/>
            <w:szCs w:val="19"/>
            <w:u w:val="single"/>
            <w:lang w:eastAsia="pt-BR"/>
          </w:rPr>
          <w:t>IV do caput do art. 44 da Lei nº 10.406, de 10 de janeiro de 2002 </w:t>
        </w:r>
      </w:hyperlink>
      <w:r w:rsidRPr="00BA4D46">
        <w:rPr>
          <w:rFonts w:ascii="Book Antiqua" w:eastAsia="Times New Roman" w:hAnsi="Book Antiqua" w:cs="Arial"/>
          <w:color w:val="000000"/>
          <w:sz w:val="19"/>
          <w:szCs w:val="19"/>
          <w:lang w:eastAsia="pt-BR"/>
        </w:rPr>
        <w:t>(Código Civil), deverão ser cadastradas pela autoridade executiva federal competente e atender ao disposto na alínea </w:t>
      </w:r>
      <w:r w:rsidRPr="00BA4D46">
        <w:rPr>
          <w:rFonts w:ascii="Book Antiqua" w:eastAsia="Times New Roman" w:hAnsi="Book Antiqua" w:cs="Arial"/>
          <w:i/>
          <w:iCs/>
          <w:color w:val="000000"/>
          <w:sz w:val="19"/>
          <w:szCs w:val="19"/>
          <w:lang w:eastAsia="pt-BR"/>
        </w:rPr>
        <w:t>a</w:t>
      </w:r>
      <w:r w:rsidRPr="00BA4D46">
        <w:rPr>
          <w:rFonts w:ascii="Book Antiqua" w:eastAsia="Times New Roman" w:hAnsi="Book Antiqua" w:cs="Arial"/>
          <w:color w:val="000000"/>
          <w:sz w:val="19"/>
          <w:szCs w:val="19"/>
          <w:lang w:eastAsia="pt-BR"/>
        </w:rPr>
        <w:t> do </w:t>
      </w:r>
      <w:hyperlink r:id="rId35" w:anchor="art2i." w:history="1">
        <w:r w:rsidRPr="00BA4D46">
          <w:rPr>
            <w:rFonts w:ascii="Book Antiqua" w:eastAsia="Times New Roman" w:hAnsi="Book Antiqua" w:cs="Arial"/>
            <w:color w:val="0000FF"/>
            <w:sz w:val="19"/>
            <w:szCs w:val="19"/>
            <w:u w:val="single"/>
            <w:lang w:eastAsia="pt-BR"/>
          </w:rPr>
          <w:t>inciso I do </w:t>
        </w:r>
      </w:hyperlink>
      <w:hyperlink r:id="rId36" w:anchor="art2i." w:history="1">
        <w:r w:rsidRPr="00BA4D46">
          <w:rPr>
            <w:rFonts w:ascii="Book Antiqua" w:eastAsia="Times New Roman" w:hAnsi="Book Antiqua" w:cs="Arial"/>
            <w:color w:val="0000FF"/>
            <w:sz w:val="19"/>
            <w:szCs w:val="19"/>
            <w:u w:val="single"/>
            <w:lang w:eastAsia="pt-BR"/>
          </w:rPr>
          <w:t>caput do art. 2º da Lei nº 13.019, de 31 de julho de 2014.</w:t>
        </w:r>
      </w:hyperlink>
    </w:p>
    <w:p w14:paraId="13674E4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5º A certificação das entidades de que trata o caput deste artigo será realizada pela unidade responsável pela política sobre drogas da autoridade executiva federal responsável pela área da assistência social.</w:t>
      </w:r>
    </w:p>
    <w:p w14:paraId="7D3262D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 6º As entidades beneficentes de assistência social poderão desenvolver atividades que gerem recursos, inclusive por meio de filiais, com ou sem cessão de mão de obra, de modo a contribuir com as finalidades previstas no art. 2º desta Lei Complementar, registradas segregadamente em sua contabilidade e destacadas em suas Notas Explicativas.</w:t>
      </w:r>
    </w:p>
    <w:p w14:paraId="1106323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33"/>
      <w:bookmarkEnd w:id="31"/>
      <w:r w:rsidRPr="00BA4D46">
        <w:rPr>
          <w:rFonts w:ascii="Book Antiqua" w:eastAsia="Times New Roman" w:hAnsi="Book Antiqua" w:cs="Arial"/>
          <w:color w:val="000000"/>
          <w:sz w:val="19"/>
          <w:szCs w:val="19"/>
          <w:lang w:eastAsia="pt-BR"/>
        </w:rPr>
        <w:t>Art. 33. Para serem consideradas beneficentes e fazerem jus à certificação, as entidades a que se refere o art. 32 desta Lei Complementar deverão:</w:t>
      </w:r>
    </w:p>
    <w:p w14:paraId="35C196C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 – apresentar declaração emitida por autoridade federal, estadual, distrital ou municipal competente que ateste atuação na área de controle do uso de drogas ou atividade similar;</w:t>
      </w:r>
    </w:p>
    <w:p w14:paraId="5EC2944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 – manter cadastro atualizado na unidade a que se refere o § 5º do art. 32 desta Lei Complementar;</w:t>
      </w:r>
    </w:p>
    <w:p w14:paraId="69C054C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III – comprovar, anualmente, nos termos do regulamento, a prestação dos serviços referidos no art. 32 desta Lei Complementar;</w:t>
      </w:r>
    </w:p>
    <w:p w14:paraId="1280DAA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IV – cadastrar todos os acolhidos em sistema de informação específico desenvolvido, nos termos do regulamento, no caso das comunidades terapêuticas;</w:t>
      </w:r>
    </w:p>
    <w:p w14:paraId="74508D9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V – comprovar o registro de, no mínimo, 20% (vinte por cento) de sua capacidade em atendimentos gratuitos.</w:t>
      </w:r>
    </w:p>
    <w:p w14:paraId="51547C52"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CAPÍTULO III</w:t>
      </w:r>
    </w:p>
    <w:p w14:paraId="313244E9"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DO PROCESSO DE CERTIFICAÇÃO</w:t>
      </w:r>
    </w:p>
    <w:p w14:paraId="4349C69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34"/>
      <w:bookmarkEnd w:id="32"/>
      <w:r w:rsidRPr="00BA4D46">
        <w:rPr>
          <w:rFonts w:ascii="Book Antiqua" w:eastAsia="Times New Roman" w:hAnsi="Book Antiqua" w:cs="Arial"/>
          <w:color w:val="000000"/>
          <w:sz w:val="19"/>
          <w:szCs w:val="19"/>
          <w:lang w:eastAsia="pt-BR"/>
        </w:rPr>
        <w:lastRenderedPageBreak/>
        <w:t>Art. 34. A entidade interessada na concessão ou na renovação da certificação deverá apresentar requerimento com os documentos necessários à comprovação dos requisitos de que trata esta Lei Complementar, na forma estabelecida em regulamento.</w:t>
      </w:r>
    </w:p>
    <w:p w14:paraId="2B6A61E0"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1º A tramitação e a apreciação do requerimento de que trata o caput deste artigo deverão obedecer à ordem cronológica de sua apresentação, salvo em caso de diligência pendente, devidamente justificada.</w:t>
      </w:r>
    </w:p>
    <w:p w14:paraId="5D870B15"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2º Poderão ser solicitados esclarecimentos e informações aos órgãos públicos e à entidade interessada, sem prejuízo da realização de diligências, desde que relevantes para a tomada de decisão sobre o requerimento de que trata o caput deste artigo.</w:t>
      </w:r>
    </w:p>
    <w:p w14:paraId="273CAFC7"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3º Na hipótese de que trata o § 2º deste artigo, superado o prazo de 30 (trinta) dias da solicitação, prorrogável por igual período, a análise do requerimento de que trata o caput deste artigo prosseguirá, nos termos do § 1º deste artigo.</w:t>
      </w:r>
    </w:p>
    <w:p w14:paraId="76B4696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Art. 35. Os requerimentos de certificação serão apreciados:</w:t>
      </w:r>
    </w:p>
    <w:p w14:paraId="7B40B8B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 – pela autoridade executiva federal responsável pela área da saúde, para as entidades atuantes na área da saúde;</w:t>
      </w:r>
    </w:p>
    <w:p w14:paraId="53803D0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II – pela autoridade executiva federal responsável pela área da educação, para as entidades atuantes na área da educação;</w:t>
      </w:r>
    </w:p>
    <w:p w14:paraId="46C45B0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III – pela autoridade executiva federal responsável pela área da assistência social, para:</w:t>
      </w:r>
    </w:p>
    <w:p w14:paraId="7C22446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 as entidades atuantes na área da assistência social;</w:t>
      </w:r>
    </w:p>
    <w:p w14:paraId="44C23FF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b) as comunidades terapêuticas e entidades de prevenção, de apoio, de mútua ajuda, de atendimento psicossocial e de ressocialização de dependentes do álcool e de outras drogas e seus familiares.</w:t>
      </w:r>
    </w:p>
    <w:p w14:paraId="7069CDA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1º Consideram-se áreas de atuação preponderantes aquelas em que a entidade registre a maior parte de seus custos e despesas nas ações previstas em seus objetivos institucionais, conforme as normas brasileiras de contabilidade.</w:t>
      </w:r>
    </w:p>
    <w:p w14:paraId="15C564B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2º A certificação dependerá da manifestação de todas as autoridades competentes, em suas respectivas áreas de atuação.</w:t>
      </w:r>
    </w:p>
    <w:p w14:paraId="3A81B38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3º No caso em que a entidade atue em mais de uma das áreas a que se refere o art. 2º desta Lei Complementar, será dispensada a comprovação dos requisitos específicos exigidos para cada área não preponderante, desde que o valor total dos custos e das despesas nas áreas não preponderantes, cumulativamente:</w:t>
      </w:r>
    </w:p>
    <w:p w14:paraId="183F574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 – não supere 30% (trinta por cento) dos custos e das despesas totais da entidade;</w:t>
      </w:r>
    </w:p>
    <w:p w14:paraId="360C6E68"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II – não ultrapasse o valor anual fixado, nos termos do regulamento, para as áreas não preponderantes.</w:t>
      </w:r>
    </w:p>
    <w:p w14:paraId="5A78871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4º As entidades de que trata o inciso II do caput do art. 29 desta Lei Complementar serão certificadas exclusivamente pela autoridade executiva federal responsável pela área da assistência social, ainda que exerçam suas atividades em articulação com ações educacionais ou de saúde, dispensadas as manifestações das autoridades executivas responsáveis pelas áreas da educação e da saúde, cabendo àquela verificar, além dos requisitos constantes do art. 31 desta Lei Complementar, o atendimento ao disposto:</w:t>
      </w:r>
    </w:p>
    <w:p w14:paraId="3FF0058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 – no § 1º do art. 7º desta Lei Complementar, pelas entidades que exerçam suas atividades em articulação com ações de saúde;</w:t>
      </w:r>
    </w:p>
    <w:p w14:paraId="20C91646"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lastRenderedPageBreak/>
        <w:t>II – no § 1º do art. 18 desta Lei Complementar, pelas entidades que exerçam suas atividades em articulação com ações educacionais.</w:t>
      </w:r>
    </w:p>
    <w:p w14:paraId="05F5513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Art. 36. O prazo de validade da concessão da certificação será de 3 (três) anos, contado da data da publicação da decisão de deferimento no Diário Oficial da União, e seus efeitos retroagirão à data de protocolo do requerimento para fins tributários.</w:t>
      </w:r>
    </w:p>
    <w:p w14:paraId="7069A22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Art. 37. Na hipótese de renovação de certificação, o efeito da decisão de deferimento será contado do término da validade da certificação anterior, com validade de 3 (três) ou 5 (cinco) anos, na forma de regulamento.</w:t>
      </w:r>
    </w:p>
    <w:p w14:paraId="084C696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1º Será considerado tempestivo o requerimento de renovação da certificação protocolado no decorrer dos 360 (trezentos e sessenta) dias que antecedem a data final de validade da certificação.</w:t>
      </w:r>
    </w:p>
    <w:p w14:paraId="5208B36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2º A certificação da entidade permanece válida até a data da decisão administrativa definitiva sobre o requerimento de renovação tempestivamente apresentado.</w:t>
      </w:r>
    </w:p>
    <w:p w14:paraId="1E3F530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3º Os requerimentos de renovação protocolados antes de 360 (trezentos e sessenta) dias da data final de validade da certificação não serão conhecidos.</w:t>
      </w:r>
    </w:p>
    <w:p w14:paraId="74B71947"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4º Os requerimentos de renovação protocolados após o prazo da data final de validade da certificação serão considerados como requerimentos para concessão da certificação.</w:t>
      </w:r>
    </w:p>
    <w:p w14:paraId="69E006A9"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Art. 38. A validade da certificação como entidade beneficente condiciona-se à manutenção do cumprimento das condições que a ensejaram, inclusive as previstas no art. 3º desta Lei Complementar, cabendo às autoridades executivas certificadoras supervisionar esse atendimento, as quais poderão, a qualquer tempo, determinar a apresentação de documentos, a realização de auditorias ou o cumprimento de diligências.</w:t>
      </w:r>
    </w:p>
    <w:p w14:paraId="2783BE74"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1º Verificada a prática de irregularidade pela entidade em gozo da imunidade, são competentes para representar, motivadamente, sem prejuízo das atribuições do Ministério Público:</w:t>
      </w:r>
    </w:p>
    <w:p w14:paraId="7C94F82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 - o gestor municipal ou estadual do SUS, do Suas e do Sisnad, de acordo com sua condição de gestão, bem como o gestor federal, estadual, distrital ou municipal da educação;</w:t>
      </w:r>
    </w:p>
    <w:p w14:paraId="7B2FDA63"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II - a Secretaria Especial da Receita Federal do Brasil;</w:t>
      </w:r>
    </w:p>
    <w:p w14:paraId="46DA3DF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III - os conselhos de acompanhamento e controle social previstos na Lei nº 14.113, de 25 de dezembro de 2020, e os Conselhos de Assistência Social e de Saúde;</w:t>
      </w:r>
    </w:p>
    <w:p w14:paraId="4C9E290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IV - o Tribunal de Contas da União;</w:t>
      </w:r>
    </w:p>
    <w:p w14:paraId="5ED69DD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V - o Ministério Público.</w:t>
      </w:r>
    </w:p>
    <w:p w14:paraId="5081DC1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2º Verificado pela Secretaria Especial da Receita Federal do Brasil o descumprimento de qualquer dos requisitos previstos nesta Lei Complementar, será lavrado o respectivo auto de infração, o qual será encaminhado à autoridade executiva certificadora e servirá de representação nos termos do inciso II do § 1º deste artigo, e ficarão suspensos a exigibilidade do crédito tributário e o trâmite do respectivo processo administrativo fiscal até a decisão definitiva no processo administrativo a que se refere o § 4º deste artigo, devendo o lançamento ser cancelado de ofício caso a certificação seja mantida.</w:t>
      </w:r>
    </w:p>
    <w:p w14:paraId="735067EE"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3º A representação será dirigida à autoridade executiva federal responsável pela área de atuação da entidade e deverá conter a qualificação do representante, a descrição dos fatos a serem apurados, a documentação pertinente e as demais informações relevantes para o esclarecimento do seu objeto.</w:t>
      </w:r>
    </w:p>
    <w:p w14:paraId="7469EA6F"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lastRenderedPageBreak/>
        <w:t>§ 4º Recebida representação motivada que indique a prática de irregularidade pela entidade em gozo da imunidade, ou constatada de ofício pela administração pública, será iniciado processo administrativo, observado o disposto em regulamento.</w:t>
      </w:r>
    </w:p>
    <w:p w14:paraId="06B6C501"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5º A certificação da entidade permanece válida até a data da decisão administrativa definitiva sobre o cancelamento da certificação da entidade beneficente.</w:t>
      </w:r>
    </w:p>
    <w:p w14:paraId="086C9B5B"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6º Finalizado o processo administrativo de que trata o § 4º deste artigo e cancelada a certificação, a Secretaria Especial da Receita Federal do Brasil será comunicada para que lavre o respectivo auto de infração ou dê continuidade ao processo administrativo fiscal a que se refere o § 2º deste artigo, e os efeitos do cancelamento da imunidade tributária retroagirão à data em que houver sido praticada a irregularidade pela entidade.</w:t>
      </w:r>
    </w:p>
    <w:p w14:paraId="4F28138D"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Art. 39. O prazo para as manifestações da entidade nos processos administrativos relativos a esta Lei Complementar será de 30 (trinta) dias, inclusive para a interposição de recursos.</w:t>
      </w:r>
    </w:p>
    <w:p w14:paraId="6B01F32A" w14:textId="77777777" w:rsidR="00BA4D46" w:rsidRP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1º O recurso interposto contra a decisão que indeferir a concessão ou a renovação da certificação, ou cancelá-la, será dirigido à autoridade julgadora que, se não reconsiderar a decisão, fará seu encaminhamento ao Ministro de Estado da área responsável.</w:t>
      </w:r>
    </w:p>
    <w:p w14:paraId="2DD4C22B" w14:textId="26F85DF7" w:rsidR="00BA4D46" w:rsidRDefault="00BA4D46" w:rsidP="00BA4D4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4D46">
        <w:rPr>
          <w:rFonts w:ascii="Book Antiqua" w:eastAsia="Times New Roman" w:hAnsi="Book Antiqua" w:cs="Arial"/>
          <w:color w:val="000000"/>
          <w:sz w:val="19"/>
          <w:szCs w:val="19"/>
          <w:lang w:eastAsia="pt-BR"/>
        </w:rPr>
        <w:t>§ 2º Após o recebimento do recurso pelo Ministro de Estado, abrir-se-á prazo de 30 (trinta) dias para que a entidade interessada possa apresentar novas considerações e fazer juntada de documentos com vistas a sanar impropriedades identificadas pela autoridade julgadora nas razões do indeferimento do requerimento.</w:t>
      </w:r>
    </w:p>
    <w:p w14:paraId="3EBA7FE5"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CAPÍTULO IV</w:t>
      </w:r>
    </w:p>
    <w:p w14:paraId="13C95CCB"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DISPOSIÇÕES GERAIS E TRANSITÓRIAS</w:t>
      </w:r>
    </w:p>
    <w:p w14:paraId="5746F669"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40"/>
      <w:bookmarkEnd w:id="33"/>
      <w:r w:rsidRPr="00EA2730">
        <w:rPr>
          <w:rFonts w:ascii="Book Antiqua" w:eastAsia="Times New Roman" w:hAnsi="Book Antiqua" w:cs="Arial"/>
          <w:color w:val="000000"/>
          <w:sz w:val="19"/>
          <w:szCs w:val="19"/>
          <w:lang w:eastAsia="pt-BR"/>
        </w:rPr>
        <w:t>Art. 40. Aplica-se o disposto nesta Lei Complementar aos requerimentos de concessão ou de renovação de certificação apresentados a partir da data de sua publicação.</w:t>
      </w:r>
    </w:p>
    <w:p w14:paraId="25CE8A51"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 1º A validade dos certificados vigentes cujo requerimento de renovação não tenha sido apresentado até a data de publicação desta Lei Complementar fica prorrogada até 31 de dezembro do ano subsequente ao do fim de seu prazo de validade.</w:t>
      </w:r>
    </w:p>
    <w:p w14:paraId="4807B96C"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 2º (VETADO).</w:t>
      </w:r>
    </w:p>
    <w:p w14:paraId="0A864860"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 3º A entidade que apresentar requerimento de renovação de certificação com base nos requisitos de que trata o Capítulo II desta Lei Complementar, e desde que tenha usufruído de forma ininterrupta da imunidade de que trata o § 7º do art. 195 da Constituição Federal, por força do disposto no § 2º do art. 24 da Lei nº 12.101, de 27 de novembro de 2009, poderá solicitar sua análise prioritária em relação a seus outros requerimentos de renovação pendentes na data de publicação desta Lei Complementar.</w:t>
      </w:r>
    </w:p>
    <w:p w14:paraId="16676468"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 4º (VETADO).</w:t>
      </w:r>
    </w:p>
    <w:p w14:paraId="30FAEA37"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41. A partir da entrada em vigor desta Lei Complementar, ficam extintos os créditos decorrentes de contribuições sociais lançados contra instituições sem fins lucrativos que atuam nas áreas de saúde, de educação ou de assistência social, expressamente motivados por decisões derivadas de processos administrativos ou judiciais com base em dispositivos da legislação ordinária declarados inconstitucionais, em razão dos efeitos da inconstitucionalidade declarada pelo Supremo Tribunal Federal no julgamento das Ações Diretas de Inconstitucionalidade nºs 2028 e 4480 e correlatas.</w:t>
      </w:r>
    </w:p>
    <w:p w14:paraId="398A59CD" w14:textId="5D1A5DED" w:rsidR="00BA4D46"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Parágrafo único. (VETADO).</w:t>
      </w:r>
    </w:p>
    <w:p w14:paraId="11C06DA2"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CAPÍTULO V</w:t>
      </w:r>
    </w:p>
    <w:p w14:paraId="1E3A883E" w14:textId="77777777" w:rsidR="00BA4D46" w:rsidRPr="00BA4D46" w:rsidRDefault="00BA4D46" w:rsidP="00BA4D4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lastRenderedPageBreak/>
        <w:t>DISPOSIÇÕES FINAIS</w:t>
      </w:r>
    </w:p>
    <w:p w14:paraId="515C2750"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42"/>
      <w:bookmarkEnd w:id="34"/>
      <w:r w:rsidRPr="00EA2730">
        <w:rPr>
          <w:rFonts w:ascii="Book Antiqua" w:eastAsia="Times New Roman" w:hAnsi="Book Antiqua" w:cs="Arial"/>
          <w:color w:val="000000"/>
          <w:sz w:val="19"/>
          <w:szCs w:val="19"/>
          <w:lang w:eastAsia="pt-BR"/>
        </w:rPr>
        <w:t>Art. 42. (VETADO).</w:t>
      </w:r>
    </w:p>
    <w:p w14:paraId="25781418"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43. As entidades beneficentes e em gozo da imunidade na forma desta Lei Complementar deverão manter, em local visível ao público, placa indicativa com informações sobre a sua condição de beneficente e sobre sua área ou áreas de atuação.</w:t>
      </w:r>
    </w:p>
    <w:p w14:paraId="5A95915A"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44. Será mantida nos sítios eletrônicos oficiais lista atualizada com os dados relativos às entidades beneficentes, as certificações emitidas e os respectivos prazos de validade.</w:t>
      </w:r>
    </w:p>
    <w:p w14:paraId="16B3334A"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45. O art. 198 da Lei nº 5.172, de 25 de outubro de 1966 (Código Tributário Nacional), passa a vigorar com as seguintes alterações:</w:t>
      </w:r>
    </w:p>
    <w:p w14:paraId="291A70D1"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198. .......................................................................................</w:t>
      </w:r>
    </w:p>
    <w:p w14:paraId="610FD6A2"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w:t>
      </w:r>
    </w:p>
    <w:p w14:paraId="0FFB427C"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 3º ...............................................................................................</w:t>
      </w:r>
    </w:p>
    <w:p w14:paraId="677BFA54"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w:t>
      </w:r>
    </w:p>
    <w:p w14:paraId="0A3753D6"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III - parcelamento ou moratória; e</w:t>
      </w:r>
    </w:p>
    <w:p w14:paraId="6842C98D"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IV - incentivo, renúncia, benefício ou imunidade de natureza tributária cujo beneficiário seja pessoa jurídica.” (NR)</w:t>
      </w:r>
    </w:p>
    <w:p w14:paraId="269793CB"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46. O art. 64 da Lei nº 9.532, de 10 de dezembro de 1997, passa a vigorar acrescido do seguinte § 13:</w:t>
      </w:r>
    </w:p>
    <w:p w14:paraId="43D733E0"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64. .........................................................................................</w:t>
      </w:r>
    </w:p>
    <w:p w14:paraId="1226E5FF"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w:t>
      </w:r>
    </w:p>
    <w:p w14:paraId="61B28D7E"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 13. No caso de fundações que prevejam em seu estatuto social que a alienação de imóveis depende de autorização do Ministério Público, serão contabilizados no limite de que trata o caput deste artigo apenas os créditos tributários inscritos em dívida ativa.” (NR)</w:t>
      </w:r>
    </w:p>
    <w:p w14:paraId="699F4FB3"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47. Ficam revogados:</w:t>
      </w:r>
    </w:p>
    <w:p w14:paraId="5C02B13A"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I - o art. 11 da Lei nº 11.096, de 13 de janeiro de 2005;</w:t>
      </w:r>
    </w:p>
    <w:p w14:paraId="723CA9CA"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II - a Lei nº 12.101, de 27 de novembro de 2009; e</w:t>
      </w:r>
    </w:p>
    <w:p w14:paraId="78878256"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III - o art. 110 da Lei nº 12.249, de 11 de junho de 2010.</w:t>
      </w:r>
    </w:p>
    <w:p w14:paraId="783CFD39" w14:textId="77777777" w:rsidR="00EA2730" w:rsidRP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Art. 48. Esta Lei Complementar entra em vigor na data de sua publicação.</w:t>
      </w:r>
    </w:p>
    <w:p w14:paraId="6BF02BAB" w14:textId="53A3CBF4" w:rsidR="00EA2730" w:rsidRDefault="00EA2730" w:rsidP="00EA273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A2730">
        <w:rPr>
          <w:rFonts w:ascii="Book Antiqua" w:eastAsia="Times New Roman" w:hAnsi="Book Antiqua" w:cs="Arial"/>
          <w:color w:val="000000"/>
          <w:sz w:val="19"/>
          <w:szCs w:val="19"/>
          <w:lang w:eastAsia="pt-BR"/>
        </w:rPr>
        <w:t>Brasília, 16 de  dezembro  de 2021; 200º da Independência e 133º da República.</w:t>
      </w:r>
    </w:p>
    <w:p w14:paraId="346AE5EE" w14:textId="77777777" w:rsidR="00BA4D46" w:rsidRPr="00BA4D46" w:rsidRDefault="00BA4D46" w:rsidP="00BA4D46">
      <w:pPr>
        <w:spacing w:before="100" w:beforeAutospacing="1" w:after="100" w:afterAutospacing="1" w:line="240" w:lineRule="auto"/>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000000"/>
          <w:sz w:val="19"/>
          <w:szCs w:val="19"/>
          <w:lang w:eastAsia="pt-BR"/>
        </w:rPr>
        <w:t>JAIR MESSIAS BOLSONARO</w:t>
      </w:r>
    </w:p>
    <w:p w14:paraId="0403BD52" w14:textId="77777777" w:rsidR="00BA4D46" w:rsidRPr="00BA4D46" w:rsidRDefault="00BA4D46" w:rsidP="00BA4D46">
      <w:pPr>
        <w:spacing w:before="100" w:beforeAutospacing="1" w:after="100" w:afterAutospacing="1" w:line="240" w:lineRule="auto"/>
        <w:rPr>
          <w:rFonts w:ascii="Book Antiqua" w:eastAsia="Times New Roman" w:hAnsi="Book Antiqua" w:cs="Times New Roman"/>
          <w:color w:val="000000"/>
          <w:sz w:val="19"/>
          <w:szCs w:val="19"/>
          <w:lang w:eastAsia="pt-BR"/>
        </w:rPr>
      </w:pPr>
      <w:r w:rsidRPr="00BA4D46">
        <w:rPr>
          <w:rFonts w:ascii="Book Antiqua" w:eastAsia="Times New Roman" w:hAnsi="Book Antiqua" w:cs="Arial"/>
          <w:i/>
          <w:iCs/>
          <w:color w:val="000000"/>
          <w:sz w:val="19"/>
          <w:szCs w:val="19"/>
          <w:lang w:eastAsia="pt-BR"/>
        </w:rPr>
        <w:t>Paulo Guedes</w:t>
      </w:r>
    </w:p>
    <w:p w14:paraId="1E82AECF" w14:textId="77777777" w:rsidR="00BA4D46" w:rsidRPr="00BA4D46" w:rsidRDefault="00BA4D46" w:rsidP="00BA4D4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i/>
          <w:iCs/>
          <w:color w:val="000000"/>
          <w:sz w:val="19"/>
          <w:szCs w:val="19"/>
          <w:lang w:eastAsia="pt-BR"/>
        </w:rPr>
        <w:t>Milton Ribeiro</w:t>
      </w:r>
    </w:p>
    <w:p w14:paraId="167901A2" w14:textId="77777777" w:rsidR="00BA4D46" w:rsidRPr="00BA4D46" w:rsidRDefault="00BA4D46" w:rsidP="00BA4D46">
      <w:pPr>
        <w:spacing w:before="100" w:beforeAutospacing="1" w:after="100" w:afterAutospacing="1" w:line="240" w:lineRule="auto"/>
        <w:rPr>
          <w:rFonts w:ascii="Book Antiqua" w:eastAsia="Times New Roman" w:hAnsi="Book Antiqua" w:cs="Times New Roman"/>
          <w:color w:val="000000"/>
          <w:sz w:val="19"/>
          <w:szCs w:val="19"/>
          <w:lang w:eastAsia="pt-BR"/>
        </w:rPr>
      </w:pPr>
      <w:r w:rsidRPr="00BA4D46">
        <w:rPr>
          <w:rFonts w:ascii="Book Antiqua" w:eastAsia="Times New Roman" w:hAnsi="Book Antiqua" w:cs="Arial"/>
          <w:i/>
          <w:iCs/>
          <w:color w:val="000000"/>
          <w:sz w:val="19"/>
          <w:szCs w:val="19"/>
          <w:lang w:eastAsia="pt-BR"/>
        </w:rPr>
        <w:t>Marcelo Antônio Cartaxo Queiroga Lopes</w:t>
      </w:r>
    </w:p>
    <w:p w14:paraId="3B4073CD" w14:textId="77777777" w:rsidR="00BA4D46" w:rsidRPr="00BA4D46" w:rsidRDefault="00BA4D46" w:rsidP="00BA4D4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i/>
          <w:iCs/>
          <w:color w:val="000000"/>
          <w:sz w:val="19"/>
          <w:szCs w:val="19"/>
          <w:lang w:eastAsia="pt-BR"/>
        </w:rPr>
        <w:lastRenderedPageBreak/>
        <w:t>João Inácio Ribeiro Roma Neto</w:t>
      </w:r>
    </w:p>
    <w:p w14:paraId="32A7520B" w14:textId="77777777" w:rsidR="00BA4D46" w:rsidRPr="00BA4D46" w:rsidRDefault="00BA4D46" w:rsidP="00BA4D46">
      <w:pPr>
        <w:spacing w:before="100" w:beforeAutospacing="1" w:after="100" w:afterAutospacing="1" w:line="240" w:lineRule="auto"/>
        <w:rPr>
          <w:rFonts w:ascii="Book Antiqua" w:eastAsia="Times New Roman" w:hAnsi="Book Antiqua" w:cs="Times New Roman"/>
          <w:color w:val="000000"/>
          <w:sz w:val="19"/>
          <w:szCs w:val="19"/>
          <w:lang w:eastAsia="pt-BR"/>
        </w:rPr>
      </w:pPr>
      <w:r w:rsidRPr="00BA4D46">
        <w:rPr>
          <w:rFonts w:ascii="Book Antiqua" w:eastAsia="Times New Roman" w:hAnsi="Book Antiqua" w:cs="Arial"/>
          <w:i/>
          <w:iCs/>
          <w:color w:val="000000"/>
          <w:sz w:val="19"/>
          <w:szCs w:val="19"/>
          <w:lang w:eastAsia="pt-BR"/>
        </w:rPr>
        <w:t>Damares Regina Alves</w:t>
      </w:r>
    </w:p>
    <w:p w14:paraId="58035047" w14:textId="77777777" w:rsidR="00BA4D46" w:rsidRPr="00BA4D46" w:rsidRDefault="00BA4D46" w:rsidP="00BA4D46">
      <w:pPr>
        <w:spacing w:before="100" w:beforeAutospacing="1" w:after="100" w:afterAutospacing="1" w:line="240" w:lineRule="auto"/>
        <w:rPr>
          <w:rFonts w:ascii="Book Antiqua" w:eastAsia="Times New Roman" w:hAnsi="Book Antiqua" w:cs="Times New Roman"/>
          <w:color w:val="000000"/>
          <w:sz w:val="19"/>
          <w:szCs w:val="19"/>
          <w:lang w:eastAsia="pt-BR"/>
        </w:rPr>
      </w:pPr>
      <w:r w:rsidRPr="00BA4D46">
        <w:rPr>
          <w:rFonts w:ascii="Book Antiqua" w:eastAsia="Times New Roman" w:hAnsi="Book Antiqua" w:cs="Arial"/>
          <w:i/>
          <w:iCs/>
          <w:color w:val="000000"/>
          <w:sz w:val="19"/>
          <w:szCs w:val="19"/>
          <w:lang w:eastAsia="pt-BR"/>
        </w:rPr>
        <w:t>Bruno Bianco Leal</w:t>
      </w:r>
    </w:p>
    <w:p w14:paraId="122B9D4C" w14:textId="77777777" w:rsidR="00BA4D46" w:rsidRPr="00BA4D46" w:rsidRDefault="00BA4D46" w:rsidP="00BA4D4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4D46">
        <w:rPr>
          <w:rFonts w:ascii="Book Antiqua" w:eastAsia="Times New Roman" w:hAnsi="Book Antiqua" w:cs="Arial"/>
          <w:color w:val="FF0000"/>
          <w:sz w:val="19"/>
          <w:szCs w:val="19"/>
          <w:lang w:eastAsia="pt-BR"/>
        </w:rPr>
        <w:t>Este texto não substitui o publicado no DOU de 17.12.2021 e retificado em </w:t>
      </w:r>
      <w:hyperlink r:id="rId37" w:history="1">
        <w:r w:rsidRPr="00BA4D46">
          <w:rPr>
            <w:rFonts w:ascii="Book Antiqua" w:eastAsia="Times New Roman" w:hAnsi="Book Antiqua" w:cs="Arial"/>
            <w:color w:val="FF0000"/>
            <w:sz w:val="19"/>
            <w:szCs w:val="19"/>
            <w:u w:val="single"/>
            <w:lang w:eastAsia="pt-BR"/>
          </w:rPr>
          <w:t>17.12.2021 - Edição extra</w:t>
        </w:r>
      </w:hyperlink>
    </w:p>
    <w:p w14:paraId="0225A8B1" w14:textId="77777777" w:rsidR="00C41D3A" w:rsidRPr="00BA4D46" w:rsidRDefault="00C41D3A" w:rsidP="00BA4D46">
      <w:pPr>
        <w:spacing w:before="100" w:beforeAutospacing="1" w:after="100" w:afterAutospacing="1" w:line="240" w:lineRule="auto"/>
        <w:rPr>
          <w:rFonts w:ascii="Book Antiqua" w:hAnsi="Book Antiqua"/>
          <w:sz w:val="19"/>
          <w:szCs w:val="19"/>
        </w:rPr>
      </w:pPr>
    </w:p>
    <w:sectPr w:rsidR="00C41D3A" w:rsidRPr="00BA4D46" w:rsidSect="00BA4D46">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3A"/>
    <w:rsid w:val="00BA4D46"/>
    <w:rsid w:val="00C41D3A"/>
    <w:rsid w:val="00EA27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0BF4"/>
  <w15:chartTrackingRefBased/>
  <w15:docId w15:val="{DCAE9E21-EA00-46E9-8EB7-14178D657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A4D46"/>
  </w:style>
  <w:style w:type="paragraph" w:customStyle="1" w:styleId="msonormal0">
    <w:name w:val="msonormal"/>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A4D46"/>
    <w:rPr>
      <w:b/>
      <w:bCs/>
    </w:rPr>
  </w:style>
  <w:style w:type="character" w:styleId="Hyperlink">
    <w:name w:val="Hyperlink"/>
    <w:basedOn w:val="Fontepargpadro"/>
    <w:uiPriority w:val="99"/>
    <w:unhideWhenUsed/>
    <w:rsid w:val="00BA4D46"/>
    <w:rPr>
      <w:color w:val="0000FF"/>
      <w:u w:val="single"/>
    </w:rPr>
  </w:style>
  <w:style w:type="character" w:styleId="HiperlinkVisitado">
    <w:name w:val="FollowedHyperlink"/>
    <w:basedOn w:val="Fontepargpadro"/>
    <w:uiPriority w:val="99"/>
    <w:semiHidden/>
    <w:unhideWhenUsed/>
    <w:rsid w:val="00BA4D46"/>
    <w:rPr>
      <w:color w:val="800080"/>
      <w:u w:val="single"/>
    </w:rPr>
  </w:style>
  <w:style w:type="paragraph" w:customStyle="1" w:styleId="cabea">
    <w:name w:val="cabea"/>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opassinaturas">
    <w:name w:val="propassinaturas"/>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tandard">
    <w:name w:val="standard"/>
    <w:basedOn w:val="Normal"/>
    <w:rsid w:val="00BA4D4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A4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185878">
      <w:bodyDiv w:val="1"/>
      <w:marLeft w:val="0"/>
      <w:marRight w:val="0"/>
      <w:marTop w:val="0"/>
      <w:marBottom w:val="0"/>
      <w:divBdr>
        <w:top w:val="none" w:sz="0" w:space="0" w:color="auto"/>
        <w:left w:val="none" w:sz="0" w:space="0" w:color="auto"/>
        <w:bottom w:val="none" w:sz="0" w:space="0" w:color="auto"/>
        <w:right w:val="none" w:sz="0" w:space="0" w:color="auto"/>
      </w:divBdr>
      <w:divsChild>
        <w:div w:id="109628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77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LEIS/L9394.htm" TargetMode="External"/><Relationship Id="rId26" Type="http://schemas.openxmlformats.org/officeDocument/2006/relationships/hyperlink" Target="http://www.planalto.gov.br/ccivil_03/LEIS/L8069.htm" TargetMode="External"/><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www.planalto.gov.br/ccivil_03/LEIS/L8742.htm" TargetMode="External"/><Relationship Id="rId34" Type="http://schemas.openxmlformats.org/officeDocument/2006/relationships/hyperlink" Target="http://www.planalto.gov.br/ccivil_03/LEIS/2002/L10406.htm"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_Ato2004-2006/2005/Lei/L11096.htm" TargetMode="External"/><Relationship Id="rId25" Type="http://schemas.openxmlformats.org/officeDocument/2006/relationships/hyperlink" Target="http://www.planalto.gov.br/ccivil_03/Decreto-Lei/Del5452.htm" TargetMode="External"/><Relationship Id="rId33" Type="http://schemas.openxmlformats.org/officeDocument/2006/relationships/hyperlink" Target="http://www.planalto.gov.br/ccivil_03/LEIS/2002/L10406.htm"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_Ato2004-2006/2005/Lei/L11096.htm" TargetMode="External"/><Relationship Id="rId20" Type="http://schemas.openxmlformats.org/officeDocument/2006/relationships/hyperlink" Target="http://www.planalto.gov.br/ccivil_03/_Ato2015-2018/2018/Lei/L13709.htm" TargetMode="External"/><Relationship Id="rId29" Type="http://schemas.openxmlformats.org/officeDocument/2006/relationships/hyperlink" Target="http://www.planalto.gov.br/ccivil_03/LEIS/L8742.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LEIS/LCP/Lcp123.htm" TargetMode="External"/><Relationship Id="rId24" Type="http://schemas.openxmlformats.org/officeDocument/2006/relationships/hyperlink" Target="http://www.planalto.gov.br/ccivil_03/Decreto-Lei/Del5452.htm" TargetMode="External"/><Relationship Id="rId32" Type="http://schemas.openxmlformats.org/officeDocument/2006/relationships/hyperlink" Target="http://www.planalto.gov.br/ccivil_03/LEIS/2002/L10406.htm" TargetMode="External"/><Relationship Id="rId37" Type="http://schemas.openxmlformats.org/officeDocument/2006/relationships/hyperlink" Target="http://www.planalto.gov.br/ccivil_03/LEIS/LCP/Ret/RetLCP187-21.doc"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_Ato2011-2014/2012/Lei/L12711.htm" TargetMode="External"/><Relationship Id="rId23" Type="http://schemas.openxmlformats.org/officeDocument/2006/relationships/hyperlink" Target="http://www.planalto.gov.br/ccivil_03/LEIS/L8742.htm" TargetMode="External"/><Relationship Id="rId28" Type="http://schemas.openxmlformats.org/officeDocument/2006/relationships/hyperlink" Target="http://www.planalto.gov.br/ccivil_03/LEIS/L8742.htm" TargetMode="External"/><Relationship Id="rId36" Type="http://schemas.openxmlformats.org/officeDocument/2006/relationships/hyperlink" Target="http://www.planalto.gov.br/ccivil_03/_Ato2011-2014/2014/Lei/L13019.htm" TargetMode="External"/><Relationship Id="rId10" Type="http://schemas.openxmlformats.org/officeDocument/2006/relationships/hyperlink" Target="http://www.planalto.gov.br/ccivil_03/LEIS/LCP/Lcp123.htm" TargetMode="External"/><Relationship Id="rId19" Type="http://schemas.openxmlformats.org/officeDocument/2006/relationships/hyperlink" Target="http://www.planalto.gov.br/ccivil_03/_Ato2011-2014/2011/Lei/L12513.htm" TargetMode="External"/><Relationship Id="rId31" Type="http://schemas.openxmlformats.org/officeDocument/2006/relationships/hyperlink" Target="http://www.planalto.gov.br/ccivil_03/LEIS/L8742.htm" TargetMode="External"/><Relationship Id="rId4" Type="http://schemas.openxmlformats.org/officeDocument/2006/relationships/hyperlink" Target="http://legislacao.planalto.gov.br/legisla/legislacao.nsf/Viw_Identificacao/lcp%20187-2021?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LEIS/L8742.htm" TargetMode="External"/><Relationship Id="rId27" Type="http://schemas.openxmlformats.org/officeDocument/2006/relationships/hyperlink" Target="http://www.planalto.gov.br/ccivil_03/LEIS/2003/L10.741.htm" TargetMode="External"/><Relationship Id="rId30" Type="http://schemas.openxmlformats.org/officeDocument/2006/relationships/hyperlink" Target="http://www.planalto.gov.br/ccivil_03/LEIS/L8742.htm" TargetMode="External"/><Relationship Id="rId35" Type="http://schemas.openxmlformats.org/officeDocument/2006/relationships/hyperlink" Target="http://www.planalto.gov.br/ccivil_03/_Ato2011-2014/2014/Lei/L1301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9249</Words>
  <Characters>49949</Characters>
  <Application>Microsoft Office Word</Application>
  <DocSecurity>0</DocSecurity>
  <Lines>416</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2021-12-20T20:58:00Z</dcterms:created>
  <dcterms:modified xsi:type="dcterms:W3CDTF">2021-12-20T21:06:00Z</dcterms:modified>
</cp:coreProperties>
</file>