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A69D0" w14:textId="339C1209" w:rsidR="009E61D1" w:rsidRPr="009E61D1" w:rsidRDefault="009E61D1" w:rsidP="00BF00F7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9E61D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F056F5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01/09</w:t>
      </w:r>
      <w:r w:rsidRPr="009E61D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/2021: questões de concurso</w:t>
      </w:r>
      <w:r w:rsidR="00F056F5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 e alterações legislativas</w:t>
      </w:r>
      <w:r w:rsidRPr="009E61D1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)</w:t>
      </w:r>
    </w:p>
    <w:p w14:paraId="7865E90B" w14:textId="6AA80A27" w:rsidR="00BF00F7" w:rsidRPr="00BF00F7" w:rsidRDefault="00F056F5" w:rsidP="00BF00F7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BF00F7" w:rsidRPr="00BF00F7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12.514, DE 28 DE OUTUBRO DE 2011.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BF00F7" w:rsidRPr="00BF00F7" w14:paraId="2BDF5906" w14:textId="77777777" w:rsidTr="00BF00F7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78AA51F0" w14:textId="720ECC4B" w:rsidR="00BF00F7" w:rsidRPr="00BF00F7" w:rsidRDefault="00BF00F7" w:rsidP="00BF00F7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391669A3" w14:textId="77777777" w:rsidR="00BF00F7" w:rsidRPr="00BF00F7" w:rsidRDefault="00BF00F7" w:rsidP="00BF00F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F00F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Dá nova redação ao art. 4º da Lei nº 6.932, de 7 de julho de 1981, que dispõe sobre as atividades do médico-residente; e trata das contribuições devidas aos conselhos profissionais em geral.</w:t>
            </w:r>
          </w:p>
        </w:tc>
      </w:tr>
    </w:tbl>
    <w:p w14:paraId="3267079C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PRESIDENTA DA REPÚBLICA </w:t>
      </w: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359BA9A3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O art. 4º da Lei nº 6.932, de 7 de julho de 1981, passa a vigorar com a seguinte redação:</w:t>
      </w:r>
    </w:p>
    <w:p w14:paraId="2FC7B45F" w14:textId="77777777" w:rsidR="00BF00F7" w:rsidRPr="00BF00F7" w:rsidRDefault="00F056F5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5" w:anchor="art4......." w:history="1">
        <w:r w:rsidR="00BF00F7" w:rsidRPr="00BF00F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“Art. 4º </w:t>
        </w:r>
      </w:hyperlink>
      <w:r w:rsidR="00BF00F7"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Ao médico-residente é assegurado bolsa no valor de R$ 2.384,82 (dois mil, trezentos e oitenta e quatro reais e oitenta e dois centavos), em regime especial de treinamento em serviço de 60 (sessenta) horas semanais.</w:t>
      </w:r>
    </w:p>
    <w:p w14:paraId="1B5F7868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médico-residente é filiado ao Regime Geral de Previdência Social - RGPS como contribuinte individual.</w:t>
      </w:r>
    </w:p>
    <w:p w14:paraId="389AE3BB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 médico-residente tem direito, conforme o caso, à </w:t>
      </w:r>
      <w:proofErr w:type="spellStart"/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licença-paternidade</w:t>
      </w:r>
      <w:proofErr w:type="spellEnd"/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5 (cinco) dias ou à licença-maternidade de 120 (cento e vinte) dias.</w:t>
      </w:r>
    </w:p>
    <w:p w14:paraId="291F4E62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 instituição de saúde responsável por programas de residência médica poderá prorrogar, nos termos da Lei nº 11.770, de 9 de setembro de 2008, quando requerido pela médica-residente, o período de licença-maternidade em até 60 (sessenta) dias.</w:t>
      </w:r>
    </w:p>
    <w:p w14:paraId="310ECA16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 tempo de residência médica será prorrogado por prazo equivalente à duração do afastamento do médico-residente por motivo de saúde ou nas hipóteses dos §§ 2º e 3º .</w:t>
      </w:r>
    </w:p>
    <w:p w14:paraId="1F6B8895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A instituição de saúde responsável por programas de residência médica oferecerá ao médico-residente, durante todo o período de residência:</w:t>
      </w:r>
    </w:p>
    <w:p w14:paraId="7B6386C1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condições adequadas para repouso e higiene pessoal durante os plantões;</w:t>
      </w:r>
    </w:p>
    <w:p w14:paraId="34359705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alimentação; e</w:t>
      </w:r>
    </w:p>
    <w:p w14:paraId="06EF6CDE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moradia, conforme estabelecido em regulamento.</w:t>
      </w:r>
    </w:p>
    <w:p w14:paraId="2A303028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O valor da bolsa do médico-residente poderá ser objeto de revisão anual.” (NR)</w:t>
      </w:r>
    </w:p>
    <w:p w14:paraId="15B42827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O art. 26 da Lei nº 9.250, de 26 de dezembro de 1995, passa a vigorar acrescido do seguinte parágrafo único:</w:t>
      </w:r>
    </w:p>
    <w:p w14:paraId="3B752DCB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26. ............................................................................................</w:t>
      </w:r>
    </w:p>
    <w:p w14:paraId="196AA57B" w14:textId="77777777" w:rsidR="00BF00F7" w:rsidRPr="00BF00F7" w:rsidRDefault="00F056F5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6" w:anchor="art26p" w:history="1">
        <w:r w:rsidR="00BF00F7" w:rsidRPr="00BF00F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único. </w:t>
        </w:r>
      </w:hyperlink>
      <w:r w:rsidR="00BF00F7"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Não caracterizam contraprestação de serviços nem vantagem para o doador, para efeito da isenção referida no caput , as bolsas de estudo recebidas pelos médicos-residentes.” (NR)</w:t>
      </w:r>
    </w:p>
    <w:p w14:paraId="2B5B2645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As disposições aplicáveis para valores devidos a conselhos profissionais, quando não existir disposição a respeito em lei específica, são as constantes desta Lei.</w:t>
      </w:r>
    </w:p>
    <w:p w14:paraId="62D7DC96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Aplica-se esta Lei também aos conselhos profissionais quando lei específica:</w:t>
      </w:r>
    </w:p>
    <w:p w14:paraId="0E365730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estabelecer a cobrança de valores expressos em moeda ou unidade de referência não mais existente;</w:t>
      </w:r>
    </w:p>
    <w:p w14:paraId="55BB871B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 - não especificar valores, mas delegar a fixação para o próprio conselho.</w:t>
      </w:r>
    </w:p>
    <w:p w14:paraId="163AF944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Os Conselhos cobrarão:</w:t>
      </w:r>
    </w:p>
    <w:p w14:paraId="6F79731A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multas por violação da ética, conforme disposto na legislação;</w:t>
      </w:r>
    </w:p>
    <w:p w14:paraId="21419EA3" w14:textId="656F5F52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</w:t>
      </w:r>
      <w:r w:rsidR="00F056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–</w:t>
      </w: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anuidades; e</w:t>
      </w:r>
    </w:p>
    <w:p w14:paraId="6D6FA628" w14:textId="056CB16C" w:rsid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outras obrigações definidas em lei especial.</w:t>
      </w:r>
    </w:p>
    <w:p w14:paraId="35DF4105" w14:textId="298A9519" w:rsidR="00F056F5" w:rsidRPr="00F056F5" w:rsidRDefault="00F056F5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056F5">
        <w:rPr>
          <w:rFonts w:ascii="Book Antiqua" w:hAnsi="Book Antiqua" w:cs="Arial"/>
          <w:color w:val="000000"/>
          <w:sz w:val="19"/>
          <w:szCs w:val="19"/>
        </w:rPr>
        <w:t>Parágrafo único. O inadimplemento ou o atraso no pagamento das anuidades previstas no inciso II do caput deste artigo não ensejará a suspensão do registro ou o impedimento de exercício da profissão.     </w:t>
      </w:r>
      <w:hyperlink r:id="rId7" w:anchor="art21" w:history="1">
        <w:r w:rsidRPr="00F056F5">
          <w:rPr>
            <w:rFonts w:ascii="Book Antiqua" w:hAnsi="Book Antiqua" w:cs="Arial"/>
            <w:color w:val="0000FF"/>
            <w:sz w:val="19"/>
            <w:szCs w:val="19"/>
            <w:u w:val="single"/>
          </w:rPr>
          <w:t>(Incluído pela Lei nº 14.195, de 2021)</w:t>
        </w:r>
      </w:hyperlink>
    </w:p>
    <w:p w14:paraId="6F464FA7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O fato gerador das anuidades é a existência de inscrição no conselho, ainda que por tempo limitado, ao longo do exercício.</w:t>
      </w:r>
    </w:p>
    <w:p w14:paraId="776AB512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As anuidades cobradas pelo conselho serão no valor de:</w:t>
      </w:r>
    </w:p>
    <w:p w14:paraId="53B17A09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para profissionais de nível superior: até R$ 500,00 (quinhentos reais);</w:t>
      </w:r>
    </w:p>
    <w:p w14:paraId="5AA386E8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para profissionais de nível técnico: até R$ 250,00 (duzentos e cinquenta reais); e</w:t>
      </w:r>
    </w:p>
    <w:p w14:paraId="4E7B51BD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para pessoas jurídicas, conforme o capital social, os seguintes valores máximos:</w:t>
      </w:r>
    </w:p>
    <w:p w14:paraId="6BFBA93B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até R$ 50.000,00 (cinquenta mil reais): R$ 500,00 (quinhentos reais);</w:t>
      </w:r>
    </w:p>
    <w:p w14:paraId="30983A04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acima de R$ 50.000,00 (cinquenta mil reais) e até R$ 200.000,00 (duzentos mil reais): R$ 1.000,00 (mil reais);</w:t>
      </w:r>
    </w:p>
    <w:p w14:paraId="5AF66F69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acima de R$ 200.000,00 (duzentos mil reais) e até R$ 500.000,00 (quinhentos mil reais): R$ 1.500,00 (mil e quinhentos reais);</w:t>
      </w:r>
    </w:p>
    <w:p w14:paraId="3B1D05AF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acima de R$ 500.000,00 (quinhentos mil reais) e até R$ 1.000.000,00 (um milhão de reais): R$ 2.000,00 (dois mil reais);</w:t>
      </w:r>
    </w:p>
    <w:p w14:paraId="636FCBAF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acima de R$ 1.000.000,00 (um milhão de reais) e até R$ 2.000.000,00 (dois milhões de reais): R$ 2.500,00 (dois mil e quinhentos reais);</w:t>
      </w:r>
    </w:p>
    <w:p w14:paraId="52E5F2DB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acima de R$ 2.000.000,00 (dois milhões de reais) e até R$ 10.000.000,00 (dez milhões de reais): R$ 3.000,00 (três mil reais);</w:t>
      </w:r>
    </w:p>
    <w:p w14:paraId="5AA2A62E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acima de R$ 10.000.000,00 (dez milhões de reais): R$ 4.000,00 (quatro mil reais).</w:t>
      </w:r>
    </w:p>
    <w:p w14:paraId="2CCE1EC2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Os valores das anuidades serão reajustados de acordo com a variação integral do Índice Nacional de Preços ao Consumidor - INPC, calculado pela Fundação Instituto Brasileiro de Geografia e Estatística - IBGE, ou pelo índice oficial que venha a substituí-lo.</w:t>
      </w:r>
    </w:p>
    <w:p w14:paraId="7A7ECF77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valor exato da anuidade, o desconto para profissionais recém-inscritos, os critérios de isenção para profissionais, as regras de recuperação de créditos, as regras de parcelamento, garantido o mínimo de 5 (cinco) vezes, e a concessão de descontos para pagamento antecipado ou à vista, serão estabelecidos pelos respectivos conselhos federais.</w:t>
      </w:r>
    </w:p>
    <w:p w14:paraId="5F6B236A" w14:textId="77777777" w:rsidR="00F056F5" w:rsidRPr="00F056F5" w:rsidRDefault="00F056F5" w:rsidP="00F056F5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056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Os Conselhos poderão, nos termos e nos limites de norma do respectivo Conselho Federal, independentemente do disposto no art. 8º desta Lei e sem renunciar ao valor devido, deixar de cobrar:     </w:t>
      </w:r>
      <w:hyperlink r:id="rId8" w:anchor="art21" w:history="1">
        <w:r w:rsidRPr="00F056F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14.195, de 2021)</w:t>
        </w:r>
      </w:hyperlink>
    </w:p>
    <w:p w14:paraId="2C3A85DB" w14:textId="77777777" w:rsidR="00F056F5" w:rsidRPr="00F056F5" w:rsidRDefault="00F056F5" w:rsidP="00F056F5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056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- administrativamente, os valores definidos como irrisórios; ou     </w:t>
      </w:r>
      <w:hyperlink r:id="rId9" w:anchor="art21" w:history="1">
        <w:r w:rsidRPr="00F056F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14.195, de 2021)</w:t>
        </w:r>
      </w:hyperlink>
    </w:p>
    <w:p w14:paraId="5C2DEF0F" w14:textId="77777777" w:rsidR="00F056F5" w:rsidRPr="00F056F5" w:rsidRDefault="00F056F5" w:rsidP="00F056F5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056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judicialmente, os valores considerados irrecuperáveis, de difícil recuperação ou com custo de cobrança superior ao valor devido.    </w:t>
      </w:r>
      <w:hyperlink r:id="rId10" w:anchor="art21" w:history="1">
        <w:r w:rsidRPr="00F056F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14.195, de 2021)</w:t>
        </w:r>
      </w:hyperlink>
    </w:p>
    <w:p w14:paraId="5DF3F2B6" w14:textId="429354DF" w:rsidR="00F056F5" w:rsidRPr="00F056F5" w:rsidRDefault="00F056F5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F056F5">
        <w:rPr>
          <w:rFonts w:ascii="Book Antiqua" w:hAnsi="Book Antiqua" w:cs="Arial"/>
          <w:color w:val="000000"/>
          <w:sz w:val="19"/>
          <w:szCs w:val="19"/>
        </w:rPr>
        <w:t>Art. 8º Os Conselhos não executarão judicialmente dívidas, de quaisquer das origens previstas no art. 4º desta Lei, com valor total inferior a 5 (cinco) vezes o constante do inciso I do </w:t>
      </w:r>
      <w:r w:rsidRPr="00F056F5">
        <w:rPr>
          <w:rFonts w:ascii="Book Antiqua" w:hAnsi="Book Antiqua" w:cs="Arial"/>
          <w:b/>
          <w:bCs/>
          <w:color w:val="000000"/>
          <w:sz w:val="19"/>
          <w:szCs w:val="19"/>
        </w:rPr>
        <w:t>caput</w:t>
      </w:r>
      <w:r w:rsidRPr="00F056F5">
        <w:rPr>
          <w:rFonts w:ascii="Book Antiqua" w:hAnsi="Book Antiqua" w:cs="Arial"/>
          <w:color w:val="000000"/>
          <w:sz w:val="19"/>
          <w:szCs w:val="19"/>
        </w:rPr>
        <w:t> do art. 6º desta Lei, observado o disposto no seu § 1º.    </w:t>
      </w:r>
      <w:hyperlink r:id="rId11" w:anchor="art21" w:history="1">
        <w:r w:rsidRPr="00F056F5">
          <w:rPr>
            <w:rFonts w:ascii="Book Antiqua" w:hAnsi="Book Antiqua" w:cs="Arial"/>
            <w:color w:val="0000FF"/>
            <w:sz w:val="19"/>
            <w:szCs w:val="19"/>
            <w:u w:val="single"/>
          </w:rPr>
          <w:t>(Redação dada pela Lei nº 14.195, de 2021)</w:t>
        </w:r>
      </w:hyperlink>
    </w:p>
    <w:p w14:paraId="42EEA6B5" w14:textId="77777777" w:rsidR="00F056F5" w:rsidRPr="00F056F5" w:rsidRDefault="00F056F5" w:rsidP="00F056F5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056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disposto no </w:t>
      </w:r>
      <w:r w:rsidRPr="00F056F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F056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não obsta ou limita a realização de medidas administrativas de cobrança, tais como a notificação extrajudicial, a inclusão em cadastros de inadimplentes e o protesto de certidões de dívida ativa.    </w:t>
      </w:r>
      <w:hyperlink r:id="rId12" w:anchor="art21" w:history="1">
        <w:r w:rsidRPr="00F056F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14.195, de 2021)</w:t>
        </w:r>
      </w:hyperlink>
    </w:p>
    <w:p w14:paraId="587E5514" w14:textId="77777777" w:rsidR="00F056F5" w:rsidRPr="00F056F5" w:rsidRDefault="00F056F5" w:rsidP="00F056F5">
      <w:pPr>
        <w:spacing w:before="225" w:after="225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056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Os executivos fiscais de valor inferior ao previsto no </w:t>
      </w:r>
      <w:r w:rsidRPr="00F056F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F056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serão arquivados, sem baixa na distribuição das execuções fiscais, sem prejuízo do disposto no </w:t>
      </w:r>
      <w:hyperlink r:id="rId13" w:anchor="art40" w:history="1">
        <w:r w:rsidRPr="00F056F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40 da Lei nº 6.830, de 22 de setembro de 1980</w:t>
        </w:r>
      </w:hyperlink>
      <w:r w:rsidRPr="00F056F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 </w:t>
      </w:r>
      <w:hyperlink r:id="rId14" w:anchor="art21" w:history="1">
        <w:r w:rsidRPr="00F056F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14.195, de 2021)</w:t>
        </w:r>
      </w:hyperlink>
    </w:p>
    <w:p w14:paraId="373F81AD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A existência de valores em atraso não obsta o cancelamento ou a suspensão do registro a pedido.</w:t>
      </w:r>
    </w:p>
    <w:p w14:paraId="1A5EA197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O percentual da arrecadação destinado ao conselho regional e ao conselho federal respectivo é o constante da legislação específica.</w:t>
      </w:r>
    </w:p>
    <w:p w14:paraId="3B69EC3B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O valor da Taxa de Anotação de Responsabilidade Técnica - ART, prevista na </w:t>
      </w:r>
      <w:hyperlink r:id="rId15" w:history="1">
        <w:r w:rsidRPr="00BF00F7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6.496, de 7 de dezembro de 1977, </w:t>
        </w:r>
      </w:hyperlink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não poderá ultrapassar R$ 150,00 (cento e cinquenta reais).</w:t>
      </w:r>
    </w:p>
    <w:p w14:paraId="69986D1F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valor referido no caput será atualizado, anualmente, de acordo com a variação integral do Índice Nacional de Preços ao Consumidor - INPC, calculado pela Fundação Instituto Brasileiro de Geografia e Estatística - IBGE, ou índice oficial que venha a substituí-lo.</w:t>
      </w:r>
    </w:p>
    <w:p w14:paraId="179F285D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Esta Lei entra em vigor na data de sua publicação.</w:t>
      </w:r>
    </w:p>
    <w:p w14:paraId="4FDC330E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28 de outubro de 2011; 190º da Independência e 123º da República.</w:t>
      </w:r>
    </w:p>
    <w:p w14:paraId="4D9F6D90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  <w:r w:rsidRPr="00BF00F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BF00F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Fernando Haddad</w:t>
      </w:r>
      <w:r w:rsidRPr="00BF00F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Miriam Belchior</w:t>
      </w:r>
    </w:p>
    <w:p w14:paraId="783B001B" w14:textId="77777777" w:rsidR="00BF00F7" w:rsidRPr="00BF00F7" w:rsidRDefault="00BF00F7" w:rsidP="00BF00F7">
      <w:pPr>
        <w:spacing w:before="100" w:beforeAutospacing="1" w:after="100" w:afterAutospacing="1" w:line="240" w:lineRule="auto"/>
        <w:ind w:firstLine="43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00F7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31.10.2011</w:t>
      </w:r>
    </w:p>
    <w:p w14:paraId="4C149B53" w14:textId="77777777" w:rsidR="00964A75" w:rsidRPr="00BF00F7" w:rsidRDefault="00964A75" w:rsidP="00BF00F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964A75" w:rsidRPr="00BF00F7" w:rsidSect="00BF00F7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75"/>
    <w:rsid w:val="00964A75"/>
    <w:rsid w:val="009E61D1"/>
    <w:rsid w:val="00BF00F7"/>
    <w:rsid w:val="00F056F5"/>
    <w:rsid w:val="00F4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05A33"/>
  <w15:chartTrackingRefBased/>
  <w15:docId w15:val="{67443FD3-7858-45BF-98DF-DDC1AF6B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056F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5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5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7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80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258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9-2022/2021/Lei/L14195.htm" TargetMode="External"/><Relationship Id="rId13" Type="http://schemas.openxmlformats.org/officeDocument/2006/relationships/hyperlink" Target="http://www.planalto.gov.br/ccivil_03/LEIS/L6830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19-2022/2021/Lei/L14195.htm" TargetMode="External"/><Relationship Id="rId12" Type="http://schemas.openxmlformats.org/officeDocument/2006/relationships/hyperlink" Target="http://www.planalto.gov.br/ccivil_03/_Ato2019-2022/2021/Lei/L14195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9250.htm" TargetMode="External"/><Relationship Id="rId11" Type="http://schemas.openxmlformats.org/officeDocument/2006/relationships/hyperlink" Target="http://www.planalto.gov.br/ccivil_03/_Ato2019-2022/2021/Lei/L14195.htm" TargetMode="External"/><Relationship Id="rId5" Type="http://schemas.openxmlformats.org/officeDocument/2006/relationships/hyperlink" Target="http://www.planalto.gov.br/ccivil_03/LEIS/L6932.htm" TargetMode="External"/><Relationship Id="rId15" Type="http://schemas.openxmlformats.org/officeDocument/2006/relationships/hyperlink" Target="http://www.planalto.gov.br/ccivil_03/LEIS/L6496.htm" TargetMode="External"/><Relationship Id="rId10" Type="http://schemas.openxmlformats.org/officeDocument/2006/relationships/hyperlink" Target="http://www.planalto.gov.br/ccivil_03/_Ato2019-2022/2021/Lei/L14195.htm" TargetMode="External"/><Relationship Id="rId4" Type="http://schemas.openxmlformats.org/officeDocument/2006/relationships/hyperlink" Target="http://legislacao.planalto.gov.br/legisla/legislacao.nsf/Viw_Identificacao/lei%2012.514-2011?OpenDocument" TargetMode="External"/><Relationship Id="rId9" Type="http://schemas.openxmlformats.org/officeDocument/2006/relationships/hyperlink" Target="http://www.planalto.gov.br/ccivil_03/_Ato2019-2022/2021/Lei/L14195.htm" TargetMode="External"/><Relationship Id="rId14" Type="http://schemas.openxmlformats.org/officeDocument/2006/relationships/hyperlink" Target="http://www.planalto.gov.br/ccivil_03/_Ato2019-2022/2021/Lei/L1419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1303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2021-03-24T15:26:00Z</dcterms:created>
  <dcterms:modified xsi:type="dcterms:W3CDTF">2021-09-01T19:22:00Z</dcterms:modified>
</cp:coreProperties>
</file>