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328DB" w14:textId="77777777" w:rsidR="00151B68" w:rsidRPr="003919A9" w:rsidRDefault="00151B68" w:rsidP="00151B68">
      <w:pPr>
        <w:jc w:val="center"/>
        <w:rPr>
          <w:rFonts w:ascii="Book Antiqua" w:hAnsi="Book Antiqua" w:cs="Times New Roman"/>
          <w:b/>
          <w:sz w:val="19"/>
          <w:szCs w:val="19"/>
        </w:rPr>
      </w:pPr>
      <w:bookmarkStart w:id="0" w:name="_Hlk21000047"/>
      <w:r w:rsidRPr="003919A9">
        <w:rPr>
          <w:rFonts w:ascii="Book Antiqua" w:hAnsi="Book Antiqua" w:cs="Times New Roman"/>
          <w:b/>
          <w:sz w:val="19"/>
          <w:szCs w:val="19"/>
        </w:rPr>
        <w:t>LEI 13.259/16</w:t>
      </w:r>
    </w:p>
    <w:p w14:paraId="22532F81" w14:textId="77777777" w:rsidR="00151B68" w:rsidRPr="003919A9" w:rsidRDefault="00151B68" w:rsidP="00151B68">
      <w:pPr>
        <w:jc w:val="center"/>
        <w:rPr>
          <w:rFonts w:ascii="Book Antiqua" w:hAnsi="Book Antiqua" w:cs="Times New Roman"/>
          <w:b/>
          <w:sz w:val="19"/>
          <w:szCs w:val="19"/>
        </w:rPr>
      </w:pPr>
      <w:r w:rsidRPr="003919A9">
        <w:rPr>
          <w:rFonts w:ascii="Book Antiqua" w:hAnsi="Book Antiqua" w:cs="Times New Roman"/>
          <w:b/>
          <w:sz w:val="19"/>
          <w:szCs w:val="19"/>
        </w:rPr>
        <w:t>MATERIAL COM QUESTÕES DE CONCURSO e ALGUMAS REFERÊNCIAS À SÚMULAS E JULGADOS DOS TRIBUNAIS SUPERIORES</w:t>
      </w:r>
    </w:p>
    <w:p w14:paraId="6C522873" w14:textId="77777777" w:rsidR="00151B68" w:rsidRPr="003919A9" w:rsidRDefault="00151B68" w:rsidP="00151B68">
      <w:pPr>
        <w:jc w:val="center"/>
        <w:rPr>
          <w:rFonts w:ascii="Book Antiqua" w:hAnsi="Book Antiqua" w:cs="Times New Roman"/>
          <w:b/>
          <w:color w:val="FF0000"/>
          <w:sz w:val="19"/>
          <w:szCs w:val="19"/>
        </w:rPr>
      </w:pPr>
      <w:r w:rsidRPr="003919A9">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151B68" w:rsidRPr="00151B68" w14:paraId="6AE4AB28" w14:textId="77777777" w:rsidTr="00E84FF9">
        <w:tc>
          <w:tcPr>
            <w:tcW w:w="8494" w:type="dxa"/>
            <w:shd w:val="clear" w:color="auto" w:fill="E7E6E6" w:themeFill="background2"/>
          </w:tcPr>
          <w:p w14:paraId="26E6B3A6" w14:textId="5BE913F1" w:rsidR="00151B68" w:rsidRPr="00151B68" w:rsidRDefault="00151B68" w:rsidP="00E84FF9">
            <w:pPr>
              <w:jc w:val="both"/>
              <w:rPr>
                <w:rFonts w:ascii="Book Antiqua" w:eastAsia="Times New Roman" w:hAnsi="Book Antiqua" w:cs="Times New Roman"/>
                <w:b/>
                <w:sz w:val="18"/>
                <w:szCs w:val="18"/>
                <w:lang w:eastAsia="pt-BR"/>
              </w:rPr>
            </w:pPr>
            <w:r w:rsidRPr="00151B68">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151B68">
              <w:rPr>
                <w:rFonts w:ascii="Book Antiqua" w:eastAsia="Times New Roman" w:hAnsi="Book Antiqua" w:cs="Times New Roman"/>
                <w:b/>
                <w:sz w:val="18"/>
                <w:szCs w:val="18"/>
                <w:lang w:eastAsia="pt-BR"/>
              </w:rPr>
              <w:t xml:space="preserve">: </w:t>
            </w:r>
            <w:r w:rsidR="003919A9" w:rsidRPr="003919A9">
              <w:rPr>
                <w:rFonts w:ascii="Book Antiqua" w:eastAsia="Times New Roman" w:hAnsi="Book Antiqua" w:cs="Times New Roman"/>
                <w:b/>
                <w:color w:val="FF0000"/>
                <w:sz w:val="18"/>
                <w:szCs w:val="18"/>
                <w:lang w:eastAsia="pt-BR"/>
              </w:rPr>
              <w:t>Lei 14.011/20.</w:t>
            </w:r>
          </w:p>
          <w:p w14:paraId="7B86A21F" w14:textId="77777777" w:rsidR="00151B68" w:rsidRPr="00151B68" w:rsidRDefault="00151B68" w:rsidP="00E84FF9">
            <w:pPr>
              <w:jc w:val="both"/>
              <w:rPr>
                <w:rFonts w:ascii="Book Antiqua" w:eastAsia="Times New Roman" w:hAnsi="Book Antiqua" w:cs="Times New Roman"/>
                <w:b/>
                <w:sz w:val="18"/>
                <w:szCs w:val="18"/>
                <w:lang w:eastAsia="pt-BR"/>
              </w:rPr>
            </w:pPr>
          </w:p>
          <w:p w14:paraId="77066FA7" w14:textId="1F66B63D" w:rsidR="00151B68" w:rsidRPr="00151B68" w:rsidRDefault="00151B68" w:rsidP="00E84FF9">
            <w:pPr>
              <w:jc w:val="both"/>
              <w:rPr>
                <w:rFonts w:ascii="Book Antiqua" w:eastAsia="Times New Roman" w:hAnsi="Book Antiqua" w:cs="Times New Roman"/>
                <w:b/>
                <w:sz w:val="18"/>
                <w:szCs w:val="18"/>
                <w:lang w:eastAsia="pt-BR"/>
              </w:rPr>
            </w:pPr>
            <w:r w:rsidRPr="00151B68">
              <w:rPr>
                <w:rFonts w:ascii="Book Antiqua" w:eastAsia="Times New Roman" w:hAnsi="Book Antiqua" w:cs="Times New Roman"/>
                <w:b/>
                <w:color w:val="FFFFFF" w:themeColor="background1"/>
                <w:sz w:val="18"/>
                <w:szCs w:val="18"/>
                <w:highlight w:val="black"/>
                <w:lang w:eastAsia="pt-BR"/>
              </w:rPr>
              <w:t>Última atualização questões de concurso</w:t>
            </w:r>
            <w:r w:rsidRPr="00151B68">
              <w:rPr>
                <w:rFonts w:ascii="Book Antiqua" w:eastAsia="Times New Roman" w:hAnsi="Book Antiqua" w:cs="Times New Roman"/>
                <w:b/>
                <w:color w:val="FF0000"/>
                <w:sz w:val="18"/>
                <w:szCs w:val="18"/>
                <w:lang w:eastAsia="pt-BR"/>
              </w:rPr>
              <w:t xml:space="preserve">: </w:t>
            </w:r>
            <w:r w:rsidR="004A6B55">
              <w:rPr>
                <w:rFonts w:ascii="Book Antiqua" w:eastAsia="Times New Roman" w:hAnsi="Book Antiqua" w:cs="Times New Roman"/>
                <w:b/>
                <w:color w:val="FF0000"/>
                <w:sz w:val="18"/>
                <w:szCs w:val="18"/>
                <w:lang w:eastAsia="pt-BR"/>
              </w:rPr>
              <w:t>17/06/2021</w:t>
            </w:r>
            <w:r w:rsidRPr="00151B68">
              <w:rPr>
                <w:rFonts w:ascii="Book Antiqua" w:eastAsia="Times New Roman" w:hAnsi="Book Antiqua" w:cs="Times New Roman"/>
                <w:b/>
                <w:color w:val="FF0000"/>
                <w:sz w:val="18"/>
                <w:szCs w:val="18"/>
                <w:lang w:eastAsia="pt-BR"/>
              </w:rPr>
              <w:t>.</w:t>
            </w:r>
          </w:p>
          <w:p w14:paraId="4CF64531" w14:textId="77777777" w:rsidR="00151B68" w:rsidRPr="00151B68" w:rsidRDefault="00151B68" w:rsidP="00E84FF9">
            <w:pPr>
              <w:jc w:val="both"/>
              <w:rPr>
                <w:rFonts w:ascii="Book Antiqua" w:eastAsia="Times New Roman" w:hAnsi="Book Antiqua" w:cs="Times New Roman"/>
                <w:b/>
                <w:sz w:val="18"/>
                <w:szCs w:val="18"/>
                <w:lang w:eastAsia="pt-BR"/>
              </w:rPr>
            </w:pPr>
          </w:p>
          <w:p w14:paraId="1EC93574" w14:textId="77777777" w:rsidR="00151B68" w:rsidRPr="00151B68" w:rsidRDefault="00151B68" w:rsidP="00E84FF9">
            <w:pPr>
              <w:jc w:val="both"/>
              <w:rPr>
                <w:rFonts w:ascii="Book Antiqua" w:eastAsia="Times New Roman" w:hAnsi="Book Antiqua" w:cs="Times New Roman"/>
                <w:b/>
                <w:sz w:val="18"/>
                <w:szCs w:val="18"/>
                <w:lang w:eastAsia="pt-BR"/>
              </w:rPr>
            </w:pPr>
            <w:r w:rsidRPr="00151B68">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51B68">
              <w:rPr>
                <w:rFonts w:ascii="Book Antiqua" w:eastAsia="Times New Roman" w:hAnsi="Book Antiqua" w:cs="Times New Roman"/>
                <w:b/>
                <w:sz w:val="18"/>
                <w:szCs w:val="18"/>
                <w:lang w:eastAsia="pt-BR"/>
              </w:rPr>
              <w:t>:</w:t>
            </w:r>
          </w:p>
          <w:p w14:paraId="28147603" w14:textId="77777777" w:rsidR="00151B68" w:rsidRPr="00151B68" w:rsidRDefault="00151B68" w:rsidP="00151B68">
            <w:pPr>
              <w:pStyle w:val="PargrafodaLista"/>
              <w:numPr>
                <w:ilvl w:val="0"/>
                <w:numId w:val="3"/>
              </w:numPr>
              <w:jc w:val="both"/>
              <w:rPr>
                <w:rFonts w:ascii="Book Antiqua" w:eastAsia="Times New Roman" w:hAnsi="Book Antiqua" w:cs="Times New Roman"/>
                <w:b/>
                <w:sz w:val="18"/>
                <w:szCs w:val="18"/>
                <w:lang w:eastAsia="pt-BR"/>
              </w:rPr>
            </w:pPr>
            <w:r w:rsidRPr="00151B68">
              <w:rPr>
                <w:rFonts w:ascii="Book Antiqua" w:eastAsia="Times New Roman" w:hAnsi="Book Antiqua" w:cs="Times New Roman"/>
                <w:b/>
                <w:color w:val="FF0000"/>
                <w:sz w:val="18"/>
                <w:szCs w:val="18"/>
                <w:lang w:eastAsia="pt-BR"/>
              </w:rPr>
              <w:t>Cores utilizadas</w:t>
            </w:r>
            <w:r w:rsidRPr="00151B68">
              <w:rPr>
                <w:rFonts w:ascii="Book Antiqua" w:eastAsia="Times New Roman" w:hAnsi="Book Antiqua" w:cs="Times New Roman"/>
                <w:b/>
                <w:sz w:val="18"/>
                <w:szCs w:val="18"/>
                <w:lang w:eastAsia="pt-BR"/>
              </w:rPr>
              <w:t>:</w:t>
            </w:r>
          </w:p>
          <w:p w14:paraId="340026E2" w14:textId="77777777" w:rsidR="00151B68" w:rsidRPr="00151B68" w:rsidRDefault="00151B68" w:rsidP="00151B68">
            <w:pPr>
              <w:pStyle w:val="PargrafodaLista"/>
              <w:numPr>
                <w:ilvl w:val="0"/>
                <w:numId w:val="2"/>
              </w:numPr>
              <w:jc w:val="both"/>
              <w:rPr>
                <w:rFonts w:ascii="Book Antiqua" w:eastAsia="Times New Roman" w:hAnsi="Book Antiqua" w:cs="Times New Roman"/>
                <w:sz w:val="18"/>
                <w:szCs w:val="18"/>
                <w:lang w:eastAsia="pt-BR"/>
              </w:rPr>
            </w:pPr>
            <w:r w:rsidRPr="00151B68">
              <w:rPr>
                <w:rFonts w:ascii="Book Antiqua" w:eastAsia="Times New Roman" w:hAnsi="Book Antiqua" w:cs="Times New Roman"/>
                <w:b/>
                <w:sz w:val="18"/>
                <w:szCs w:val="18"/>
                <w:highlight w:val="green"/>
                <w:lang w:eastAsia="pt-BR"/>
              </w:rPr>
              <w:t>EM VERDE</w:t>
            </w:r>
            <w:r w:rsidRPr="00151B68">
              <w:rPr>
                <w:rFonts w:ascii="Book Antiqua" w:eastAsia="Times New Roman" w:hAnsi="Book Antiqua" w:cs="Times New Roman"/>
                <w:sz w:val="18"/>
                <w:szCs w:val="18"/>
                <w:lang w:eastAsia="pt-BR"/>
              </w:rPr>
              <w:t>: destaque aos títulos, capítulos, bem como outras informações relevantes, etc.</w:t>
            </w:r>
          </w:p>
          <w:p w14:paraId="04E0851F" w14:textId="77777777" w:rsidR="00151B68" w:rsidRPr="00151B68" w:rsidRDefault="00151B68" w:rsidP="00151B68">
            <w:pPr>
              <w:pStyle w:val="PargrafodaLista"/>
              <w:numPr>
                <w:ilvl w:val="0"/>
                <w:numId w:val="2"/>
              </w:numPr>
              <w:jc w:val="both"/>
              <w:rPr>
                <w:rFonts w:ascii="Book Antiqua" w:eastAsia="Times New Roman" w:hAnsi="Book Antiqua" w:cs="Times New Roman"/>
                <w:sz w:val="18"/>
                <w:szCs w:val="18"/>
                <w:lang w:eastAsia="pt-BR"/>
              </w:rPr>
            </w:pPr>
            <w:r w:rsidRPr="00151B68">
              <w:rPr>
                <w:rFonts w:ascii="Book Antiqua" w:eastAsia="Times New Roman" w:hAnsi="Book Antiqua" w:cs="Times New Roman"/>
                <w:b/>
                <w:sz w:val="18"/>
                <w:szCs w:val="18"/>
                <w:highlight w:val="magenta"/>
                <w:lang w:eastAsia="pt-BR"/>
              </w:rPr>
              <w:t>EM ROXO</w:t>
            </w:r>
            <w:r w:rsidRPr="00151B68">
              <w:rPr>
                <w:rFonts w:ascii="Book Antiqua" w:eastAsia="Times New Roman" w:hAnsi="Book Antiqua" w:cs="Times New Roman"/>
                <w:sz w:val="18"/>
                <w:szCs w:val="18"/>
                <w:lang w:eastAsia="pt-BR"/>
              </w:rPr>
              <w:t>: artigos que já foram cobrados em provas de concurso.</w:t>
            </w:r>
          </w:p>
          <w:p w14:paraId="345FA1A5" w14:textId="77777777" w:rsidR="00151B68" w:rsidRPr="00151B68" w:rsidRDefault="00151B68" w:rsidP="00151B68">
            <w:pPr>
              <w:pStyle w:val="PargrafodaLista"/>
              <w:numPr>
                <w:ilvl w:val="0"/>
                <w:numId w:val="2"/>
              </w:numPr>
              <w:jc w:val="both"/>
              <w:rPr>
                <w:rFonts w:ascii="Book Antiqua" w:eastAsia="Times New Roman" w:hAnsi="Book Antiqua" w:cs="Times New Roman"/>
                <w:sz w:val="18"/>
                <w:szCs w:val="18"/>
                <w:lang w:eastAsia="pt-BR"/>
              </w:rPr>
            </w:pPr>
            <w:r w:rsidRPr="00151B68">
              <w:rPr>
                <w:rFonts w:ascii="Book Antiqua" w:eastAsia="Times New Roman" w:hAnsi="Book Antiqua" w:cs="Times New Roman"/>
                <w:b/>
                <w:sz w:val="18"/>
                <w:szCs w:val="18"/>
                <w:highlight w:val="cyan"/>
                <w:lang w:eastAsia="pt-BR"/>
              </w:rPr>
              <w:t>EM AZUL</w:t>
            </w:r>
            <w:r w:rsidRPr="00151B68">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Pr>
                <w:rFonts w:ascii="Book Antiqua" w:eastAsia="Times New Roman" w:hAnsi="Book Antiqua" w:cs="Times New Roman"/>
                <w:sz w:val="18"/>
                <w:szCs w:val="18"/>
                <w:lang w:eastAsia="pt-BR"/>
              </w:rPr>
              <w:t>na Lei 13.259/16</w:t>
            </w:r>
            <w:r w:rsidRPr="00151B68">
              <w:rPr>
                <w:rFonts w:ascii="Book Antiqua" w:eastAsia="Times New Roman" w:hAnsi="Book Antiqua" w:cs="Times New Roman"/>
                <w:sz w:val="18"/>
                <w:szCs w:val="18"/>
                <w:lang w:eastAsia="pt-BR"/>
              </w:rPr>
              <w:t>).</w:t>
            </w:r>
          </w:p>
          <w:p w14:paraId="53C9174C" w14:textId="77777777" w:rsidR="00151B68" w:rsidRPr="00151B68" w:rsidRDefault="00151B68" w:rsidP="00151B68">
            <w:pPr>
              <w:pStyle w:val="PargrafodaLista"/>
              <w:numPr>
                <w:ilvl w:val="0"/>
                <w:numId w:val="2"/>
              </w:numPr>
              <w:jc w:val="both"/>
              <w:rPr>
                <w:rFonts w:ascii="Book Antiqua" w:eastAsia="Times New Roman" w:hAnsi="Book Antiqua" w:cs="Times New Roman"/>
                <w:sz w:val="18"/>
                <w:szCs w:val="18"/>
                <w:lang w:eastAsia="pt-BR"/>
              </w:rPr>
            </w:pPr>
            <w:r w:rsidRPr="00151B68">
              <w:rPr>
                <w:rFonts w:ascii="Book Antiqua" w:eastAsia="Times New Roman" w:hAnsi="Book Antiqua" w:cs="Times New Roman"/>
                <w:b/>
                <w:sz w:val="18"/>
                <w:szCs w:val="18"/>
                <w:highlight w:val="yellow"/>
                <w:lang w:eastAsia="pt-BR"/>
              </w:rPr>
              <w:t>EM AMARELO</w:t>
            </w:r>
            <w:r w:rsidRPr="00151B68">
              <w:rPr>
                <w:rFonts w:ascii="Book Antiqua" w:eastAsia="Times New Roman" w:hAnsi="Book Antiqua" w:cs="Times New Roman"/>
                <w:b/>
                <w:sz w:val="18"/>
                <w:szCs w:val="18"/>
                <w:lang w:eastAsia="pt-BR"/>
              </w:rPr>
              <w:t xml:space="preserve"> e </w:t>
            </w:r>
            <w:r w:rsidRPr="00151B68">
              <w:rPr>
                <w:rFonts w:ascii="Book Antiqua" w:eastAsia="Times New Roman" w:hAnsi="Book Antiqua" w:cs="Times New Roman"/>
                <w:b/>
                <w:sz w:val="18"/>
                <w:szCs w:val="18"/>
                <w:shd w:val="clear" w:color="auto" w:fill="F4B083" w:themeFill="accent2" w:themeFillTint="99"/>
                <w:lang w:eastAsia="pt-BR"/>
              </w:rPr>
              <w:t>EM LARANJA</w:t>
            </w:r>
            <w:r w:rsidRPr="00151B68">
              <w:rPr>
                <w:rFonts w:ascii="Book Antiqua" w:eastAsia="Times New Roman" w:hAnsi="Book Antiqua" w:cs="Times New Roman"/>
                <w:sz w:val="18"/>
                <w:szCs w:val="18"/>
                <w:lang w:eastAsia="pt-BR"/>
              </w:rPr>
              <w:t>: destaques importantes (ex.: critério pessoal)</w:t>
            </w:r>
          </w:p>
          <w:p w14:paraId="648FAF13" w14:textId="77777777" w:rsidR="00151B68" w:rsidRPr="00151B68" w:rsidRDefault="00151B68" w:rsidP="00E84FF9">
            <w:pPr>
              <w:jc w:val="both"/>
              <w:rPr>
                <w:rFonts w:ascii="Book Antiqua" w:eastAsia="Times New Roman" w:hAnsi="Book Antiqua" w:cs="Times New Roman"/>
                <w:sz w:val="18"/>
                <w:szCs w:val="18"/>
                <w:lang w:eastAsia="pt-BR"/>
              </w:rPr>
            </w:pPr>
          </w:p>
          <w:p w14:paraId="773C5E64" w14:textId="77777777" w:rsidR="00151B68" w:rsidRPr="00151B68" w:rsidRDefault="00151B68" w:rsidP="00151B68">
            <w:pPr>
              <w:pStyle w:val="PargrafodaLista"/>
              <w:numPr>
                <w:ilvl w:val="0"/>
                <w:numId w:val="3"/>
              </w:numPr>
              <w:jc w:val="both"/>
              <w:rPr>
                <w:rFonts w:ascii="Book Antiqua" w:eastAsia="Times New Roman" w:hAnsi="Book Antiqua" w:cs="Times New Roman"/>
                <w:sz w:val="18"/>
                <w:szCs w:val="18"/>
                <w:lang w:eastAsia="pt-BR"/>
              </w:rPr>
            </w:pPr>
            <w:r w:rsidRPr="00151B68">
              <w:rPr>
                <w:rFonts w:ascii="Book Antiqua" w:eastAsia="Times New Roman" w:hAnsi="Book Antiqua" w:cs="Times New Roman"/>
                <w:b/>
                <w:color w:val="FF0000"/>
                <w:sz w:val="18"/>
                <w:szCs w:val="18"/>
                <w:lang w:eastAsia="pt-BR"/>
              </w:rPr>
              <w:t>Siglas utilizadas</w:t>
            </w:r>
            <w:r w:rsidRPr="00151B68">
              <w:rPr>
                <w:rFonts w:ascii="Book Antiqua" w:eastAsia="Times New Roman" w:hAnsi="Book Antiqua" w:cs="Times New Roman"/>
                <w:sz w:val="18"/>
                <w:szCs w:val="18"/>
                <w:lang w:eastAsia="pt-BR"/>
              </w:rPr>
              <w:t>:</w:t>
            </w:r>
          </w:p>
          <w:p w14:paraId="61FE1125" w14:textId="77777777" w:rsidR="00151B68" w:rsidRPr="00151B68" w:rsidRDefault="00151B68" w:rsidP="00151B68">
            <w:pPr>
              <w:pStyle w:val="PargrafodaLista"/>
              <w:numPr>
                <w:ilvl w:val="0"/>
                <w:numId w:val="4"/>
              </w:numPr>
              <w:jc w:val="both"/>
              <w:rPr>
                <w:rFonts w:ascii="Book Antiqua" w:eastAsia="Times New Roman" w:hAnsi="Book Antiqua" w:cs="Times New Roman"/>
                <w:sz w:val="20"/>
                <w:szCs w:val="20"/>
                <w:lang w:eastAsia="pt-BR"/>
              </w:rPr>
            </w:pPr>
            <w:r w:rsidRPr="00151B68">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6186FAE4" w14:textId="77777777" w:rsidR="00A67EE3" w:rsidRPr="003919A9" w:rsidRDefault="00296D63" w:rsidP="00A67EE3">
      <w:pPr>
        <w:spacing w:before="300" w:after="300" w:line="240" w:lineRule="auto"/>
        <w:jc w:val="center"/>
        <w:rPr>
          <w:rFonts w:ascii="Book Antiqua" w:eastAsia="Times New Roman" w:hAnsi="Book Antiqua" w:cs="Times New Roman"/>
          <w:sz w:val="19"/>
          <w:szCs w:val="19"/>
          <w:lang w:eastAsia="pt-BR"/>
        </w:rPr>
      </w:pPr>
      <w:r w:rsidRPr="003919A9">
        <w:rPr>
          <w:rFonts w:ascii="Book Antiqua" w:eastAsia="Times New Roman" w:hAnsi="Book Antiqua" w:cs="Times New Roman"/>
          <w:b/>
          <w:bCs/>
          <w:color w:val="000080"/>
          <w:sz w:val="19"/>
          <w:szCs w:val="19"/>
          <w:u w:val="single"/>
          <w:lang w:eastAsia="pt-BR"/>
        </w:rPr>
        <w:fldChar w:fldCharType="begin"/>
      </w:r>
      <w:r w:rsidRPr="003919A9">
        <w:rPr>
          <w:rFonts w:ascii="Book Antiqua" w:eastAsia="Times New Roman" w:hAnsi="Book Antiqua" w:cs="Times New Roman"/>
          <w:b/>
          <w:bCs/>
          <w:color w:val="000080"/>
          <w:sz w:val="19"/>
          <w:szCs w:val="19"/>
          <w:u w:val="single"/>
          <w:lang w:eastAsia="pt-BR"/>
        </w:rPr>
        <w:instrText xml:space="preserve"> HYPERLINK "http://legislacao.planalto.gov.br/legisla/legislacao.nsf/Viw_Identificacao/lei%2013.259-2016?OpenDocument" </w:instrText>
      </w:r>
      <w:r w:rsidRPr="003919A9">
        <w:rPr>
          <w:rFonts w:ascii="Book Antiqua" w:eastAsia="Times New Roman" w:hAnsi="Book Antiqua" w:cs="Times New Roman"/>
          <w:b/>
          <w:bCs/>
          <w:color w:val="000080"/>
          <w:sz w:val="19"/>
          <w:szCs w:val="19"/>
          <w:u w:val="single"/>
          <w:lang w:eastAsia="pt-BR"/>
        </w:rPr>
        <w:fldChar w:fldCharType="separate"/>
      </w:r>
      <w:r w:rsidR="00A67EE3" w:rsidRPr="003919A9">
        <w:rPr>
          <w:rFonts w:ascii="Book Antiqua" w:eastAsia="Times New Roman" w:hAnsi="Book Antiqua" w:cs="Times New Roman"/>
          <w:b/>
          <w:bCs/>
          <w:color w:val="000080"/>
          <w:sz w:val="19"/>
          <w:szCs w:val="19"/>
          <w:u w:val="single"/>
          <w:lang w:eastAsia="pt-BR"/>
        </w:rPr>
        <w:t>LEI Nº 13.259, DE 16 DE MARÇO DE 2016.</w:t>
      </w:r>
      <w:r w:rsidRPr="003919A9">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67EE3" w:rsidRPr="003919A9" w14:paraId="7DEED5C3" w14:textId="77777777" w:rsidTr="00151B68">
        <w:trPr>
          <w:tblCellSpacing w:w="0" w:type="dxa"/>
        </w:trPr>
        <w:tc>
          <w:tcPr>
            <w:tcW w:w="1333" w:type="pct"/>
            <w:vAlign w:val="center"/>
            <w:hideMark/>
          </w:tcPr>
          <w:p w14:paraId="1253E342" w14:textId="77777777" w:rsidR="00A67EE3" w:rsidRPr="003919A9" w:rsidRDefault="00A67EE3" w:rsidP="00A67EE3">
            <w:pPr>
              <w:spacing w:before="100" w:beforeAutospacing="1" w:after="100" w:afterAutospacing="1" w:line="240" w:lineRule="auto"/>
              <w:rPr>
                <w:rFonts w:ascii="Book Antiqua" w:eastAsia="Times New Roman" w:hAnsi="Book Antiqua" w:cs="Times New Roman"/>
                <w:sz w:val="19"/>
                <w:szCs w:val="19"/>
                <w:lang w:eastAsia="pt-BR"/>
              </w:rPr>
            </w:pPr>
          </w:p>
        </w:tc>
        <w:tc>
          <w:tcPr>
            <w:tcW w:w="3667" w:type="pct"/>
            <w:vAlign w:val="center"/>
            <w:hideMark/>
          </w:tcPr>
          <w:p w14:paraId="37421A11" w14:textId="77777777" w:rsidR="00A67EE3" w:rsidRPr="003919A9" w:rsidRDefault="00A67EE3" w:rsidP="00A67EE3">
            <w:pPr>
              <w:spacing w:before="100" w:beforeAutospacing="1" w:after="100" w:afterAutospacing="1" w:line="240" w:lineRule="auto"/>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800000"/>
                <w:sz w:val="19"/>
                <w:szCs w:val="19"/>
                <w:lang w:eastAsia="pt-BR"/>
              </w:rPr>
              <w:t>Altera as Leis n</w:t>
            </w:r>
            <w:r w:rsidRPr="003919A9">
              <w:rPr>
                <w:rFonts w:ascii="Book Antiqua" w:eastAsia="Times New Roman" w:hAnsi="Book Antiqua" w:cs="Times New Roman"/>
                <w:color w:val="800000"/>
                <w:sz w:val="19"/>
                <w:szCs w:val="19"/>
                <w:u w:val="single"/>
                <w:vertAlign w:val="superscript"/>
                <w:lang w:eastAsia="pt-BR"/>
              </w:rPr>
              <w:t>os</w:t>
            </w:r>
            <w:r w:rsidRPr="003919A9">
              <w:rPr>
                <w:rFonts w:ascii="Book Antiqua" w:eastAsia="Times New Roman" w:hAnsi="Book Antiqua" w:cs="Times New Roman"/>
                <w:color w:val="800000"/>
                <w:sz w:val="19"/>
                <w:szCs w:val="19"/>
                <w:lang w:eastAsia="pt-BR"/>
              </w:rPr>
              <w:t xml:space="preserve"> 8.981, de 20 de janeiro de 1995, para dispor acerca da incidência de imposto sobre a renda na hipótese de ganho de capital em decorrência da alienação de bens e direitos de qualquer natureza, e 12.973, de 13 de maio de 2014, para possibilitar opção de tributação de empresas coligadas no exterior na forma de empresas controladas; e regulamenta o inciso XI do art. 156 da Lei n</w:t>
            </w:r>
            <w:r w:rsidRPr="003919A9">
              <w:rPr>
                <w:rFonts w:ascii="Book Antiqua" w:eastAsia="Times New Roman" w:hAnsi="Book Antiqua" w:cs="Times New Roman"/>
                <w:color w:val="800000"/>
                <w:sz w:val="19"/>
                <w:szCs w:val="19"/>
                <w:u w:val="single"/>
                <w:vertAlign w:val="superscript"/>
                <w:lang w:eastAsia="pt-BR"/>
              </w:rPr>
              <w:t>o</w:t>
            </w:r>
            <w:r w:rsidRPr="003919A9">
              <w:rPr>
                <w:rFonts w:ascii="Book Antiqua" w:eastAsia="Times New Roman" w:hAnsi="Book Antiqua" w:cs="Times New Roman"/>
                <w:color w:val="800000"/>
                <w:sz w:val="19"/>
                <w:szCs w:val="19"/>
                <w:lang w:eastAsia="pt-BR"/>
              </w:rPr>
              <w:t xml:space="preserve"> 5.172, de 25 de outubro de 1966 </w:t>
            </w:r>
            <w:r w:rsidRPr="003919A9">
              <w:rPr>
                <w:rFonts w:ascii="Book Antiqua" w:eastAsia="Times New Roman" w:hAnsi="Book Antiqua" w:cs="Times New Roman"/>
                <w:b/>
                <w:bCs/>
                <w:color w:val="800000"/>
                <w:sz w:val="19"/>
                <w:szCs w:val="19"/>
                <w:lang w:eastAsia="pt-BR"/>
              </w:rPr>
              <w:t>-</w:t>
            </w:r>
            <w:r w:rsidRPr="003919A9">
              <w:rPr>
                <w:rFonts w:ascii="Book Antiqua" w:eastAsia="Times New Roman" w:hAnsi="Book Antiqua" w:cs="Times New Roman"/>
                <w:color w:val="800000"/>
                <w:sz w:val="19"/>
                <w:szCs w:val="19"/>
                <w:lang w:eastAsia="pt-BR"/>
              </w:rPr>
              <w:t xml:space="preserve"> Código Tributário Nacional.</w:t>
            </w:r>
          </w:p>
        </w:tc>
      </w:tr>
    </w:tbl>
    <w:p w14:paraId="4E8BA701" w14:textId="77777777" w:rsidR="00A67EE3" w:rsidRPr="003919A9" w:rsidRDefault="00A67EE3" w:rsidP="00A67EE3">
      <w:pPr>
        <w:spacing w:before="300" w:after="300" w:line="240" w:lineRule="auto"/>
        <w:ind w:firstLine="567"/>
        <w:jc w:val="both"/>
        <w:rPr>
          <w:rFonts w:ascii="Book Antiqua" w:eastAsia="Times New Roman" w:hAnsi="Book Antiqua" w:cs="Times New Roman"/>
          <w:sz w:val="19"/>
          <w:szCs w:val="19"/>
          <w:lang w:eastAsia="pt-BR"/>
        </w:rPr>
      </w:pPr>
      <w:r w:rsidRPr="003919A9">
        <w:rPr>
          <w:rFonts w:ascii="Book Antiqua" w:eastAsia="Times New Roman" w:hAnsi="Book Antiqua" w:cs="Times New Roman"/>
          <w:b/>
          <w:bCs/>
          <w:color w:val="000000"/>
          <w:sz w:val="19"/>
          <w:szCs w:val="19"/>
          <w:lang w:eastAsia="pt-BR"/>
        </w:rPr>
        <w:t xml:space="preserve">A PRESIDENTA DA REPÚBLICA </w:t>
      </w:r>
      <w:r w:rsidRPr="003919A9">
        <w:rPr>
          <w:rFonts w:ascii="Book Antiqua" w:eastAsia="Times New Roman" w:hAnsi="Book Antiqua" w:cs="Times New Roman"/>
          <w:color w:val="000000"/>
          <w:sz w:val="19"/>
          <w:szCs w:val="19"/>
          <w:lang w:eastAsia="pt-BR"/>
        </w:rPr>
        <w:t>Faço saber que o Congresso Nacional decreta e eu sanciono a seguinte Lei: </w:t>
      </w:r>
    </w:p>
    <w:p w14:paraId="5E92B34B" w14:textId="77777777" w:rsidR="00A67EE3" w:rsidRPr="003919A9" w:rsidRDefault="00A67EE3" w:rsidP="00A67EE3">
      <w:pPr>
        <w:spacing w:before="300" w:after="300" w:line="240" w:lineRule="auto"/>
        <w:ind w:firstLine="567"/>
        <w:jc w:val="both"/>
        <w:rPr>
          <w:rFonts w:ascii="Book Antiqua" w:eastAsia="Times New Roman" w:hAnsi="Book Antiqua" w:cs="Times New Roman"/>
          <w:sz w:val="19"/>
          <w:szCs w:val="19"/>
          <w:lang w:eastAsia="pt-BR"/>
        </w:rPr>
      </w:pPr>
      <w:bookmarkStart w:id="1" w:name="art1"/>
      <w:bookmarkEnd w:id="1"/>
      <w:r w:rsidRPr="003919A9">
        <w:rPr>
          <w:rFonts w:ascii="Book Antiqua" w:eastAsia="Times New Roman" w:hAnsi="Book Antiqua" w:cs="Times New Roman"/>
          <w:color w:val="000000"/>
          <w:sz w:val="19"/>
          <w:szCs w:val="19"/>
          <w:lang w:eastAsia="pt-BR"/>
        </w:rPr>
        <w:t>Art. 1</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O art. 21 da </w:t>
      </w:r>
      <w:hyperlink r:id="rId7" w:history="1">
        <w:r w:rsidRPr="003919A9">
          <w:rPr>
            <w:rFonts w:ascii="Book Antiqua" w:eastAsia="Times New Roman" w:hAnsi="Book Antiqua" w:cs="Times New Roman"/>
            <w:color w:val="0000FF"/>
            <w:sz w:val="19"/>
            <w:szCs w:val="19"/>
            <w:u w:val="single"/>
            <w:lang w:eastAsia="pt-BR"/>
          </w:rPr>
          <w:t>Lei n</w:t>
        </w:r>
        <w:r w:rsidRPr="003919A9">
          <w:rPr>
            <w:rFonts w:ascii="Book Antiqua" w:eastAsia="Times New Roman" w:hAnsi="Book Antiqua" w:cs="Times New Roman"/>
            <w:color w:val="0000FF"/>
            <w:sz w:val="19"/>
            <w:szCs w:val="19"/>
            <w:u w:val="single"/>
            <w:vertAlign w:val="superscript"/>
            <w:lang w:eastAsia="pt-BR"/>
          </w:rPr>
          <w:t>o</w:t>
        </w:r>
        <w:r w:rsidRPr="003919A9">
          <w:rPr>
            <w:rFonts w:ascii="Book Antiqua" w:eastAsia="Times New Roman" w:hAnsi="Book Antiqua" w:cs="Times New Roman"/>
            <w:color w:val="0000FF"/>
            <w:sz w:val="19"/>
            <w:szCs w:val="19"/>
            <w:u w:val="single"/>
            <w:lang w:eastAsia="pt-BR"/>
          </w:rPr>
          <w:t xml:space="preserve"> 8.981, de 20 de janeiro de 1995</w:t>
        </w:r>
      </w:hyperlink>
      <w:r w:rsidRPr="003919A9">
        <w:rPr>
          <w:rFonts w:ascii="Book Antiqua" w:eastAsia="Times New Roman" w:hAnsi="Book Antiqua" w:cs="Times New Roman"/>
          <w:color w:val="000000"/>
          <w:sz w:val="19"/>
          <w:szCs w:val="19"/>
          <w:lang w:eastAsia="pt-BR"/>
        </w:rPr>
        <w:t>, passa a vigorar com as seguintes alterações: </w:t>
      </w:r>
    </w:p>
    <w:p w14:paraId="3CF52D99" w14:textId="77777777" w:rsidR="00A67EE3" w:rsidRPr="003919A9" w:rsidRDefault="00A67EE3" w:rsidP="00A67EE3">
      <w:pPr>
        <w:spacing w:before="300" w:after="300" w:line="240" w:lineRule="auto"/>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w:t>
      </w:r>
      <w:hyperlink r:id="rId8" w:anchor="art21.." w:history="1">
        <w:r w:rsidRPr="003919A9">
          <w:rPr>
            <w:rFonts w:ascii="Book Antiqua" w:eastAsia="Times New Roman" w:hAnsi="Book Antiqua" w:cs="Times New Roman"/>
            <w:color w:val="0000FF"/>
            <w:sz w:val="19"/>
            <w:szCs w:val="19"/>
            <w:u w:val="single"/>
            <w:lang w:eastAsia="pt-BR"/>
          </w:rPr>
          <w:t>Art. 21.</w:t>
        </w:r>
      </w:hyperlink>
      <w:r w:rsidRPr="003919A9">
        <w:rPr>
          <w:rFonts w:ascii="Book Antiqua" w:eastAsia="Times New Roman" w:hAnsi="Book Antiqua" w:cs="Times New Roman"/>
          <w:color w:val="000000"/>
          <w:sz w:val="19"/>
          <w:szCs w:val="19"/>
          <w:lang w:eastAsia="pt-BR"/>
        </w:rPr>
        <w:t xml:space="preserve">  O ganho de capital percebido por pessoa física em decorrência da alienação de bens e direitos de qualquer natureza sujeita-se à incidência do imposto sobre a renda, com as seguintes alíquotas: </w:t>
      </w:r>
    </w:p>
    <w:p w14:paraId="24E308E5" w14:textId="77777777" w:rsidR="00A67EE3" w:rsidRPr="003919A9" w:rsidRDefault="00A67EE3" w:rsidP="00A67EE3">
      <w:pPr>
        <w:spacing w:before="300" w:after="300" w:line="240" w:lineRule="auto"/>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I - 15% (quinze por cento) sobre a parcela dos ganhos que não ultrapassar R$ 5.000.000,00 (cinco milhões de reais);  </w:t>
      </w:r>
    </w:p>
    <w:p w14:paraId="34D90984" w14:textId="77777777" w:rsidR="00A67EE3" w:rsidRPr="003919A9" w:rsidRDefault="00A67EE3" w:rsidP="00A67EE3">
      <w:pPr>
        <w:spacing w:before="300" w:after="300" w:line="240" w:lineRule="auto"/>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II - 17,5% (dezessete inteiros e cinco décimos por cento) sobre a parcela dos ganhos que exceder R$ 5.000.000,00 (cinco milhões de reais) e não ultrapassar R$ 10.000.000,00 (dez milhões de reais);  </w:t>
      </w:r>
    </w:p>
    <w:p w14:paraId="054EDC02" w14:textId="77777777" w:rsidR="00A67EE3" w:rsidRPr="003919A9" w:rsidRDefault="00A67EE3" w:rsidP="00A67EE3">
      <w:pPr>
        <w:spacing w:before="300" w:after="300" w:line="240" w:lineRule="auto"/>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III - 20% (vinte por cento) sobre a parcela dos ganhos que exceder R$ 10.000.000,00 (dez milhões de reais) e não ultrapassar R$ 30.000.000,00 (trinta milhões de reais); e </w:t>
      </w:r>
    </w:p>
    <w:p w14:paraId="3D5ADE0B" w14:textId="77777777" w:rsidR="00A67EE3" w:rsidRPr="003919A9" w:rsidRDefault="00A67EE3" w:rsidP="00A67EE3">
      <w:pPr>
        <w:spacing w:before="300" w:after="300" w:line="240" w:lineRule="auto"/>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 xml:space="preserve">IV - 22,5% (vinte e dois inteiros e cinco décimos por cento) sobre a parcela dos ganhos que ultrapassar R$ 30.000.000,00 (trinta milhões de reais). </w:t>
      </w:r>
    </w:p>
    <w:p w14:paraId="62051101" w14:textId="77777777" w:rsidR="00A67EE3" w:rsidRPr="003919A9" w:rsidRDefault="00A67EE3" w:rsidP="00A67EE3">
      <w:pPr>
        <w:spacing w:before="300" w:after="300" w:line="240" w:lineRule="auto"/>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 </w:t>
      </w:r>
    </w:p>
    <w:p w14:paraId="776A385D" w14:textId="77777777" w:rsidR="00A67EE3" w:rsidRPr="003919A9" w:rsidRDefault="00A67EE3" w:rsidP="00A67EE3">
      <w:pPr>
        <w:spacing w:before="300" w:after="300" w:line="240" w:lineRule="auto"/>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 3</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Na hipótese de alienação em partes do mesmo bem ou direito, a partir da segunda operação, desde que realizada até o final do ano-calendário seguinte ao da primeira operação, o ganho de capital </w:t>
      </w:r>
      <w:r w:rsidRPr="003919A9">
        <w:rPr>
          <w:rFonts w:ascii="Book Antiqua" w:eastAsia="Times New Roman" w:hAnsi="Book Antiqua" w:cs="Times New Roman"/>
          <w:color w:val="000000"/>
          <w:sz w:val="19"/>
          <w:szCs w:val="19"/>
          <w:lang w:eastAsia="pt-BR"/>
        </w:rPr>
        <w:lastRenderedPageBreak/>
        <w:t xml:space="preserve">deve ser somado aos ganhos auferidos nas operações anteriores, para fins da apuração do imposto na forma do </w:t>
      </w:r>
      <w:r w:rsidRPr="003919A9">
        <w:rPr>
          <w:rFonts w:ascii="Book Antiqua" w:eastAsia="Times New Roman" w:hAnsi="Book Antiqua" w:cs="Times New Roman"/>
          <w:b/>
          <w:bCs/>
          <w:color w:val="000000"/>
          <w:sz w:val="19"/>
          <w:szCs w:val="19"/>
          <w:lang w:eastAsia="pt-BR"/>
        </w:rPr>
        <w:t>caput</w:t>
      </w:r>
      <w:r w:rsidRPr="003919A9">
        <w:rPr>
          <w:rFonts w:ascii="Book Antiqua" w:eastAsia="Times New Roman" w:hAnsi="Book Antiqua" w:cs="Times New Roman"/>
          <w:color w:val="000000"/>
          <w:sz w:val="19"/>
          <w:szCs w:val="19"/>
          <w:lang w:eastAsia="pt-BR"/>
        </w:rPr>
        <w:t xml:space="preserve">, deduzindo-se o montante do imposto pago nas operações anteriores. </w:t>
      </w:r>
      <w:r w:rsidRPr="003919A9">
        <w:rPr>
          <w:rFonts w:ascii="Book Antiqua" w:eastAsia="Times New Roman" w:hAnsi="Book Antiqua" w:cs="Times New Roman"/>
          <w:b/>
          <w:bCs/>
          <w:color w:val="000000"/>
          <w:sz w:val="19"/>
          <w:szCs w:val="19"/>
          <w:lang w:eastAsia="pt-BR"/>
        </w:rPr>
        <w:t> </w:t>
      </w:r>
    </w:p>
    <w:p w14:paraId="4101424B" w14:textId="77777777" w:rsidR="00A67EE3" w:rsidRPr="003919A9" w:rsidRDefault="00A67EE3" w:rsidP="00A67EE3">
      <w:pPr>
        <w:spacing w:before="300" w:after="300" w:line="240" w:lineRule="auto"/>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 4</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Para fins do disposto neste artigo, considera-se integrante do mesmo bem ou direito o conjunto de ações ou quotas de uma mesma pessoa jurídica. </w:t>
      </w:r>
    </w:p>
    <w:p w14:paraId="6859107C" w14:textId="77777777" w:rsidR="00A67EE3" w:rsidRPr="003919A9" w:rsidRDefault="00A67EE3" w:rsidP="00A67EE3">
      <w:pPr>
        <w:spacing w:before="300" w:after="300" w:line="240" w:lineRule="auto"/>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 5</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(VETADO).” (NR)  </w:t>
      </w:r>
    </w:p>
    <w:p w14:paraId="3BDA4BB3" w14:textId="77777777" w:rsidR="00A67EE3" w:rsidRPr="003919A9" w:rsidRDefault="00A67EE3" w:rsidP="00A67EE3">
      <w:pPr>
        <w:spacing w:before="300" w:after="300" w:line="240" w:lineRule="auto"/>
        <w:ind w:firstLine="567"/>
        <w:jc w:val="both"/>
        <w:rPr>
          <w:rFonts w:ascii="Book Antiqua" w:eastAsia="Times New Roman" w:hAnsi="Book Antiqua" w:cs="Times New Roman"/>
          <w:sz w:val="19"/>
          <w:szCs w:val="19"/>
          <w:lang w:eastAsia="pt-BR"/>
        </w:rPr>
      </w:pPr>
      <w:bookmarkStart w:id="2" w:name="art2"/>
      <w:bookmarkEnd w:id="2"/>
      <w:r w:rsidRPr="003919A9">
        <w:rPr>
          <w:rFonts w:ascii="Book Antiqua" w:eastAsia="Times New Roman" w:hAnsi="Book Antiqua" w:cs="Times New Roman"/>
          <w:color w:val="000000"/>
          <w:sz w:val="19"/>
          <w:szCs w:val="19"/>
          <w:lang w:eastAsia="pt-BR"/>
        </w:rPr>
        <w:t>Art. 2</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O ganho de capital percebido por pessoa jurídica em decorrência da alienação de bens e direitos do ativo não circulante sujeita-se à incidência do imposto sobre a renda, com a aplicação das alíquotas previstas no </w:t>
      </w:r>
      <w:hyperlink r:id="rId9" w:anchor="art21.." w:history="1">
        <w:r w:rsidRPr="003919A9">
          <w:rPr>
            <w:rFonts w:ascii="Book Antiqua" w:eastAsia="Times New Roman" w:hAnsi="Book Antiqua" w:cs="Times New Roman"/>
            <w:color w:val="0000FF"/>
            <w:sz w:val="19"/>
            <w:szCs w:val="19"/>
            <w:u w:val="single"/>
            <w:lang w:eastAsia="pt-BR"/>
          </w:rPr>
          <w:t>caput do art. 21 da Lei nº 8.981, de 20 de janeiro de 1995</w:t>
        </w:r>
      </w:hyperlink>
      <w:r w:rsidRPr="003919A9">
        <w:rPr>
          <w:rFonts w:ascii="Book Antiqua" w:eastAsia="Times New Roman" w:hAnsi="Book Antiqua" w:cs="Times New Roman"/>
          <w:color w:val="000000"/>
          <w:sz w:val="19"/>
          <w:szCs w:val="19"/>
          <w:lang w:eastAsia="pt-BR"/>
        </w:rPr>
        <w:t xml:space="preserve">, e do disposto nos </w:t>
      </w:r>
      <w:hyperlink r:id="rId10" w:anchor="art21§1" w:history="1">
        <w:r w:rsidRPr="003919A9">
          <w:rPr>
            <w:rFonts w:ascii="Book Antiqua" w:eastAsia="Times New Roman" w:hAnsi="Book Antiqua" w:cs="Times New Roman"/>
            <w:color w:val="0000FF"/>
            <w:sz w:val="19"/>
            <w:szCs w:val="19"/>
            <w:u w:val="single"/>
            <w:lang w:eastAsia="pt-BR"/>
          </w:rPr>
          <w:t>§§ 1º</w:t>
        </w:r>
      </w:hyperlink>
      <w:r w:rsidRPr="003919A9">
        <w:rPr>
          <w:rFonts w:ascii="Book Antiqua" w:eastAsia="Times New Roman" w:hAnsi="Book Antiqua" w:cs="Times New Roman"/>
          <w:sz w:val="19"/>
          <w:szCs w:val="19"/>
          <w:lang w:eastAsia="pt-BR"/>
        </w:rPr>
        <w:t xml:space="preserve">, </w:t>
      </w:r>
      <w:hyperlink r:id="rId11" w:anchor="art21§3." w:history="1">
        <w:r w:rsidRPr="003919A9">
          <w:rPr>
            <w:rFonts w:ascii="Book Antiqua" w:eastAsia="Times New Roman" w:hAnsi="Book Antiqua" w:cs="Times New Roman"/>
            <w:color w:val="0000FF"/>
            <w:sz w:val="19"/>
            <w:szCs w:val="19"/>
            <w:u w:val="single"/>
            <w:lang w:eastAsia="pt-BR"/>
          </w:rPr>
          <w:t>3º</w:t>
        </w:r>
      </w:hyperlink>
      <w:r w:rsidRPr="003919A9">
        <w:rPr>
          <w:rFonts w:ascii="Book Antiqua" w:eastAsia="Times New Roman" w:hAnsi="Book Antiqua" w:cs="Times New Roman"/>
          <w:sz w:val="19"/>
          <w:szCs w:val="19"/>
          <w:lang w:eastAsia="pt-BR"/>
        </w:rPr>
        <w:t xml:space="preserve"> e </w:t>
      </w:r>
      <w:hyperlink r:id="rId12" w:anchor="art21§4." w:history="1">
        <w:r w:rsidRPr="003919A9">
          <w:rPr>
            <w:rFonts w:ascii="Book Antiqua" w:eastAsia="Times New Roman" w:hAnsi="Book Antiqua" w:cs="Times New Roman"/>
            <w:color w:val="0000FF"/>
            <w:sz w:val="19"/>
            <w:szCs w:val="19"/>
            <w:u w:val="single"/>
            <w:lang w:eastAsia="pt-BR"/>
          </w:rPr>
          <w:t>4º do referido artigo</w:t>
        </w:r>
      </w:hyperlink>
      <w:r w:rsidRPr="003919A9">
        <w:rPr>
          <w:rFonts w:ascii="Book Antiqua" w:eastAsia="Times New Roman" w:hAnsi="Book Antiqua" w:cs="Times New Roman"/>
          <w:color w:val="000000"/>
          <w:sz w:val="19"/>
          <w:szCs w:val="19"/>
          <w:lang w:eastAsia="pt-BR"/>
        </w:rPr>
        <w:t>, exceto para as pessoas jurídicas tributadas com base no lucro real, presumido ou arbitrado. </w:t>
      </w:r>
    </w:p>
    <w:p w14:paraId="4096E606" w14:textId="77777777" w:rsidR="00A67EE3" w:rsidRPr="003919A9" w:rsidRDefault="00A67EE3" w:rsidP="00A67EE3">
      <w:pPr>
        <w:spacing w:before="300" w:after="300" w:line="240" w:lineRule="auto"/>
        <w:ind w:firstLine="567"/>
        <w:jc w:val="both"/>
        <w:rPr>
          <w:rFonts w:ascii="Book Antiqua" w:eastAsia="Times New Roman" w:hAnsi="Book Antiqua" w:cs="Times New Roman"/>
          <w:sz w:val="19"/>
          <w:szCs w:val="19"/>
          <w:lang w:eastAsia="pt-BR"/>
        </w:rPr>
      </w:pPr>
      <w:bookmarkStart w:id="3" w:name="art3"/>
      <w:bookmarkEnd w:id="3"/>
      <w:r w:rsidRPr="003919A9">
        <w:rPr>
          <w:rFonts w:ascii="Book Antiqua" w:eastAsia="Times New Roman" w:hAnsi="Book Antiqua" w:cs="Times New Roman"/>
          <w:color w:val="000000"/>
          <w:sz w:val="19"/>
          <w:szCs w:val="19"/>
          <w:lang w:eastAsia="pt-BR"/>
        </w:rPr>
        <w:t>Art. 3</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A </w:t>
      </w:r>
      <w:hyperlink r:id="rId13" w:history="1">
        <w:r w:rsidRPr="003919A9">
          <w:rPr>
            <w:rFonts w:ascii="Book Antiqua" w:eastAsia="Times New Roman" w:hAnsi="Book Antiqua" w:cs="Times New Roman"/>
            <w:color w:val="0000FF"/>
            <w:sz w:val="19"/>
            <w:szCs w:val="19"/>
            <w:u w:val="single"/>
            <w:lang w:eastAsia="pt-BR"/>
          </w:rPr>
          <w:t>Lei n</w:t>
        </w:r>
        <w:r w:rsidRPr="003919A9">
          <w:rPr>
            <w:rFonts w:ascii="Book Antiqua" w:eastAsia="Times New Roman" w:hAnsi="Book Antiqua" w:cs="Times New Roman"/>
            <w:color w:val="0000FF"/>
            <w:sz w:val="19"/>
            <w:szCs w:val="19"/>
            <w:u w:val="single"/>
            <w:vertAlign w:val="superscript"/>
            <w:lang w:eastAsia="pt-BR"/>
          </w:rPr>
          <w:t>o</w:t>
        </w:r>
        <w:r w:rsidRPr="003919A9">
          <w:rPr>
            <w:rFonts w:ascii="Book Antiqua" w:eastAsia="Times New Roman" w:hAnsi="Book Antiqua" w:cs="Times New Roman"/>
            <w:color w:val="0000FF"/>
            <w:sz w:val="19"/>
            <w:szCs w:val="19"/>
            <w:u w:val="single"/>
            <w:lang w:eastAsia="pt-BR"/>
          </w:rPr>
          <w:t xml:space="preserve"> 12.973, de 13 de maio de 2014</w:t>
        </w:r>
      </w:hyperlink>
      <w:r w:rsidRPr="003919A9">
        <w:rPr>
          <w:rFonts w:ascii="Book Antiqua" w:eastAsia="Times New Roman" w:hAnsi="Book Antiqua" w:cs="Times New Roman"/>
          <w:color w:val="000000"/>
          <w:sz w:val="19"/>
          <w:szCs w:val="19"/>
          <w:lang w:eastAsia="pt-BR"/>
        </w:rPr>
        <w:t>, passa a vigorar acrescida do seguinte art. 82-A:  </w:t>
      </w:r>
    </w:p>
    <w:p w14:paraId="78033F68" w14:textId="77777777" w:rsidR="00A67EE3" w:rsidRPr="003919A9" w:rsidRDefault="00A67EE3" w:rsidP="00A67EE3">
      <w:pPr>
        <w:spacing w:before="300" w:after="300" w:line="240" w:lineRule="auto"/>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w:t>
      </w:r>
      <w:hyperlink r:id="rId14" w:anchor="art82a" w:history="1">
        <w:r w:rsidRPr="003919A9">
          <w:rPr>
            <w:rFonts w:ascii="Book Antiqua" w:eastAsia="Times New Roman" w:hAnsi="Book Antiqua" w:cs="Times New Roman"/>
            <w:color w:val="0000FF"/>
            <w:sz w:val="19"/>
            <w:szCs w:val="19"/>
            <w:u w:val="single"/>
            <w:lang w:eastAsia="pt-BR"/>
          </w:rPr>
          <w:t>Art. 82-A</w:t>
        </w:r>
      </w:hyperlink>
      <w:r w:rsidRPr="003919A9">
        <w:rPr>
          <w:rFonts w:ascii="Book Antiqua" w:eastAsia="Times New Roman" w:hAnsi="Book Antiqua" w:cs="Times New Roman"/>
          <w:color w:val="000000"/>
          <w:sz w:val="19"/>
          <w:szCs w:val="19"/>
          <w:lang w:eastAsia="pt-BR"/>
        </w:rPr>
        <w:t xml:space="preserve">.  Opcionalmente, a pessoa jurídica domiciliada no Brasil poderá oferecer à tributação os lucros auferidos por intermédio de suas coligadas no exterior na forma prevista no art. 82, independentemente do descumprimento das condições previstas no </w:t>
      </w:r>
      <w:r w:rsidRPr="003919A9">
        <w:rPr>
          <w:rFonts w:ascii="Book Antiqua" w:eastAsia="Times New Roman" w:hAnsi="Book Antiqua" w:cs="Times New Roman"/>
          <w:b/>
          <w:bCs/>
          <w:color w:val="000000"/>
          <w:sz w:val="19"/>
          <w:szCs w:val="19"/>
          <w:lang w:eastAsia="pt-BR"/>
        </w:rPr>
        <w:t>caput</w:t>
      </w:r>
      <w:r w:rsidRPr="003919A9">
        <w:rPr>
          <w:rFonts w:ascii="Book Antiqua" w:eastAsia="Times New Roman" w:hAnsi="Book Antiqua" w:cs="Times New Roman"/>
          <w:color w:val="000000"/>
          <w:sz w:val="19"/>
          <w:szCs w:val="19"/>
          <w:lang w:eastAsia="pt-BR"/>
        </w:rPr>
        <w:t xml:space="preserve"> do art. 81.  </w:t>
      </w:r>
    </w:p>
    <w:p w14:paraId="2FA460B5" w14:textId="77777777" w:rsidR="00A67EE3" w:rsidRPr="003919A9" w:rsidRDefault="00A67EE3" w:rsidP="00A67EE3">
      <w:pPr>
        <w:spacing w:before="300" w:after="300" w:line="240" w:lineRule="auto"/>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 1</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O disposto neste artigo não se aplica às hipóteses em que a pessoa jurídica coligada domiciliada no Brasil é equiparada à controladora, nos termos do art. 83.  </w:t>
      </w:r>
    </w:p>
    <w:p w14:paraId="501ED732" w14:textId="77777777" w:rsidR="00A67EE3" w:rsidRPr="003919A9" w:rsidRDefault="00A67EE3" w:rsidP="00A67EE3">
      <w:pPr>
        <w:spacing w:before="300" w:after="300" w:line="240" w:lineRule="auto"/>
        <w:jc w:val="both"/>
        <w:rPr>
          <w:rFonts w:ascii="Book Antiqua" w:eastAsia="Times New Roman" w:hAnsi="Book Antiqua" w:cs="Times New Roman"/>
          <w:color w:val="000000"/>
          <w:sz w:val="19"/>
          <w:szCs w:val="19"/>
          <w:lang w:eastAsia="pt-BR"/>
        </w:rPr>
      </w:pPr>
      <w:r w:rsidRPr="003919A9">
        <w:rPr>
          <w:rFonts w:ascii="Book Antiqua" w:eastAsia="Times New Roman" w:hAnsi="Book Antiqua" w:cs="Times New Roman"/>
          <w:color w:val="000000"/>
          <w:sz w:val="19"/>
          <w:szCs w:val="19"/>
          <w:lang w:eastAsia="pt-BR"/>
        </w:rPr>
        <w:t>§ 2</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A Secretaria da Receita Federal do Brasil estabelecerá a forma e as condições para a opção de que trata o </w:t>
      </w:r>
      <w:r w:rsidRPr="003919A9">
        <w:rPr>
          <w:rFonts w:ascii="Book Antiqua" w:eastAsia="Times New Roman" w:hAnsi="Book Antiqua" w:cs="Times New Roman"/>
          <w:b/>
          <w:bCs/>
          <w:color w:val="000000"/>
          <w:sz w:val="19"/>
          <w:szCs w:val="19"/>
          <w:lang w:eastAsia="pt-BR"/>
        </w:rPr>
        <w:t>caput</w:t>
      </w:r>
      <w:r w:rsidRPr="003919A9">
        <w:rPr>
          <w:rFonts w:ascii="Book Antiqua" w:eastAsia="Times New Roman" w:hAnsi="Book Antiqua" w:cs="Times New Roman"/>
          <w:color w:val="000000"/>
          <w:sz w:val="19"/>
          <w:szCs w:val="19"/>
          <w:lang w:eastAsia="pt-BR"/>
        </w:rPr>
        <w:t>.”  </w:t>
      </w:r>
    </w:p>
    <w:p w14:paraId="4A327207" w14:textId="367219DA" w:rsidR="006D6C6A" w:rsidRPr="003919A9" w:rsidRDefault="006D6C6A" w:rsidP="006D6C6A">
      <w:pPr>
        <w:spacing w:before="100" w:beforeAutospacing="1" w:after="100" w:afterAutospacing="1" w:line="240" w:lineRule="auto"/>
        <w:ind w:firstLine="525"/>
        <w:jc w:val="both"/>
        <w:textAlignment w:val="baseline"/>
        <w:rPr>
          <w:rFonts w:ascii="Book Antiqua" w:eastAsia="Times New Roman" w:hAnsi="Book Antiqua" w:cs="Arial"/>
          <w:b/>
          <w:bCs/>
          <w:color w:val="000000"/>
          <w:sz w:val="19"/>
          <w:szCs w:val="19"/>
          <w:u w:val="single"/>
          <w:lang w:eastAsia="pt-BR"/>
        </w:rPr>
      </w:pPr>
      <w:bookmarkStart w:id="4" w:name="art4..."/>
      <w:bookmarkEnd w:id="4"/>
      <w:r w:rsidRPr="003919A9">
        <w:rPr>
          <w:rFonts w:ascii="Book Antiqua" w:eastAsia="Times New Roman" w:hAnsi="Book Antiqua" w:cs="Arial"/>
          <w:b/>
          <w:bCs/>
          <w:color w:val="000000"/>
          <w:sz w:val="19"/>
          <w:szCs w:val="19"/>
          <w:highlight w:val="magenta"/>
          <w:lang w:val="pt-PT" w:eastAsia="pt-BR"/>
        </w:rPr>
        <w:t>Art. 4</w:t>
      </w:r>
      <w:r w:rsidRPr="003919A9">
        <w:rPr>
          <w:rFonts w:ascii="Book Antiqua" w:eastAsia="Times New Roman" w:hAnsi="Book Antiqua" w:cs="Arial"/>
          <w:b/>
          <w:bCs/>
          <w:strike/>
          <w:color w:val="000000"/>
          <w:sz w:val="19"/>
          <w:szCs w:val="19"/>
          <w:highlight w:val="magenta"/>
          <w:lang w:val="pt-PT" w:eastAsia="pt-BR"/>
        </w:rPr>
        <w:t>º</w:t>
      </w:r>
      <w:r w:rsidRPr="003919A9">
        <w:rPr>
          <w:rFonts w:ascii="Book Antiqua" w:eastAsia="Times New Roman" w:hAnsi="Book Antiqua" w:cs="Arial"/>
          <w:color w:val="000000"/>
          <w:sz w:val="19"/>
          <w:szCs w:val="19"/>
          <w:lang w:val="pt-PT" w:eastAsia="pt-BR"/>
        </w:rPr>
        <w:t xml:space="preserve"> O crédito tributário inscrito em dívida ativa da União poderá ser extinto, nos termos do </w:t>
      </w:r>
      <w:hyperlink r:id="rId15" w:anchor="art156xi" w:history="1">
        <w:r w:rsidRPr="003919A9">
          <w:rPr>
            <w:rFonts w:ascii="Book Antiqua" w:eastAsia="Times New Roman" w:hAnsi="Book Antiqua" w:cs="Arial"/>
            <w:color w:val="0000FF"/>
            <w:sz w:val="19"/>
            <w:szCs w:val="19"/>
            <w:u w:val="single"/>
            <w:lang w:eastAsia="pt-BR"/>
          </w:rPr>
          <w:t>inciso XI do caput do art. 156 da Lei nº 5.172, de 25 de outubro de 1966 - Código Tributário Nacional</w:t>
        </w:r>
      </w:hyperlink>
      <w:r w:rsidRPr="003919A9">
        <w:rPr>
          <w:rFonts w:ascii="Book Antiqua" w:eastAsia="Times New Roman" w:hAnsi="Book Antiqua" w:cs="Arial"/>
          <w:color w:val="000000"/>
          <w:sz w:val="19"/>
          <w:szCs w:val="19"/>
          <w:lang w:val="pt-PT" w:eastAsia="pt-BR"/>
        </w:rPr>
        <w:t xml:space="preserve">, mediante </w:t>
      </w:r>
      <w:r w:rsidRPr="003919A9">
        <w:rPr>
          <w:rFonts w:ascii="Book Antiqua" w:eastAsia="Times New Roman" w:hAnsi="Book Antiqua" w:cs="Arial"/>
          <w:b/>
          <w:bCs/>
          <w:color w:val="000000"/>
          <w:sz w:val="19"/>
          <w:szCs w:val="19"/>
          <w:highlight w:val="cyan"/>
          <w:lang w:val="pt-PT" w:eastAsia="pt-BR"/>
        </w:rPr>
        <w:t>dação em pagamento de bens imóveis</w:t>
      </w:r>
      <w:r w:rsidRPr="003919A9">
        <w:rPr>
          <w:rFonts w:ascii="Book Antiqua" w:eastAsia="Times New Roman" w:hAnsi="Book Antiqua" w:cs="Arial"/>
          <w:color w:val="000000"/>
          <w:sz w:val="19"/>
          <w:szCs w:val="19"/>
          <w:lang w:val="pt-PT" w:eastAsia="pt-BR"/>
        </w:rPr>
        <w:t xml:space="preserve">, a critério do credor, na forma desta Lei, desde que atendidas as seguintes condições:    </w:t>
      </w:r>
      <w:hyperlink r:id="rId16" w:anchor="art4" w:history="1">
        <w:r w:rsidRPr="003919A9">
          <w:rPr>
            <w:rFonts w:ascii="Book Antiqua" w:eastAsia="Times New Roman" w:hAnsi="Book Antiqua" w:cs="Arial"/>
            <w:color w:val="0000FF"/>
            <w:sz w:val="19"/>
            <w:szCs w:val="19"/>
            <w:u w:val="single"/>
            <w:lang w:val="pt-PT" w:eastAsia="pt-BR"/>
          </w:rPr>
          <w:t>(Redação dada pela Lei nº 13.313, de 2016)</w:t>
        </w:r>
      </w:hyperlink>
      <w:r w:rsidR="003919A9">
        <w:rPr>
          <w:rFonts w:ascii="Book Antiqua" w:eastAsia="Times New Roman" w:hAnsi="Book Antiqua" w:cs="Arial"/>
          <w:color w:val="0000FF"/>
          <w:sz w:val="19"/>
          <w:szCs w:val="19"/>
          <w:lang w:val="pt-PT" w:eastAsia="pt-BR"/>
        </w:rPr>
        <w:t xml:space="preserve"> </w:t>
      </w:r>
      <w:bookmarkStart w:id="5" w:name="_Hlk74831094"/>
      <w:r w:rsidR="003919A9" w:rsidRPr="003919A9">
        <w:rPr>
          <w:rFonts w:ascii="Book Antiqua" w:eastAsia="Times New Roman" w:hAnsi="Book Antiqua" w:cs="Arial"/>
          <w:b/>
          <w:bCs/>
          <w:color w:val="FF0000"/>
          <w:sz w:val="19"/>
          <w:szCs w:val="19"/>
          <w:u w:val="single"/>
          <w:lang w:val="pt-PT" w:eastAsia="pt-BR"/>
        </w:rPr>
        <w:t>(TRF2-2018)</w:t>
      </w:r>
      <w:bookmarkEnd w:id="5"/>
    </w:p>
    <w:p w14:paraId="0C4D60B8" w14:textId="77777777" w:rsidR="006D6C6A" w:rsidRPr="003919A9" w:rsidRDefault="006D6C6A" w:rsidP="006D6C6A">
      <w:pPr>
        <w:spacing w:before="100" w:beforeAutospacing="1" w:after="100" w:afterAutospacing="1" w:line="240" w:lineRule="auto"/>
        <w:ind w:firstLine="525"/>
        <w:jc w:val="both"/>
        <w:textAlignment w:val="baseline"/>
        <w:rPr>
          <w:rFonts w:ascii="Book Antiqua" w:eastAsia="Times New Roman" w:hAnsi="Book Antiqua" w:cs="Arial"/>
          <w:color w:val="000000"/>
          <w:sz w:val="19"/>
          <w:szCs w:val="19"/>
          <w:lang w:eastAsia="pt-BR"/>
        </w:rPr>
      </w:pPr>
      <w:r w:rsidRPr="003919A9">
        <w:rPr>
          <w:rFonts w:ascii="Book Antiqua" w:eastAsia="Times New Roman" w:hAnsi="Book Antiqua" w:cs="Arial"/>
          <w:color w:val="000000"/>
          <w:sz w:val="19"/>
          <w:szCs w:val="19"/>
          <w:lang w:val="pt-PT" w:eastAsia="pt-BR"/>
        </w:rPr>
        <w:t xml:space="preserve">I - a dação seja precedida de avaliação do bem ou dos bens ofertados, que devem estar livres e desembaraçados de quaisquer ônus, nos termos de ato do Ministério da Fazenda; e  </w:t>
      </w:r>
      <w:hyperlink r:id="rId17" w:anchor="art4" w:history="1">
        <w:r w:rsidRPr="003919A9">
          <w:rPr>
            <w:rFonts w:ascii="Book Antiqua" w:eastAsia="Times New Roman" w:hAnsi="Book Antiqua" w:cs="Arial"/>
            <w:color w:val="0000FF"/>
            <w:sz w:val="19"/>
            <w:szCs w:val="19"/>
            <w:u w:val="single"/>
            <w:lang w:val="pt-PT" w:eastAsia="pt-BR"/>
          </w:rPr>
          <w:t>(Redação dada pela Lei nº 13.313, de 2016)</w:t>
        </w:r>
      </w:hyperlink>
    </w:p>
    <w:p w14:paraId="0F843515" w14:textId="512F8556" w:rsidR="006D6C6A" w:rsidRPr="003919A9" w:rsidRDefault="006D6C6A" w:rsidP="006D6C6A">
      <w:pPr>
        <w:spacing w:before="100" w:beforeAutospacing="1" w:after="100" w:afterAutospacing="1" w:line="240" w:lineRule="auto"/>
        <w:ind w:firstLine="525"/>
        <w:jc w:val="both"/>
        <w:textAlignment w:val="baseline"/>
        <w:rPr>
          <w:rFonts w:ascii="Book Antiqua" w:eastAsia="Times New Roman" w:hAnsi="Book Antiqua" w:cs="Arial"/>
          <w:color w:val="000000"/>
          <w:sz w:val="19"/>
          <w:szCs w:val="19"/>
          <w:lang w:eastAsia="pt-BR"/>
        </w:rPr>
      </w:pPr>
      <w:r w:rsidRPr="003919A9">
        <w:rPr>
          <w:rFonts w:ascii="Book Antiqua" w:eastAsia="Times New Roman" w:hAnsi="Book Antiqua" w:cs="Arial"/>
          <w:color w:val="000000"/>
          <w:sz w:val="19"/>
          <w:szCs w:val="19"/>
          <w:lang w:val="pt-PT" w:eastAsia="pt-BR"/>
        </w:rPr>
        <w:t xml:space="preserve">II - a dação abranja a totalidade do crédito ou créditos que se pretende liquidar com atualização, juros, multa e encargos legais, sem desconto de qualquer natureza, </w:t>
      </w:r>
      <w:r w:rsidRPr="003919A9">
        <w:rPr>
          <w:rFonts w:ascii="Book Antiqua" w:eastAsia="Times New Roman" w:hAnsi="Book Antiqua" w:cs="Arial"/>
          <w:b/>
          <w:bCs/>
          <w:caps/>
          <w:color w:val="000000"/>
          <w:sz w:val="19"/>
          <w:szCs w:val="19"/>
          <w:highlight w:val="green"/>
          <w:lang w:val="pt-PT" w:eastAsia="pt-BR"/>
        </w:rPr>
        <w:t>assegurando-se</w:t>
      </w:r>
      <w:r w:rsidRPr="003919A9">
        <w:rPr>
          <w:rFonts w:ascii="Book Antiqua" w:eastAsia="Times New Roman" w:hAnsi="Book Antiqua" w:cs="Arial"/>
          <w:color w:val="000000"/>
          <w:sz w:val="19"/>
          <w:szCs w:val="19"/>
          <w:lang w:val="pt-PT" w:eastAsia="pt-BR"/>
        </w:rPr>
        <w:t xml:space="preserve"> </w:t>
      </w:r>
      <w:r w:rsidRPr="003919A9">
        <w:rPr>
          <w:rFonts w:ascii="Book Antiqua" w:eastAsia="Times New Roman" w:hAnsi="Book Antiqua" w:cs="Arial"/>
          <w:b/>
          <w:bCs/>
          <w:color w:val="000000"/>
          <w:sz w:val="19"/>
          <w:szCs w:val="19"/>
          <w:highlight w:val="yellow"/>
          <w:lang w:val="pt-PT" w:eastAsia="pt-BR"/>
        </w:rPr>
        <w:t>ao devedor</w:t>
      </w:r>
      <w:r w:rsidRPr="003919A9">
        <w:rPr>
          <w:rFonts w:ascii="Book Antiqua" w:eastAsia="Times New Roman" w:hAnsi="Book Antiqua" w:cs="Arial"/>
          <w:color w:val="000000"/>
          <w:sz w:val="19"/>
          <w:szCs w:val="19"/>
          <w:lang w:val="pt-PT" w:eastAsia="pt-BR"/>
        </w:rPr>
        <w:t xml:space="preserve"> a </w:t>
      </w:r>
      <w:r w:rsidRPr="003919A9">
        <w:rPr>
          <w:rFonts w:ascii="Book Antiqua" w:eastAsia="Times New Roman" w:hAnsi="Book Antiqua" w:cs="Arial"/>
          <w:b/>
          <w:bCs/>
          <w:color w:val="000000"/>
          <w:sz w:val="19"/>
          <w:szCs w:val="19"/>
          <w:highlight w:val="cyan"/>
          <w:lang w:val="pt-PT" w:eastAsia="pt-BR"/>
        </w:rPr>
        <w:t>possibilidade de complementação</w:t>
      </w:r>
      <w:r w:rsidRPr="003919A9">
        <w:rPr>
          <w:rFonts w:ascii="Book Antiqua" w:eastAsia="Times New Roman" w:hAnsi="Book Antiqua" w:cs="Arial"/>
          <w:color w:val="000000"/>
          <w:sz w:val="19"/>
          <w:szCs w:val="19"/>
          <w:lang w:val="pt-PT" w:eastAsia="pt-BR"/>
        </w:rPr>
        <w:t xml:space="preserve"> </w:t>
      </w:r>
      <w:r w:rsidRPr="003919A9">
        <w:rPr>
          <w:rFonts w:ascii="Book Antiqua" w:eastAsia="Times New Roman" w:hAnsi="Book Antiqua" w:cs="Arial"/>
          <w:b/>
          <w:bCs/>
          <w:color w:val="000000"/>
          <w:sz w:val="19"/>
          <w:szCs w:val="19"/>
          <w:highlight w:val="yellow"/>
          <w:lang w:val="pt-PT" w:eastAsia="pt-BR"/>
        </w:rPr>
        <w:t>em dinheiro de eventual diferença</w:t>
      </w:r>
      <w:r w:rsidRPr="003919A9">
        <w:rPr>
          <w:rFonts w:ascii="Book Antiqua" w:eastAsia="Times New Roman" w:hAnsi="Book Antiqua" w:cs="Arial"/>
          <w:color w:val="000000"/>
          <w:sz w:val="19"/>
          <w:szCs w:val="19"/>
          <w:lang w:val="pt-PT" w:eastAsia="pt-BR"/>
        </w:rPr>
        <w:t xml:space="preserve"> entre os valores da totalidade da dívida e o valor do bem ou dos bens ofertados em dação. </w:t>
      </w:r>
      <w:hyperlink r:id="rId18" w:anchor="art4" w:history="1">
        <w:r w:rsidRPr="003919A9">
          <w:rPr>
            <w:rFonts w:ascii="Book Antiqua" w:eastAsia="Times New Roman" w:hAnsi="Book Antiqua" w:cs="Arial"/>
            <w:color w:val="0000FF"/>
            <w:sz w:val="19"/>
            <w:szCs w:val="19"/>
            <w:u w:val="single"/>
            <w:lang w:val="pt-PT" w:eastAsia="pt-BR"/>
          </w:rPr>
          <w:t>(Redação dada pela Lei nº 13.313, de 2016)</w:t>
        </w:r>
      </w:hyperlink>
      <w:r w:rsidR="003919A9">
        <w:rPr>
          <w:rFonts w:ascii="Book Antiqua" w:eastAsia="Times New Roman" w:hAnsi="Book Antiqua" w:cs="Arial"/>
          <w:color w:val="0000FF"/>
          <w:sz w:val="19"/>
          <w:szCs w:val="19"/>
          <w:lang w:val="pt-PT" w:eastAsia="pt-BR"/>
        </w:rPr>
        <w:t xml:space="preserve"> </w:t>
      </w:r>
      <w:r w:rsidR="003919A9" w:rsidRPr="003919A9">
        <w:rPr>
          <w:rFonts w:ascii="Book Antiqua" w:eastAsia="Times New Roman" w:hAnsi="Book Antiqua" w:cs="Arial"/>
          <w:b/>
          <w:bCs/>
          <w:color w:val="FF0000"/>
          <w:sz w:val="19"/>
          <w:szCs w:val="19"/>
          <w:u w:val="single"/>
          <w:lang w:val="pt-PT" w:eastAsia="pt-BR"/>
        </w:rPr>
        <w:t>(TRF2-2018)</w:t>
      </w:r>
    </w:p>
    <w:tbl>
      <w:tblPr>
        <w:tblStyle w:val="Tabelacomgrade"/>
        <w:tblW w:w="0" w:type="auto"/>
        <w:shd w:val="clear" w:color="auto" w:fill="CCFFFF"/>
        <w:tblLook w:val="04A0" w:firstRow="1" w:lastRow="0" w:firstColumn="1" w:lastColumn="0" w:noHBand="0" w:noVBand="1"/>
      </w:tblPr>
      <w:tblGrid>
        <w:gridCol w:w="8494"/>
      </w:tblGrid>
      <w:tr w:rsidR="00447E9A" w:rsidRPr="003919A9" w14:paraId="060692A7" w14:textId="77777777" w:rsidTr="00447E9A">
        <w:tc>
          <w:tcPr>
            <w:tcW w:w="8494" w:type="dxa"/>
            <w:shd w:val="clear" w:color="auto" w:fill="CCFFFF"/>
          </w:tcPr>
          <w:p w14:paraId="5DF52FFB" w14:textId="77777777" w:rsidR="00447E9A" w:rsidRPr="003919A9" w:rsidRDefault="00447E9A" w:rsidP="00447E9A">
            <w:pPr>
              <w:jc w:val="both"/>
              <w:rPr>
                <w:rFonts w:ascii="Book Antiqua" w:eastAsia="Times New Roman" w:hAnsi="Book Antiqua" w:cs="Times New Roman"/>
                <w:sz w:val="19"/>
                <w:szCs w:val="19"/>
                <w:lang w:eastAsia="pt-BR"/>
              </w:rPr>
            </w:pPr>
            <w:bookmarkStart w:id="6" w:name="art4"/>
            <w:bookmarkEnd w:id="6"/>
            <w:r w:rsidRPr="003919A9">
              <w:rPr>
                <w:rFonts w:ascii="Book Antiqua" w:eastAsia="Times New Roman" w:hAnsi="Book Antiqua" w:cs="Times New Roman"/>
                <w:b/>
                <w:i/>
                <w:sz w:val="19"/>
                <w:szCs w:val="19"/>
                <w:u w:val="single"/>
                <w:lang w:eastAsia="pt-BR"/>
              </w:rPr>
              <w:t>Dação em pagamento:</w:t>
            </w:r>
            <w:r w:rsidRPr="003919A9">
              <w:rPr>
                <w:rFonts w:ascii="Book Antiqua" w:eastAsia="Times New Roman" w:hAnsi="Book Antiqua" w:cs="Times New Roman"/>
                <w:b/>
                <w:i/>
                <w:sz w:val="19"/>
                <w:szCs w:val="19"/>
                <w:lang w:eastAsia="pt-BR"/>
              </w:rPr>
              <w:t xml:space="preserve"> </w:t>
            </w:r>
            <w:r w:rsidRPr="003919A9">
              <w:rPr>
                <w:rFonts w:ascii="Book Antiqua" w:eastAsia="Times New Roman" w:hAnsi="Book Antiqua" w:cs="Times New Roman"/>
                <w:sz w:val="19"/>
                <w:szCs w:val="19"/>
                <w:lang w:eastAsia="pt-BR"/>
              </w:rPr>
              <w:t xml:space="preserve">A forma direta ("normal") de se extinguir uma obrigação em dinheiro é por meio do pagamento. Assim, a forma direta ("normal") de o devedor tributário extinguir sua dívida é por meio do pagamento (art. 156, I, do CTN). No entanto, a legislação admite que isso seja feito também por outros modos. Uma dessas outras formas de se acabar com o crédito tributário é </w:t>
            </w:r>
            <w:r w:rsidRPr="003919A9">
              <w:rPr>
                <w:rFonts w:ascii="Book Antiqua" w:eastAsia="Times New Roman" w:hAnsi="Book Antiqua" w:cs="Times New Roman"/>
                <w:b/>
                <w:i/>
                <w:sz w:val="19"/>
                <w:szCs w:val="19"/>
                <w:lang w:eastAsia="pt-BR"/>
              </w:rPr>
              <w:t xml:space="preserve">a dação em pagamento, prevista  no inciso XI do art. 156 do CTN. </w:t>
            </w:r>
            <w:r w:rsidRPr="003919A9">
              <w:rPr>
                <w:rFonts w:ascii="Book Antiqua" w:eastAsia="Times New Roman" w:hAnsi="Book Antiqua" w:cs="Times New Roman"/>
                <w:b/>
                <w:i/>
                <w:sz w:val="19"/>
                <w:szCs w:val="19"/>
                <w:highlight w:val="green"/>
                <w:u w:val="single"/>
                <w:lang w:eastAsia="pt-BR"/>
              </w:rPr>
              <w:t>Dação em pagamento</w:t>
            </w:r>
            <w:r w:rsidRPr="003919A9">
              <w:rPr>
                <w:rFonts w:ascii="Book Antiqua" w:eastAsia="Times New Roman" w:hAnsi="Book Antiqua" w:cs="Times New Roman"/>
                <w:sz w:val="19"/>
                <w:szCs w:val="19"/>
                <w:lang w:eastAsia="pt-BR"/>
              </w:rPr>
              <w:t xml:space="preserve"> é o ato pelo qual o devedor quita uma dívida vencida entregando ao credor uma prestação diferente daquela que era a prevista inicialmente. No âmbito tributário, a forma inicialmente prevista para o cumprimento da dívida tributária é o pagamento por meio de "moeda corrente, cheque ou vale postal" (art. 162, I, do CTN).  </w:t>
            </w:r>
          </w:p>
          <w:p w14:paraId="223EA9B8" w14:textId="77777777" w:rsidR="00447E9A" w:rsidRPr="003919A9" w:rsidRDefault="00447E9A" w:rsidP="00447E9A">
            <w:pPr>
              <w:jc w:val="both"/>
              <w:rPr>
                <w:rFonts w:ascii="Book Antiqua" w:eastAsia="Times New Roman" w:hAnsi="Book Antiqua" w:cs="Times New Roman"/>
                <w:sz w:val="19"/>
                <w:szCs w:val="19"/>
                <w:lang w:eastAsia="pt-BR"/>
              </w:rPr>
            </w:pPr>
          </w:p>
          <w:p w14:paraId="5901C325" w14:textId="77777777" w:rsidR="00447E9A" w:rsidRPr="003919A9" w:rsidRDefault="00447E9A" w:rsidP="00447E9A">
            <w:pPr>
              <w:jc w:val="both"/>
              <w:rPr>
                <w:rFonts w:ascii="Book Antiqua" w:eastAsia="Times New Roman" w:hAnsi="Book Antiqua" w:cs="Times New Roman"/>
                <w:sz w:val="19"/>
                <w:szCs w:val="19"/>
                <w:lang w:eastAsia="pt-BR"/>
              </w:rPr>
            </w:pPr>
            <w:r w:rsidRPr="003919A9">
              <w:rPr>
                <w:rFonts w:ascii="Book Antiqua" w:eastAsia="Times New Roman" w:hAnsi="Book Antiqua" w:cs="Times New Roman"/>
                <w:sz w:val="19"/>
                <w:szCs w:val="19"/>
                <w:lang w:eastAsia="pt-BR"/>
              </w:rPr>
              <w:t>O inciso XI do art. 156 autoriza que esta quitação seja feita por meio da entrega, pelo devedor, de um bem imóvel que sirva para saldar a dívida. Assim, em vez de pagar com "dinheiro", o devedor tributário quita o débito transferindo um bem imóvel seu para o Poder Público. Nisso consiste a dação em pagamento.</w:t>
            </w:r>
          </w:p>
          <w:p w14:paraId="33A85156" w14:textId="77777777" w:rsidR="00447E9A" w:rsidRPr="003919A9" w:rsidRDefault="00447E9A" w:rsidP="00447E9A">
            <w:pPr>
              <w:jc w:val="both"/>
              <w:rPr>
                <w:rFonts w:ascii="Book Antiqua" w:eastAsia="Times New Roman" w:hAnsi="Book Antiqua" w:cs="Times New Roman"/>
                <w:sz w:val="19"/>
                <w:szCs w:val="19"/>
                <w:lang w:eastAsia="pt-BR"/>
              </w:rPr>
            </w:pPr>
          </w:p>
          <w:p w14:paraId="5B45237C" w14:textId="77777777" w:rsidR="00447E9A" w:rsidRPr="003919A9" w:rsidRDefault="00447E9A" w:rsidP="00447E9A">
            <w:pPr>
              <w:jc w:val="both"/>
              <w:rPr>
                <w:rFonts w:ascii="Book Antiqua" w:eastAsia="Times New Roman" w:hAnsi="Book Antiqua" w:cs="Times New Roman"/>
                <w:sz w:val="19"/>
                <w:szCs w:val="19"/>
                <w:lang w:eastAsia="pt-BR"/>
              </w:rPr>
            </w:pPr>
            <w:r w:rsidRPr="003919A9">
              <w:rPr>
                <w:rFonts w:ascii="Book Antiqua" w:eastAsia="Times New Roman" w:hAnsi="Book Antiqua" w:cs="Times New Roman"/>
                <w:b/>
                <w:i/>
                <w:sz w:val="19"/>
                <w:szCs w:val="19"/>
                <w:u w:val="single"/>
                <w:lang w:eastAsia="pt-BR"/>
              </w:rPr>
              <w:lastRenderedPageBreak/>
              <w:t>Bens imóveis:</w:t>
            </w:r>
            <w:r w:rsidRPr="003919A9">
              <w:rPr>
                <w:rFonts w:ascii="Book Antiqua" w:eastAsia="Times New Roman" w:hAnsi="Book Antiqua" w:cs="Times New Roman"/>
                <w:b/>
                <w:i/>
                <w:sz w:val="19"/>
                <w:szCs w:val="19"/>
                <w:lang w:eastAsia="pt-BR"/>
              </w:rPr>
              <w:t xml:space="preserve"> </w:t>
            </w:r>
            <w:r w:rsidRPr="003919A9">
              <w:rPr>
                <w:rFonts w:ascii="Book Antiqua" w:eastAsia="Times New Roman" w:hAnsi="Book Antiqua" w:cs="Times New Roman"/>
                <w:sz w:val="19"/>
                <w:szCs w:val="19"/>
                <w:lang w:eastAsia="pt-BR"/>
              </w:rPr>
              <w:t xml:space="preserve">Repare que o CTN somente autoriza a dação em pagamento por meio de </w:t>
            </w:r>
            <w:r w:rsidRPr="003919A9">
              <w:rPr>
                <w:rFonts w:ascii="Book Antiqua" w:eastAsia="Times New Roman" w:hAnsi="Book Antiqua" w:cs="Times New Roman"/>
                <w:b/>
                <w:i/>
                <w:sz w:val="19"/>
                <w:szCs w:val="19"/>
                <w:lang w:eastAsia="pt-BR"/>
              </w:rPr>
              <w:t>bens Imóveis</w:t>
            </w:r>
            <w:r w:rsidRPr="003919A9">
              <w:rPr>
                <w:rFonts w:ascii="Book Antiqua" w:eastAsia="Times New Roman" w:hAnsi="Book Antiqua" w:cs="Times New Roman"/>
                <w:sz w:val="19"/>
                <w:szCs w:val="19"/>
                <w:lang w:eastAsia="pt-BR"/>
              </w:rPr>
              <w:t>. Não há, no âmbito tributário, dação em pagamento com bens móveis. Isso porque prevalece na doutrina e na jurisprudência que o rol do art. 156 do CTN é taxativo.</w:t>
            </w:r>
          </w:p>
          <w:p w14:paraId="066F44AF" w14:textId="77777777" w:rsidR="00447E9A" w:rsidRPr="003919A9" w:rsidRDefault="00447E9A" w:rsidP="00447E9A">
            <w:pPr>
              <w:jc w:val="both"/>
              <w:rPr>
                <w:rFonts w:ascii="Book Antiqua" w:eastAsia="Times New Roman" w:hAnsi="Book Antiqua" w:cs="Times New Roman"/>
                <w:sz w:val="19"/>
                <w:szCs w:val="19"/>
                <w:lang w:eastAsia="pt-BR"/>
              </w:rPr>
            </w:pPr>
          </w:p>
          <w:p w14:paraId="75AAB1FB" w14:textId="77777777" w:rsidR="00447E9A" w:rsidRPr="003919A9" w:rsidRDefault="00447E9A" w:rsidP="00447E9A">
            <w:pPr>
              <w:jc w:val="both"/>
              <w:rPr>
                <w:rFonts w:ascii="Book Antiqua" w:eastAsia="Times New Roman" w:hAnsi="Book Antiqua" w:cs="Times New Roman"/>
                <w:sz w:val="19"/>
                <w:szCs w:val="19"/>
                <w:lang w:eastAsia="pt-BR"/>
              </w:rPr>
            </w:pPr>
            <w:r w:rsidRPr="003919A9">
              <w:rPr>
                <w:rFonts w:ascii="Book Antiqua" w:eastAsia="Times New Roman" w:hAnsi="Book Antiqua" w:cs="Times New Roman"/>
                <w:b/>
                <w:i/>
                <w:sz w:val="19"/>
                <w:szCs w:val="19"/>
                <w:u w:val="single"/>
                <w:lang w:eastAsia="pt-BR"/>
              </w:rPr>
              <w:t>Na forma e condições estabelecidas em lei</w:t>
            </w:r>
            <w:r w:rsidRPr="003919A9">
              <w:rPr>
                <w:rFonts w:ascii="Book Antiqua" w:eastAsia="Times New Roman" w:hAnsi="Book Antiqua" w:cs="Times New Roman"/>
                <w:sz w:val="19"/>
                <w:szCs w:val="19"/>
                <w:lang w:eastAsia="pt-BR"/>
              </w:rPr>
              <w:t>: O CTN afirma que a dação em pagamento, no âmbito tributário, deverá ocorrer "na forma e condições estabelecidas em lei". Até então, não havia lei federal disciplinando isso. Como consequência, entendia-se que não era possível a dação em pagamento. O art. 4º da Lei 13</w:t>
            </w:r>
            <w:r w:rsidR="003D7629" w:rsidRPr="003919A9">
              <w:rPr>
                <w:rFonts w:ascii="Book Antiqua" w:eastAsia="Times New Roman" w:hAnsi="Book Antiqua" w:cs="Times New Roman"/>
                <w:sz w:val="19"/>
                <w:szCs w:val="19"/>
                <w:lang w:eastAsia="pt-BR"/>
              </w:rPr>
              <w:t>.</w:t>
            </w:r>
            <w:r w:rsidRPr="003919A9">
              <w:rPr>
                <w:rFonts w:ascii="Book Antiqua" w:eastAsia="Times New Roman" w:hAnsi="Book Antiqua" w:cs="Times New Roman"/>
                <w:sz w:val="19"/>
                <w:szCs w:val="19"/>
                <w:lang w:eastAsia="pt-BR"/>
              </w:rPr>
              <w:t>259/16 veio suprir esta lacuna e previu, de forma muito resumida, a forma como deve ocorrer a dação em pagamento para extinção do crédito tributário. A partir de agora será possível a extinção do crédito tributário mediante dação em pagamento, na forma e condições previstas no art. 4º da Lei nº 13.259/2016.</w:t>
            </w:r>
          </w:p>
          <w:p w14:paraId="307AE42B" w14:textId="77777777" w:rsidR="00447E9A" w:rsidRPr="003919A9" w:rsidRDefault="00447E9A" w:rsidP="00447E9A">
            <w:pPr>
              <w:jc w:val="both"/>
              <w:rPr>
                <w:rFonts w:ascii="Book Antiqua" w:eastAsia="Times New Roman" w:hAnsi="Book Antiqua" w:cs="Times New Roman"/>
                <w:sz w:val="19"/>
                <w:szCs w:val="19"/>
                <w:lang w:eastAsia="pt-BR"/>
              </w:rPr>
            </w:pPr>
          </w:p>
          <w:p w14:paraId="7590145E" w14:textId="77777777" w:rsidR="00447E9A" w:rsidRPr="003919A9" w:rsidRDefault="00B74EA9" w:rsidP="00447E9A">
            <w:pPr>
              <w:jc w:val="both"/>
              <w:rPr>
                <w:rFonts w:ascii="Book Antiqua" w:eastAsia="Times New Roman" w:hAnsi="Book Antiqua" w:cs="Times New Roman"/>
                <w:sz w:val="19"/>
                <w:szCs w:val="19"/>
                <w:lang w:eastAsia="pt-BR"/>
              </w:rPr>
            </w:pPr>
            <w:r w:rsidRPr="003919A9">
              <w:rPr>
                <w:rFonts w:ascii="Book Antiqua" w:eastAsia="Times New Roman" w:hAnsi="Book Antiqua" w:cs="Times New Roman"/>
                <w:b/>
                <w:i/>
                <w:sz w:val="19"/>
                <w:szCs w:val="19"/>
                <w:highlight w:val="magenta"/>
                <w:u w:val="single"/>
                <w:lang w:eastAsia="pt-BR"/>
              </w:rPr>
              <w:t>OBS</w:t>
            </w:r>
            <w:r w:rsidRPr="003919A9">
              <w:rPr>
                <w:rFonts w:ascii="Book Antiqua" w:eastAsia="Times New Roman" w:hAnsi="Book Antiqua" w:cs="Times New Roman"/>
                <w:sz w:val="19"/>
                <w:szCs w:val="19"/>
                <w:highlight w:val="magenta"/>
                <w:lang w:eastAsia="pt-BR"/>
              </w:rPr>
              <w:t>:</w:t>
            </w:r>
            <w:r w:rsidRPr="003919A9">
              <w:rPr>
                <w:rFonts w:ascii="Book Antiqua" w:eastAsia="Times New Roman" w:hAnsi="Book Antiqua" w:cs="Times New Roman"/>
                <w:sz w:val="19"/>
                <w:szCs w:val="19"/>
                <w:lang w:eastAsia="pt-BR"/>
              </w:rPr>
              <w:t xml:space="preserve"> Muita atenção com este art. 4º</w:t>
            </w:r>
            <w:r w:rsidR="00447E9A" w:rsidRPr="003919A9">
              <w:rPr>
                <w:rFonts w:ascii="Book Antiqua" w:eastAsia="Times New Roman" w:hAnsi="Book Antiqua" w:cs="Times New Roman"/>
                <w:sz w:val="19"/>
                <w:szCs w:val="19"/>
                <w:lang w:eastAsia="pt-BR"/>
              </w:rPr>
              <w:t xml:space="preserve"> que será cobrado, em sua literalidade, nas provas de concurso.</w:t>
            </w:r>
          </w:p>
          <w:p w14:paraId="336A56AE" w14:textId="77777777" w:rsidR="00B74EA9" w:rsidRPr="003919A9" w:rsidRDefault="00B74EA9" w:rsidP="00447E9A">
            <w:pPr>
              <w:jc w:val="both"/>
              <w:rPr>
                <w:rFonts w:ascii="Book Antiqua" w:eastAsia="Times New Roman" w:hAnsi="Book Antiqua" w:cs="Times New Roman"/>
                <w:sz w:val="19"/>
                <w:szCs w:val="19"/>
                <w:lang w:eastAsia="pt-BR"/>
              </w:rPr>
            </w:pPr>
          </w:p>
          <w:p w14:paraId="118C26DB" w14:textId="77777777" w:rsidR="00B74EA9" w:rsidRPr="003919A9" w:rsidRDefault="00B74EA9" w:rsidP="00B74EA9">
            <w:pPr>
              <w:jc w:val="both"/>
              <w:rPr>
                <w:rFonts w:ascii="Book Antiqua" w:eastAsia="Times New Roman" w:hAnsi="Book Antiqua" w:cs="Times New Roman"/>
                <w:sz w:val="19"/>
                <w:szCs w:val="19"/>
                <w:lang w:eastAsia="pt-BR"/>
              </w:rPr>
            </w:pPr>
            <w:r w:rsidRPr="003919A9">
              <w:rPr>
                <w:rFonts w:ascii="Book Antiqua" w:eastAsia="Times New Roman" w:hAnsi="Book Antiqua" w:cs="Times New Roman"/>
                <w:b/>
                <w:i/>
                <w:sz w:val="19"/>
                <w:szCs w:val="19"/>
                <w:highlight w:val="green"/>
                <w:u w:val="single"/>
                <w:lang w:eastAsia="pt-BR"/>
              </w:rPr>
              <w:t>Ponto polêmico</w:t>
            </w:r>
            <w:r w:rsidRPr="003919A9">
              <w:rPr>
                <w:rFonts w:ascii="Book Antiqua" w:eastAsia="Times New Roman" w:hAnsi="Book Antiqua" w:cs="Times New Roman"/>
                <w:b/>
                <w:i/>
                <w:sz w:val="19"/>
                <w:szCs w:val="19"/>
                <w:u w:val="single"/>
                <w:lang w:eastAsia="pt-BR"/>
              </w:rPr>
              <w:t>: a forma e as condições para a dação em pagamento poderiam ter sido fixadas por meio de lei ordinária (no caso, a Lei nº 13.259/2016)?</w:t>
            </w:r>
          </w:p>
          <w:p w14:paraId="48BB6AA3" w14:textId="77777777" w:rsidR="00B74EA9" w:rsidRPr="003919A9" w:rsidRDefault="00B74EA9" w:rsidP="00B74EA9">
            <w:pPr>
              <w:pStyle w:val="PargrafodaLista"/>
              <w:numPr>
                <w:ilvl w:val="0"/>
                <w:numId w:val="1"/>
              </w:numPr>
              <w:jc w:val="both"/>
              <w:rPr>
                <w:rFonts w:ascii="Book Antiqua" w:eastAsia="Times New Roman" w:hAnsi="Book Antiqua" w:cs="Times New Roman"/>
                <w:sz w:val="19"/>
                <w:szCs w:val="19"/>
                <w:lang w:eastAsia="pt-BR"/>
              </w:rPr>
            </w:pPr>
            <w:r w:rsidRPr="003919A9">
              <w:rPr>
                <w:rFonts w:ascii="Book Antiqua" w:eastAsia="Times New Roman" w:hAnsi="Book Antiqua" w:cs="Times New Roman"/>
                <w:b/>
                <w:i/>
                <w:sz w:val="19"/>
                <w:szCs w:val="19"/>
                <w:u w:val="single"/>
                <w:lang w:eastAsia="pt-BR"/>
              </w:rPr>
              <w:t>1ª corrente</w:t>
            </w:r>
            <w:r w:rsidRPr="003919A9">
              <w:rPr>
                <w:rFonts w:ascii="Book Antiqua" w:eastAsia="Times New Roman" w:hAnsi="Book Antiqua" w:cs="Times New Roman"/>
                <w:sz w:val="19"/>
                <w:szCs w:val="19"/>
                <w:lang w:eastAsia="pt-BR"/>
              </w:rPr>
              <w:t xml:space="preserve">: </w:t>
            </w:r>
            <w:r w:rsidRPr="003919A9">
              <w:rPr>
                <w:rFonts w:ascii="Book Antiqua" w:eastAsia="Times New Roman" w:hAnsi="Book Antiqua" w:cs="Times New Roman"/>
                <w:sz w:val="19"/>
                <w:szCs w:val="19"/>
                <w:highlight w:val="green"/>
                <w:lang w:eastAsia="pt-BR"/>
              </w:rPr>
              <w:t>NÃO</w:t>
            </w:r>
            <w:r w:rsidRPr="003919A9">
              <w:rPr>
                <w:rFonts w:ascii="Book Antiqua" w:eastAsia="Times New Roman" w:hAnsi="Book Antiqua" w:cs="Times New Roman"/>
                <w:sz w:val="19"/>
                <w:szCs w:val="19"/>
                <w:lang w:eastAsia="pt-BR"/>
              </w:rPr>
              <w:t>, considerando que a CF/88 exige que as normas gerais sobre crédito tributário sejam fixadas por meio de lei complementar (art. 146, III, "b", da CF/88). É a posição de Eduardo Sabbag (Manual de Direito Tributário. 4ª ed., São Paulo: Saraiva, 2012, p. 777). Por este raciocínio, o art. 4º da Lei nº 13.259/2016 seria inconstitucional por afrontar o art. 146, III, "b", da CF/88.</w:t>
            </w:r>
          </w:p>
          <w:p w14:paraId="58F6C934" w14:textId="77777777" w:rsidR="00B74EA9" w:rsidRPr="003919A9" w:rsidRDefault="00B74EA9" w:rsidP="00B74EA9">
            <w:pPr>
              <w:pStyle w:val="PargrafodaLista"/>
              <w:jc w:val="both"/>
              <w:rPr>
                <w:rFonts w:ascii="Book Antiqua" w:eastAsia="Times New Roman" w:hAnsi="Book Antiqua" w:cs="Times New Roman"/>
                <w:sz w:val="19"/>
                <w:szCs w:val="19"/>
                <w:lang w:eastAsia="pt-BR"/>
              </w:rPr>
            </w:pPr>
          </w:p>
          <w:p w14:paraId="0E91AF81" w14:textId="77777777" w:rsidR="00B74EA9" w:rsidRPr="003919A9" w:rsidRDefault="00B74EA9" w:rsidP="00B74EA9">
            <w:pPr>
              <w:pStyle w:val="PargrafodaLista"/>
              <w:numPr>
                <w:ilvl w:val="0"/>
                <w:numId w:val="1"/>
              </w:numPr>
              <w:jc w:val="both"/>
              <w:rPr>
                <w:rFonts w:ascii="Book Antiqua" w:eastAsia="Times New Roman" w:hAnsi="Book Antiqua" w:cs="Times New Roman"/>
                <w:sz w:val="19"/>
                <w:szCs w:val="19"/>
                <w:lang w:eastAsia="pt-BR"/>
              </w:rPr>
            </w:pPr>
            <w:r w:rsidRPr="003919A9">
              <w:rPr>
                <w:rFonts w:ascii="Book Antiqua" w:eastAsia="Times New Roman" w:hAnsi="Book Antiqua" w:cs="Times New Roman"/>
                <w:b/>
                <w:i/>
                <w:sz w:val="19"/>
                <w:szCs w:val="19"/>
                <w:u w:val="single"/>
                <w:lang w:eastAsia="pt-BR"/>
              </w:rPr>
              <w:t>2ª corrente</w:t>
            </w:r>
            <w:r w:rsidRPr="003919A9">
              <w:rPr>
                <w:rFonts w:ascii="Book Antiqua" w:eastAsia="Times New Roman" w:hAnsi="Book Antiqua" w:cs="Times New Roman"/>
                <w:sz w:val="19"/>
                <w:szCs w:val="19"/>
                <w:lang w:eastAsia="pt-BR"/>
              </w:rPr>
              <w:t xml:space="preserve">: </w:t>
            </w:r>
            <w:r w:rsidRPr="003919A9">
              <w:rPr>
                <w:rFonts w:ascii="Book Antiqua" w:eastAsia="Times New Roman" w:hAnsi="Book Antiqua" w:cs="Times New Roman"/>
                <w:sz w:val="19"/>
                <w:szCs w:val="19"/>
                <w:highlight w:val="green"/>
                <w:lang w:eastAsia="pt-BR"/>
              </w:rPr>
              <w:t>SIM</w:t>
            </w:r>
            <w:r w:rsidRPr="003919A9">
              <w:rPr>
                <w:rFonts w:ascii="Book Antiqua" w:eastAsia="Times New Roman" w:hAnsi="Book Antiqua" w:cs="Times New Roman"/>
                <w:sz w:val="19"/>
                <w:szCs w:val="19"/>
                <w:lang w:eastAsia="pt-BR"/>
              </w:rPr>
              <w:t>. A CF/88 exige que as normas gerais sobre crédito tributário sejam trazidas por lei complementar. O CTN (que tem status de lei complementar) prevê essas normas gerais e, em seu art. 156, XI, autorizou que o detalhamento (normas específicas) da disciplina sobre a dação em pagamento fosse feito por meio de lei ordinária. Logo, não há inconstitucionalidade no art. 4º da Lei nº 13.259/2016. É a posição do Dizer o Direito.</w:t>
            </w:r>
          </w:p>
        </w:tc>
      </w:tr>
    </w:tbl>
    <w:p w14:paraId="4534B947" w14:textId="1C92C8BC" w:rsidR="006D6C6A" w:rsidRPr="003919A9" w:rsidRDefault="006D6C6A" w:rsidP="006D6C6A">
      <w:pPr>
        <w:spacing w:before="100" w:beforeAutospacing="1" w:after="100" w:afterAutospacing="1" w:line="240" w:lineRule="auto"/>
        <w:ind w:firstLine="525"/>
        <w:jc w:val="both"/>
        <w:textAlignment w:val="baseline"/>
        <w:rPr>
          <w:rFonts w:ascii="Book Antiqua" w:eastAsia="Times New Roman" w:hAnsi="Book Antiqua" w:cs="Arial"/>
          <w:color w:val="000000"/>
          <w:sz w:val="19"/>
          <w:szCs w:val="19"/>
          <w:lang w:eastAsia="pt-BR"/>
        </w:rPr>
      </w:pPr>
      <w:bookmarkStart w:id="7" w:name="art5"/>
      <w:bookmarkEnd w:id="7"/>
      <w:r w:rsidRPr="003919A9">
        <w:rPr>
          <w:rFonts w:ascii="Book Antiqua" w:eastAsia="Times New Roman" w:hAnsi="Book Antiqua" w:cs="Arial"/>
          <w:b/>
          <w:bCs/>
          <w:color w:val="000000"/>
          <w:sz w:val="19"/>
          <w:szCs w:val="19"/>
          <w:highlight w:val="magenta"/>
          <w:lang w:eastAsia="pt-BR"/>
        </w:rPr>
        <w:lastRenderedPageBreak/>
        <w:t>§ 1º</w:t>
      </w:r>
      <w:r w:rsidRPr="003919A9">
        <w:rPr>
          <w:rFonts w:ascii="Book Antiqua" w:eastAsia="Times New Roman" w:hAnsi="Book Antiqua" w:cs="Arial"/>
          <w:color w:val="000000"/>
          <w:sz w:val="19"/>
          <w:szCs w:val="19"/>
          <w:lang w:eastAsia="pt-BR"/>
        </w:rPr>
        <w:t xml:space="preserve"> O disposto no caput não se aplica aos créditos tributários referentes ao Regime Especial Unificado de Arrecadação de Tributos e Contribuições devidos pelas Microempresas e Empresas de Pequeno Porte - Simples Nacional.  </w:t>
      </w:r>
      <w:hyperlink r:id="rId19" w:anchor="art4" w:history="1">
        <w:r w:rsidRPr="003919A9">
          <w:rPr>
            <w:rFonts w:ascii="Book Antiqua" w:eastAsia="Times New Roman" w:hAnsi="Book Antiqua" w:cs="Arial"/>
            <w:color w:val="0000FF"/>
            <w:sz w:val="19"/>
            <w:szCs w:val="19"/>
            <w:u w:val="single"/>
            <w:lang w:val="pt-PT" w:eastAsia="pt-BR"/>
          </w:rPr>
          <w:t>(Redação dada pela Lei nº 13.313, de 2016)</w:t>
        </w:r>
      </w:hyperlink>
      <w:r w:rsidR="003919A9">
        <w:rPr>
          <w:rFonts w:ascii="Book Antiqua" w:eastAsia="Times New Roman" w:hAnsi="Book Antiqua" w:cs="Arial"/>
          <w:color w:val="0000FF"/>
          <w:sz w:val="19"/>
          <w:szCs w:val="19"/>
          <w:lang w:val="pt-PT" w:eastAsia="pt-BR"/>
        </w:rPr>
        <w:t xml:space="preserve"> </w:t>
      </w:r>
      <w:r w:rsidR="003919A9" w:rsidRPr="003919A9">
        <w:rPr>
          <w:rFonts w:ascii="Book Antiqua" w:eastAsia="Times New Roman" w:hAnsi="Book Antiqua" w:cs="Arial"/>
          <w:b/>
          <w:bCs/>
          <w:color w:val="FF0000"/>
          <w:sz w:val="19"/>
          <w:szCs w:val="19"/>
          <w:u w:val="single"/>
          <w:lang w:val="pt-PT" w:eastAsia="pt-BR"/>
        </w:rPr>
        <w:t>(TRF2-2018)</w:t>
      </w:r>
    </w:p>
    <w:p w14:paraId="12B4C3DE" w14:textId="6E1695BA" w:rsidR="006D6C6A" w:rsidRDefault="006D6C6A" w:rsidP="006D6C6A">
      <w:pPr>
        <w:spacing w:before="100" w:beforeAutospacing="1" w:after="100" w:afterAutospacing="1" w:line="240" w:lineRule="auto"/>
        <w:ind w:firstLine="525"/>
        <w:jc w:val="both"/>
        <w:textAlignment w:val="baseline"/>
        <w:rPr>
          <w:rFonts w:ascii="Book Antiqua" w:eastAsia="Times New Roman" w:hAnsi="Book Antiqua" w:cs="Arial"/>
          <w:color w:val="0000FF"/>
          <w:sz w:val="19"/>
          <w:szCs w:val="19"/>
          <w:lang w:val="pt-PT" w:eastAsia="pt-BR"/>
        </w:rPr>
      </w:pPr>
      <w:r w:rsidRPr="003919A9">
        <w:rPr>
          <w:rFonts w:ascii="Book Antiqua" w:eastAsia="Times New Roman" w:hAnsi="Book Antiqua" w:cs="Arial"/>
          <w:b/>
          <w:bCs/>
          <w:color w:val="000000"/>
          <w:sz w:val="19"/>
          <w:szCs w:val="19"/>
          <w:highlight w:val="magenta"/>
          <w:lang w:val="pt-PT" w:eastAsia="pt-BR"/>
        </w:rPr>
        <w:t>§ 2º</w:t>
      </w:r>
      <w:r w:rsidRPr="003919A9">
        <w:rPr>
          <w:rFonts w:ascii="Book Antiqua" w:eastAsia="Times New Roman" w:hAnsi="Book Antiqua" w:cs="Arial"/>
          <w:color w:val="000000"/>
          <w:sz w:val="19"/>
          <w:szCs w:val="19"/>
          <w:lang w:val="pt-PT" w:eastAsia="pt-BR"/>
        </w:rPr>
        <w:t xml:space="preserve"> Caso o crédito que se pretenda extinguir seja objeto de discussão judicial, a dação em pagamento somente produzirá efeitos após a desistência da referida ação pelo devedor ou corresponsável e a renúncia do direito sobre o qual se funda a ação, devendo o devedor ou o corresponsável arcar com o pagamento das custas judiciais e honorários advocatícios. </w:t>
      </w:r>
      <w:hyperlink r:id="rId20" w:anchor="art4" w:history="1">
        <w:r w:rsidRPr="003919A9">
          <w:rPr>
            <w:rFonts w:ascii="Book Antiqua" w:eastAsia="Times New Roman" w:hAnsi="Book Antiqua" w:cs="Arial"/>
            <w:color w:val="0000FF"/>
            <w:sz w:val="19"/>
            <w:szCs w:val="19"/>
            <w:u w:val="single"/>
            <w:lang w:val="pt-PT" w:eastAsia="pt-BR"/>
          </w:rPr>
          <w:t>(Redação dada pela Lei nº 13.313, de 2016)</w:t>
        </w:r>
      </w:hyperlink>
    </w:p>
    <w:tbl>
      <w:tblPr>
        <w:tblStyle w:val="Tabelacomgrade"/>
        <w:tblW w:w="0" w:type="auto"/>
        <w:tblLook w:val="04A0" w:firstRow="1" w:lastRow="0" w:firstColumn="1" w:lastColumn="0" w:noHBand="0" w:noVBand="1"/>
      </w:tblPr>
      <w:tblGrid>
        <w:gridCol w:w="8494"/>
      </w:tblGrid>
      <w:tr w:rsidR="003919A9" w14:paraId="1186DBDA" w14:textId="77777777" w:rsidTr="003919A9">
        <w:tc>
          <w:tcPr>
            <w:tcW w:w="8494" w:type="dxa"/>
            <w:shd w:val="clear" w:color="auto" w:fill="CCFFFF"/>
          </w:tcPr>
          <w:p w14:paraId="1E893A1B" w14:textId="217A2EDF" w:rsidR="003919A9" w:rsidRPr="003919A9" w:rsidRDefault="003919A9" w:rsidP="006D6C6A">
            <w:pPr>
              <w:spacing w:before="100" w:beforeAutospacing="1" w:after="100" w:afterAutospacing="1"/>
              <w:jc w:val="both"/>
              <w:textAlignment w:val="baseline"/>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3919A9">
              <w:rPr>
                <w:rFonts w:ascii="Book Antiqua" w:eastAsia="Times New Roman" w:hAnsi="Book Antiqua" w:cs="Arial"/>
                <w:b/>
                <w:bCs/>
                <w:color w:val="000000"/>
                <w:sz w:val="19"/>
                <w:szCs w:val="19"/>
                <w:highlight w:val="yellow"/>
                <w:lang w:eastAsia="pt-BR"/>
              </w:rPr>
              <w:t>TRF2-2018</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919A9">
              <w:rPr>
                <w:rFonts w:ascii="Book Antiqua" w:eastAsia="Times New Roman" w:hAnsi="Book Antiqua" w:cs="Arial"/>
                <w:color w:val="000000"/>
                <w:sz w:val="19"/>
                <w:szCs w:val="19"/>
                <w:lang w:eastAsia="pt-BR"/>
              </w:rPr>
              <w:t>Acerca da dação em pagamento como modalidade de extinção de crédito tributário inscrito em dívida ativa da União, assinale a alternativa correta:</w:t>
            </w:r>
            <w:r>
              <w:rPr>
                <w:rFonts w:ascii="Book Antiqua" w:eastAsia="Times New Roman" w:hAnsi="Book Antiqua" w:cs="Arial"/>
                <w:color w:val="000000"/>
                <w:sz w:val="19"/>
                <w:szCs w:val="19"/>
                <w:lang w:eastAsia="pt-BR"/>
              </w:rPr>
              <w:t xml:space="preserve"> </w:t>
            </w:r>
            <w:r w:rsidRPr="003919A9">
              <w:rPr>
                <w:rFonts w:ascii="Book Antiqua" w:eastAsia="Times New Roman" w:hAnsi="Book Antiqua" w:cs="Arial"/>
                <w:color w:val="000000"/>
                <w:sz w:val="19"/>
                <w:szCs w:val="19"/>
                <w:lang w:eastAsia="pt-BR"/>
              </w:rPr>
              <w:t>caso o crédito que se pretenda extinguir seja objeto de discussão judicial, a dação em pagamento somente produzirá efeitos após a desistência da referida ação pelo devedor ou corresponsável e a renúncia dó direito sobre o qual se funda a 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§2º, Lei 13.259.</w:t>
            </w:r>
          </w:p>
        </w:tc>
      </w:tr>
    </w:tbl>
    <w:p w14:paraId="3BCAE4C7" w14:textId="77777777" w:rsidR="006D6C6A" w:rsidRPr="003919A9" w:rsidRDefault="006D6C6A" w:rsidP="003919A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919A9">
        <w:rPr>
          <w:rFonts w:ascii="Book Antiqua" w:eastAsia="Times New Roman" w:hAnsi="Book Antiqua" w:cs="Arial"/>
          <w:color w:val="000000"/>
          <w:sz w:val="19"/>
          <w:szCs w:val="19"/>
          <w:lang w:eastAsia="pt-BR"/>
        </w:rPr>
        <w:t xml:space="preserve">§ 3º A União observará a destinação específica dos créditos extintos por dação em pagamento, nos termos de ato do Ministério da Fazenda.    </w:t>
      </w:r>
      <w:hyperlink r:id="rId21" w:anchor="art4" w:history="1">
        <w:r w:rsidRPr="003919A9">
          <w:rPr>
            <w:rFonts w:ascii="Book Antiqua" w:eastAsia="Times New Roman" w:hAnsi="Book Antiqua" w:cs="Arial"/>
            <w:color w:val="0000FF"/>
            <w:sz w:val="19"/>
            <w:szCs w:val="19"/>
            <w:u w:val="single"/>
            <w:lang w:val="pt-PT" w:eastAsia="pt-BR"/>
          </w:rPr>
          <w:t>(Redação dada pela Lei nº 13.313, de 2016)</w:t>
        </w:r>
      </w:hyperlink>
    </w:p>
    <w:p w14:paraId="14566FE2" w14:textId="77777777" w:rsidR="003919A9" w:rsidRPr="003919A9" w:rsidRDefault="003919A9" w:rsidP="003919A9">
      <w:pPr>
        <w:pStyle w:val="texto1"/>
        <w:spacing w:before="225" w:beforeAutospacing="0" w:after="225" w:afterAutospacing="0"/>
        <w:ind w:firstLine="570"/>
        <w:jc w:val="both"/>
        <w:rPr>
          <w:rFonts w:ascii="Book Antiqua" w:hAnsi="Book Antiqua" w:cs="Arial"/>
          <w:color w:val="000000"/>
          <w:sz w:val="19"/>
          <w:szCs w:val="19"/>
        </w:rPr>
      </w:pPr>
      <w:r w:rsidRPr="003919A9">
        <w:rPr>
          <w:rFonts w:ascii="Book Antiqua" w:hAnsi="Book Antiqua" w:cs="Arial"/>
          <w:color w:val="000000"/>
          <w:sz w:val="19"/>
          <w:szCs w:val="19"/>
        </w:rPr>
        <w:t>§ 4º Os registros contábeis decorrentes da dação em pagamento de que trata o </w:t>
      </w:r>
      <w:r w:rsidRPr="003919A9">
        <w:rPr>
          <w:rFonts w:ascii="Book Antiqua" w:hAnsi="Book Antiqua" w:cs="Arial"/>
          <w:b/>
          <w:bCs/>
          <w:color w:val="000000"/>
          <w:sz w:val="19"/>
          <w:szCs w:val="19"/>
        </w:rPr>
        <w:t>caput</w:t>
      </w:r>
      <w:r w:rsidRPr="003919A9">
        <w:rPr>
          <w:rFonts w:ascii="Book Antiqua" w:hAnsi="Book Antiqua" w:cs="Arial"/>
          <w:color w:val="000000"/>
          <w:sz w:val="19"/>
          <w:szCs w:val="19"/>
        </w:rPr>
        <w:t> deste artigo observarão as normas gerais de consolidação das contas públicas de que trata o § 2º do art. 50 da Lei Complementar nº 101, de 4 de maio de 2000.       </w:t>
      </w:r>
      <w:hyperlink r:id="rId22" w:anchor="art5" w:history="1">
        <w:r w:rsidRPr="003919A9">
          <w:rPr>
            <w:rStyle w:val="Hyperlink"/>
            <w:rFonts w:ascii="Book Antiqua" w:hAnsi="Book Antiqua" w:cs="Arial"/>
            <w:sz w:val="19"/>
            <w:szCs w:val="19"/>
          </w:rPr>
          <w:t>(Incluído pela Lei 14.011, de 2020)</w:t>
        </w:r>
      </w:hyperlink>
    </w:p>
    <w:p w14:paraId="530EE45A" w14:textId="77777777" w:rsidR="003919A9" w:rsidRPr="003919A9" w:rsidRDefault="003919A9" w:rsidP="003919A9">
      <w:pPr>
        <w:pStyle w:val="texto1"/>
        <w:spacing w:before="225" w:beforeAutospacing="0" w:after="225" w:afterAutospacing="0"/>
        <w:ind w:firstLine="570"/>
        <w:jc w:val="both"/>
        <w:rPr>
          <w:rFonts w:ascii="Book Antiqua" w:hAnsi="Book Antiqua" w:cs="Arial"/>
          <w:color w:val="000000"/>
          <w:sz w:val="19"/>
          <w:szCs w:val="19"/>
        </w:rPr>
      </w:pPr>
      <w:bookmarkStart w:id="8" w:name="art4a.0"/>
      <w:bookmarkEnd w:id="8"/>
      <w:r w:rsidRPr="003919A9">
        <w:rPr>
          <w:rFonts w:ascii="Book Antiqua" w:hAnsi="Book Antiqua" w:cs="Arial"/>
          <w:color w:val="000000"/>
          <w:sz w:val="19"/>
          <w:szCs w:val="19"/>
        </w:rPr>
        <w:t>Art. 4º-A. Sem prejuízo dos requisitos e das condições estabelecidos no art. 4º desta Lei, na hipótese de estado de calamidade pública reconhecido em ato do Poder Executivo federal, o crédito inscrito em dívida ativa da União poderá ser extinto mediante dação em pagamento de bens imóveis que possuam valor histórico, cultural, artístico, turístico ou paisagístico, desde que estejam localizados nas áreas descritas nas informações de desastre natural ou tecnológico e as atividades empresariais do devedor legítimo proprietário do bem imóvel decorram das áreas afetadas pelo desastre.        </w:t>
      </w:r>
      <w:hyperlink r:id="rId23" w:anchor="art5" w:history="1">
        <w:r w:rsidRPr="003919A9">
          <w:rPr>
            <w:rStyle w:val="Hyperlink"/>
            <w:rFonts w:ascii="Book Antiqua" w:hAnsi="Book Antiqua" w:cs="Arial"/>
            <w:sz w:val="19"/>
            <w:szCs w:val="19"/>
          </w:rPr>
          <w:t>(Incluído pela Lei 14.011, de 2020)</w:t>
        </w:r>
      </w:hyperlink>
    </w:p>
    <w:p w14:paraId="7D5B33D2" w14:textId="77777777" w:rsidR="003919A9" w:rsidRPr="003919A9" w:rsidRDefault="003919A9" w:rsidP="003919A9">
      <w:pPr>
        <w:pStyle w:val="texto1"/>
        <w:spacing w:before="225" w:beforeAutospacing="0" w:after="225" w:afterAutospacing="0"/>
        <w:ind w:firstLine="570"/>
        <w:jc w:val="both"/>
        <w:rPr>
          <w:rFonts w:ascii="Book Antiqua" w:hAnsi="Book Antiqua" w:cs="Arial"/>
          <w:color w:val="000000"/>
          <w:sz w:val="19"/>
          <w:szCs w:val="19"/>
        </w:rPr>
      </w:pPr>
      <w:r w:rsidRPr="003919A9">
        <w:rPr>
          <w:rFonts w:ascii="Book Antiqua" w:hAnsi="Book Antiqua" w:cs="Arial"/>
          <w:color w:val="000000"/>
          <w:sz w:val="19"/>
          <w:szCs w:val="19"/>
        </w:rPr>
        <w:lastRenderedPageBreak/>
        <w:t>§ 1º Para fins da avaliação de que trata o inciso I do </w:t>
      </w:r>
      <w:r w:rsidRPr="003919A9">
        <w:rPr>
          <w:rFonts w:ascii="Book Antiqua" w:hAnsi="Book Antiqua" w:cs="Arial"/>
          <w:b/>
          <w:bCs/>
          <w:color w:val="000000"/>
          <w:sz w:val="19"/>
          <w:szCs w:val="19"/>
        </w:rPr>
        <w:t>caput</w:t>
      </w:r>
      <w:r w:rsidRPr="003919A9">
        <w:rPr>
          <w:rFonts w:ascii="Book Antiqua" w:hAnsi="Book Antiqua" w:cs="Arial"/>
          <w:color w:val="000000"/>
          <w:sz w:val="19"/>
          <w:szCs w:val="19"/>
        </w:rPr>
        <w:t> do art. 4º desta Lei, caberão ao Instituto do Patrimônio Histórico e Artístico Nacional (Iphan) a autenticação prévia e a definição do valor histórico, cultural, artístico, turístico ou paisagístico, observado, no que couber, o disposto no art. 28 do Decreto-Lei nº 25, de 30 de novembro de 1937.         </w:t>
      </w:r>
      <w:hyperlink r:id="rId24" w:anchor="art5" w:history="1">
        <w:r w:rsidRPr="003919A9">
          <w:rPr>
            <w:rStyle w:val="Hyperlink"/>
            <w:rFonts w:ascii="Book Antiqua" w:hAnsi="Book Antiqua" w:cs="Arial"/>
            <w:sz w:val="19"/>
            <w:szCs w:val="19"/>
          </w:rPr>
          <w:t>(Incluído pela Lei 14.011, de 2020)</w:t>
        </w:r>
      </w:hyperlink>
    </w:p>
    <w:p w14:paraId="2EE00B68" w14:textId="77777777" w:rsidR="003919A9" w:rsidRPr="003919A9" w:rsidRDefault="003919A9" w:rsidP="003919A9">
      <w:pPr>
        <w:pStyle w:val="texto1"/>
        <w:spacing w:before="225" w:beforeAutospacing="0" w:after="225" w:afterAutospacing="0"/>
        <w:ind w:firstLine="570"/>
        <w:jc w:val="both"/>
        <w:rPr>
          <w:rFonts w:ascii="Book Antiqua" w:hAnsi="Book Antiqua" w:cs="Arial"/>
          <w:color w:val="000000"/>
          <w:sz w:val="19"/>
          <w:szCs w:val="19"/>
        </w:rPr>
      </w:pPr>
      <w:r w:rsidRPr="003919A9">
        <w:rPr>
          <w:rFonts w:ascii="Book Antiqua" w:hAnsi="Book Antiqua" w:cs="Arial"/>
          <w:color w:val="000000"/>
          <w:sz w:val="19"/>
          <w:szCs w:val="19"/>
        </w:rPr>
        <w:t>§ 2º O contribuinte que se encontrar na situação de que trata o </w:t>
      </w:r>
      <w:r w:rsidRPr="003919A9">
        <w:rPr>
          <w:rFonts w:ascii="Book Antiqua" w:hAnsi="Book Antiqua" w:cs="Arial"/>
          <w:b/>
          <w:bCs/>
          <w:color w:val="000000"/>
          <w:sz w:val="19"/>
          <w:szCs w:val="19"/>
        </w:rPr>
        <w:t>caput</w:t>
      </w:r>
      <w:r w:rsidRPr="003919A9">
        <w:rPr>
          <w:rFonts w:ascii="Book Antiqua" w:hAnsi="Book Antiqua" w:cs="Arial"/>
          <w:color w:val="000000"/>
          <w:sz w:val="19"/>
          <w:szCs w:val="19"/>
        </w:rPr>
        <w:t> deste artigo cujo crédito que se pretenda extinguir não esteja inscrito em dívida ativa poderá solicitar sua inscrição imediata à Secretaria Especial da Receita Federal do Brasil do Ministério da Economia, desde que renuncie expressamente ao direito sobre o qual se fundamente eventual discussão judicial ou administrativa, observado, no que couber, o disposto no § 2º do art. 4º desta Lei.        </w:t>
      </w:r>
      <w:hyperlink r:id="rId25" w:anchor="art5" w:history="1">
        <w:r w:rsidRPr="003919A9">
          <w:rPr>
            <w:rStyle w:val="Hyperlink"/>
            <w:rFonts w:ascii="Book Antiqua" w:hAnsi="Book Antiqua" w:cs="Arial"/>
            <w:sz w:val="19"/>
            <w:szCs w:val="19"/>
          </w:rPr>
          <w:t>(Incluído pela Lei 14.011, de 2020)</w:t>
        </w:r>
      </w:hyperlink>
    </w:p>
    <w:p w14:paraId="64226208" w14:textId="77777777" w:rsidR="003919A9" w:rsidRPr="003919A9" w:rsidRDefault="003919A9" w:rsidP="003919A9">
      <w:pPr>
        <w:pStyle w:val="texto1"/>
        <w:spacing w:before="225" w:beforeAutospacing="0" w:after="225" w:afterAutospacing="0"/>
        <w:ind w:firstLine="570"/>
        <w:jc w:val="both"/>
        <w:rPr>
          <w:rFonts w:ascii="Book Antiqua" w:hAnsi="Book Antiqua" w:cs="Arial"/>
          <w:color w:val="000000"/>
          <w:sz w:val="19"/>
          <w:szCs w:val="19"/>
        </w:rPr>
      </w:pPr>
      <w:r w:rsidRPr="003919A9">
        <w:rPr>
          <w:rFonts w:ascii="Book Antiqua" w:hAnsi="Book Antiqua" w:cs="Arial"/>
          <w:color w:val="000000"/>
          <w:sz w:val="19"/>
          <w:szCs w:val="19"/>
        </w:rPr>
        <w:t>§ 3º Na hipótese de desastre tecnológico, consumada a dação em pagamento para a extinção dos débitos tributários, a União sub-rogar-se-á nos direitos inerentes à indenização devida pelo causador do dano e, na hipótese de inadimplemento, promoverá a inscrição em dívida ativa dos valores apurados em procedimento administrativo próprio, observado o disposto na Lei nº 9.784, de 29 de janeiro de 1999.       </w:t>
      </w:r>
      <w:hyperlink r:id="rId26" w:anchor="art5" w:history="1">
        <w:r w:rsidRPr="003919A9">
          <w:rPr>
            <w:rStyle w:val="Hyperlink"/>
            <w:rFonts w:ascii="Book Antiqua" w:hAnsi="Book Antiqua" w:cs="Arial"/>
            <w:sz w:val="19"/>
            <w:szCs w:val="19"/>
          </w:rPr>
          <w:t>(Incluído pela Lei 14.011, de 2020)</w:t>
        </w:r>
      </w:hyperlink>
    </w:p>
    <w:p w14:paraId="1617B12A" w14:textId="77777777" w:rsidR="003919A9" w:rsidRPr="003919A9" w:rsidRDefault="003919A9" w:rsidP="003919A9">
      <w:pPr>
        <w:pStyle w:val="texto1"/>
        <w:spacing w:before="225" w:beforeAutospacing="0" w:after="225" w:afterAutospacing="0"/>
        <w:ind w:firstLine="570"/>
        <w:jc w:val="both"/>
        <w:rPr>
          <w:rFonts w:ascii="Book Antiqua" w:hAnsi="Book Antiqua" w:cs="Arial"/>
          <w:color w:val="000000"/>
          <w:sz w:val="19"/>
          <w:szCs w:val="19"/>
        </w:rPr>
      </w:pPr>
      <w:r w:rsidRPr="003919A9">
        <w:rPr>
          <w:rFonts w:ascii="Book Antiqua" w:hAnsi="Book Antiqua" w:cs="Arial"/>
          <w:color w:val="000000"/>
          <w:sz w:val="19"/>
          <w:szCs w:val="19"/>
        </w:rPr>
        <w:t>§ 4º Não serão aceitos imóveis de difícil alienação, inservíveis ou que não atendam aos critérios de necessidade, de utilidade e de conveniência, a serem aferidos pela administração pública federal, condicionada a aceitação pela Procuradoria-Geral da Fazenda Nacional e pelo Iphan ao interesse público e à observância das normas e dos procedimentos específicos para a avaliação do bem.     </w:t>
      </w:r>
      <w:hyperlink r:id="rId27" w:anchor="art5" w:history="1">
        <w:r w:rsidRPr="003919A9">
          <w:rPr>
            <w:rStyle w:val="Hyperlink"/>
            <w:rFonts w:ascii="Book Antiqua" w:hAnsi="Book Antiqua" w:cs="Arial"/>
            <w:sz w:val="19"/>
            <w:szCs w:val="19"/>
          </w:rPr>
          <w:t>(Incluído pela Lei 14.011, de 2020)</w:t>
        </w:r>
      </w:hyperlink>
    </w:p>
    <w:p w14:paraId="25F44D16" w14:textId="77777777" w:rsidR="003919A9" w:rsidRPr="003919A9" w:rsidRDefault="003919A9" w:rsidP="003919A9">
      <w:pPr>
        <w:pStyle w:val="texto1"/>
        <w:spacing w:before="225" w:beforeAutospacing="0" w:after="225" w:afterAutospacing="0"/>
        <w:ind w:firstLine="570"/>
        <w:jc w:val="both"/>
        <w:rPr>
          <w:rFonts w:ascii="Book Antiqua" w:hAnsi="Book Antiqua" w:cs="Arial"/>
          <w:color w:val="000000"/>
          <w:sz w:val="19"/>
          <w:szCs w:val="19"/>
        </w:rPr>
      </w:pPr>
      <w:r w:rsidRPr="003919A9">
        <w:rPr>
          <w:rFonts w:ascii="Book Antiqua" w:hAnsi="Book Antiqua" w:cs="Arial"/>
          <w:color w:val="000000"/>
          <w:sz w:val="19"/>
          <w:szCs w:val="19"/>
        </w:rPr>
        <w:t>§ 5º Efetivada a dação em pagamento, os bens imóveis recebidos serão administrados pelo Iphan, diretamente ou por meio de terceiros, mediante procedimento licitatório.        </w:t>
      </w:r>
      <w:hyperlink r:id="rId28" w:anchor="art5" w:history="1">
        <w:r w:rsidRPr="003919A9">
          <w:rPr>
            <w:rStyle w:val="Hyperlink"/>
            <w:rFonts w:ascii="Book Antiqua" w:hAnsi="Book Antiqua" w:cs="Arial"/>
            <w:sz w:val="19"/>
            <w:szCs w:val="19"/>
          </w:rPr>
          <w:t>(Incluído pela Lei 14.011, de 2020)</w:t>
        </w:r>
      </w:hyperlink>
    </w:p>
    <w:p w14:paraId="283DFAA5" w14:textId="77777777" w:rsidR="003919A9" w:rsidRPr="003919A9" w:rsidRDefault="003919A9" w:rsidP="003919A9">
      <w:pPr>
        <w:pStyle w:val="texto1"/>
        <w:spacing w:before="225" w:beforeAutospacing="0" w:after="225" w:afterAutospacing="0"/>
        <w:ind w:firstLine="570"/>
        <w:jc w:val="both"/>
        <w:rPr>
          <w:rFonts w:ascii="Book Antiqua" w:hAnsi="Book Antiqua" w:cs="Arial"/>
          <w:color w:val="000000"/>
          <w:sz w:val="19"/>
          <w:szCs w:val="19"/>
        </w:rPr>
      </w:pPr>
      <w:r w:rsidRPr="003919A9">
        <w:rPr>
          <w:rFonts w:ascii="Book Antiqua" w:hAnsi="Book Antiqua" w:cs="Arial"/>
          <w:color w:val="000000"/>
          <w:sz w:val="19"/>
          <w:szCs w:val="19"/>
        </w:rPr>
        <w:t>§ 6º Ato do Ministro de Estado da Economia disporá sobre a necessidade e a forma de comprovação da disponibilidade orçamentária e financeira para a aceitação da dação em pagamento de que trata este artigo.        </w:t>
      </w:r>
      <w:hyperlink r:id="rId29" w:anchor="art5" w:history="1">
        <w:r w:rsidRPr="003919A9">
          <w:rPr>
            <w:rStyle w:val="Hyperlink"/>
            <w:rFonts w:ascii="Book Antiqua" w:hAnsi="Book Antiqua" w:cs="Arial"/>
            <w:sz w:val="19"/>
            <w:szCs w:val="19"/>
          </w:rPr>
          <w:t>(Incluído pela Lei 14.011, de 2020)</w:t>
        </w:r>
      </w:hyperlink>
    </w:p>
    <w:p w14:paraId="6CC54183" w14:textId="77777777" w:rsidR="003919A9" w:rsidRPr="003919A9" w:rsidRDefault="003919A9" w:rsidP="003919A9">
      <w:pPr>
        <w:pStyle w:val="texto1"/>
        <w:spacing w:before="225" w:beforeAutospacing="0" w:after="225" w:afterAutospacing="0"/>
        <w:ind w:firstLine="570"/>
        <w:jc w:val="both"/>
        <w:rPr>
          <w:rFonts w:ascii="Book Antiqua" w:hAnsi="Book Antiqua" w:cs="Arial"/>
          <w:color w:val="000000"/>
          <w:sz w:val="19"/>
          <w:szCs w:val="19"/>
        </w:rPr>
      </w:pPr>
      <w:r w:rsidRPr="003919A9">
        <w:rPr>
          <w:rFonts w:ascii="Book Antiqua" w:hAnsi="Book Antiqua" w:cs="Arial"/>
          <w:color w:val="000000"/>
          <w:sz w:val="19"/>
          <w:szCs w:val="19"/>
        </w:rPr>
        <w:t>§ 7º O disposto neste artigo não se aplica às hipóteses de declaração de estado de calamidade pública financeira.        </w:t>
      </w:r>
      <w:hyperlink r:id="rId30" w:anchor="art5" w:history="1">
        <w:r w:rsidRPr="003919A9">
          <w:rPr>
            <w:rStyle w:val="Hyperlink"/>
            <w:rFonts w:ascii="Book Antiqua" w:hAnsi="Book Antiqua" w:cs="Arial"/>
            <w:sz w:val="19"/>
            <w:szCs w:val="19"/>
          </w:rPr>
          <w:t>(Incluído pela Lei 14.011, de 2020)</w:t>
        </w:r>
      </w:hyperlink>
    </w:p>
    <w:p w14:paraId="71B78AEB" w14:textId="3887649F" w:rsidR="00A67EE3" w:rsidRPr="003919A9" w:rsidRDefault="00A67EE3" w:rsidP="00A67EE3">
      <w:pPr>
        <w:spacing w:before="300" w:after="300" w:line="240" w:lineRule="auto"/>
        <w:ind w:firstLine="567"/>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Art. 5</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Esta Lei entra em vigor na data de sua publicação, produzindo efeitos a partir de 1</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de janeiro de 2016.  </w:t>
      </w:r>
    </w:p>
    <w:p w14:paraId="29595767" w14:textId="77777777" w:rsidR="00A67EE3" w:rsidRPr="003919A9" w:rsidRDefault="00A67EE3" w:rsidP="00A67EE3">
      <w:pPr>
        <w:spacing w:before="300" w:after="300" w:line="240" w:lineRule="auto"/>
        <w:ind w:firstLine="567"/>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 1</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(VETADO).  </w:t>
      </w:r>
    </w:p>
    <w:p w14:paraId="637AD1F9" w14:textId="77777777" w:rsidR="00A67EE3" w:rsidRPr="003919A9" w:rsidRDefault="00A67EE3" w:rsidP="00A67EE3">
      <w:pPr>
        <w:spacing w:before="300" w:after="300" w:line="240" w:lineRule="auto"/>
        <w:ind w:firstLine="567"/>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 2</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(VETADO). </w:t>
      </w:r>
    </w:p>
    <w:p w14:paraId="79D62933" w14:textId="77777777" w:rsidR="00A67EE3" w:rsidRPr="003919A9" w:rsidRDefault="00A67EE3" w:rsidP="00A67EE3">
      <w:pPr>
        <w:spacing w:before="300" w:after="300" w:line="240" w:lineRule="auto"/>
        <w:ind w:firstLine="567"/>
        <w:jc w:val="both"/>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Brasília, 16 de março de 2016; 195</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da Independência e 128</w:t>
      </w:r>
      <w:r w:rsidRPr="003919A9">
        <w:rPr>
          <w:rFonts w:ascii="Book Antiqua" w:eastAsia="Times New Roman" w:hAnsi="Book Antiqua" w:cs="Times New Roman"/>
          <w:color w:val="000000"/>
          <w:sz w:val="19"/>
          <w:szCs w:val="19"/>
          <w:u w:val="single"/>
          <w:vertAlign w:val="superscript"/>
          <w:lang w:eastAsia="pt-BR"/>
        </w:rPr>
        <w:t>o</w:t>
      </w:r>
      <w:r w:rsidRPr="003919A9">
        <w:rPr>
          <w:rFonts w:ascii="Book Antiqua" w:eastAsia="Times New Roman" w:hAnsi="Book Antiqua" w:cs="Times New Roman"/>
          <w:color w:val="000000"/>
          <w:sz w:val="19"/>
          <w:szCs w:val="19"/>
          <w:lang w:eastAsia="pt-BR"/>
        </w:rPr>
        <w:t xml:space="preserve"> da República. </w:t>
      </w:r>
    </w:p>
    <w:p w14:paraId="27F79160" w14:textId="77777777" w:rsidR="00A67EE3" w:rsidRPr="003919A9" w:rsidRDefault="00A67EE3" w:rsidP="00A67EE3">
      <w:pPr>
        <w:spacing w:before="100" w:beforeAutospacing="1" w:after="100" w:afterAutospacing="1" w:line="240" w:lineRule="auto"/>
        <w:rPr>
          <w:rFonts w:ascii="Book Antiqua" w:eastAsia="Times New Roman" w:hAnsi="Book Antiqua" w:cs="Times New Roman"/>
          <w:sz w:val="19"/>
          <w:szCs w:val="19"/>
          <w:lang w:eastAsia="pt-BR"/>
        </w:rPr>
      </w:pPr>
      <w:r w:rsidRPr="003919A9">
        <w:rPr>
          <w:rFonts w:ascii="Book Antiqua" w:eastAsia="Times New Roman" w:hAnsi="Book Antiqua" w:cs="Times New Roman"/>
          <w:color w:val="000000"/>
          <w:sz w:val="19"/>
          <w:szCs w:val="19"/>
          <w:lang w:eastAsia="pt-BR"/>
        </w:rPr>
        <w:t>DILMA ROUSSEFF</w:t>
      </w:r>
      <w:r w:rsidRPr="003919A9">
        <w:rPr>
          <w:rFonts w:ascii="Book Antiqua" w:eastAsia="Times New Roman" w:hAnsi="Book Antiqua" w:cs="Times New Roman"/>
          <w:color w:val="000000"/>
          <w:sz w:val="19"/>
          <w:szCs w:val="19"/>
          <w:lang w:eastAsia="pt-BR"/>
        </w:rPr>
        <w:br/>
      </w:r>
      <w:r w:rsidRPr="003919A9">
        <w:rPr>
          <w:rFonts w:ascii="Book Antiqua" w:eastAsia="Times New Roman" w:hAnsi="Book Antiqua" w:cs="Times New Roman"/>
          <w:i/>
          <w:iCs/>
          <w:color w:val="000000"/>
          <w:sz w:val="19"/>
          <w:szCs w:val="19"/>
          <w:lang w:eastAsia="pt-BR"/>
        </w:rPr>
        <w:t>Nelson Barbosa</w:t>
      </w:r>
    </w:p>
    <w:sectPr w:rsidR="00A67EE3" w:rsidRPr="003919A9" w:rsidSect="006D6C6A">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1614D" w14:textId="77777777" w:rsidR="00EB1CA5" w:rsidRDefault="00EB1CA5" w:rsidP="006D6C6A">
      <w:pPr>
        <w:spacing w:after="0" w:line="240" w:lineRule="auto"/>
      </w:pPr>
      <w:r>
        <w:separator/>
      </w:r>
    </w:p>
  </w:endnote>
  <w:endnote w:type="continuationSeparator" w:id="0">
    <w:p w14:paraId="5FB23852" w14:textId="77777777" w:rsidR="00EB1CA5" w:rsidRDefault="00EB1CA5" w:rsidP="006D6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FD6AB" w14:textId="77777777" w:rsidR="00EB1CA5" w:rsidRDefault="00EB1CA5" w:rsidP="006D6C6A">
      <w:pPr>
        <w:spacing w:after="0" w:line="240" w:lineRule="auto"/>
      </w:pPr>
      <w:r>
        <w:separator/>
      </w:r>
    </w:p>
  </w:footnote>
  <w:footnote w:type="continuationSeparator" w:id="0">
    <w:p w14:paraId="2DA59433" w14:textId="77777777" w:rsidR="00EB1CA5" w:rsidRDefault="00EB1CA5" w:rsidP="006D6C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17340FF"/>
    <w:multiLevelType w:val="hybridMultilevel"/>
    <w:tmpl w:val="51B86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3B"/>
    <w:rsid w:val="00151B68"/>
    <w:rsid w:val="00296D63"/>
    <w:rsid w:val="0032783B"/>
    <w:rsid w:val="003919A9"/>
    <w:rsid w:val="003D7629"/>
    <w:rsid w:val="00447E9A"/>
    <w:rsid w:val="004A6B55"/>
    <w:rsid w:val="00537B32"/>
    <w:rsid w:val="00642A2D"/>
    <w:rsid w:val="006D6C6A"/>
    <w:rsid w:val="00A67EE3"/>
    <w:rsid w:val="00AD03E1"/>
    <w:rsid w:val="00B74EA9"/>
    <w:rsid w:val="00EB1C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630B9E"/>
  <w15:chartTrackingRefBased/>
  <w15:docId w15:val="{CB8C660C-3399-4694-BF2B-75A48C78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447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74EA9"/>
    <w:pPr>
      <w:ind w:left="720"/>
      <w:contextualSpacing/>
    </w:pPr>
  </w:style>
  <w:style w:type="paragraph" w:styleId="Cabealho">
    <w:name w:val="header"/>
    <w:basedOn w:val="Normal"/>
    <w:link w:val="CabealhoChar"/>
    <w:uiPriority w:val="99"/>
    <w:unhideWhenUsed/>
    <w:rsid w:val="006D6C6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D6C6A"/>
  </w:style>
  <w:style w:type="paragraph" w:styleId="Rodap">
    <w:name w:val="footer"/>
    <w:basedOn w:val="Normal"/>
    <w:link w:val="RodapChar"/>
    <w:uiPriority w:val="99"/>
    <w:unhideWhenUsed/>
    <w:rsid w:val="006D6C6A"/>
    <w:pPr>
      <w:tabs>
        <w:tab w:val="center" w:pos="4252"/>
        <w:tab w:val="right" w:pos="8504"/>
      </w:tabs>
      <w:spacing w:after="0" w:line="240" w:lineRule="auto"/>
    </w:pPr>
  </w:style>
  <w:style w:type="character" w:customStyle="1" w:styleId="RodapChar">
    <w:name w:val="Rodapé Char"/>
    <w:basedOn w:val="Fontepargpadro"/>
    <w:link w:val="Rodap"/>
    <w:uiPriority w:val="99"/>
    <w:rsid w:val="006D6C6A"/>
  </w:style>
  <w:style w:type="paragraph" w:customStyle="1" w:styleId="texto1">
    <w:name w:val="texto1"/>
    <w:basedOn w:val="Normal"/>
    <w:rsid w:val="003919A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3919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627443">
      <w:bodyDiv w:val="1"/>
      <w:marLeft w:val="0"/>
      <w:marRight w:val="0"/>
      <w:marTop w:val="0"/>
      <w:marBottom w:val="0"/>
      <w:divBdr>
        <w:top w:val="none" w:sz="0" w:space="0" w:color="auto"/>
        <w:left w:val="none" w:sz="0" w:space="0" w:color="auto"/>
        <w:bottom w:val="none" w:sz="0" w:space="0" w:color="auto"/>
        <w:right w:val="none" w:sz="0" w:space="0" w:color="auto"/>
      </w:divBdr>
    </w:div>
    <w:div w:id="685593282">
      <w:bodyDiv w:val="1"/>
      <w:marLeft w:val="0"/>
      <w:marRight w:val="0"/>
      <w:marTop w:val="0"/>
      <w:marBottom w:val="0"/>
      <w:divBdr>
        <w:top w:val="none" w:sz="0" w:space="0" w:color="auto"/>
        <w:left w:val="none" w:sz="0" w:space="0" w:color="auto"/>
        <w:bottom w:val="none" w:sz="0" w:space="0" w:color="auto"/>
        <w:right w:val="none" w:sz="0" w:space="0" w:color="auto"/>
      </w:divBdr>
    </w:div>
    <w:div w:id="929195600">
      <w:bodyDiv w:val="1"/>
      <w:marLeft w:val="0"/>
      <w:marRight w:val="0"/>
      <w:marTop w:val="0"/>
      <w:marBottom w:val="0"/>
      <w:divBdr>
        <w:top w:val="none" w:sz="0" w:space="0" w:color="auto"/>
        <w:left w:val="none" w:sz="0" w:space="0" w:color="auto"/>
        <w:bottom w:val="none" w:sz="0" w:space="0" w:color="auto"/>
        <w:right w:val="none" w:sz="0" w:space="0" w:color="auto"/>
      </w:divBdr>
      <w:divsChild>
        <w:div w:id="1269312343">
          <w:marLeft w:val="0"/>
          <w:marRight w:val="0"/>
          <w:marTop w:val="0"/>
          <w:marBottom w:val="0"/>
          <w:divBdr>
            <w:top w:val="none" w:sz="0" w:space="0" w:color="auto"/>
            <w:left w:val="none" w:sz="0" w:space="0" w:color="auto"/>
            <w:bottom w:val="none" w:sz="0" w:space="0" w:color="auto"/>
            <w:right w:val="none" w:sz="0" w:space="0" w:color="auto"/>
          </w:divBdr>
          <w:divsChild>
            <w:div w:id="1311399464">
              <w:marLeft w:val="0"/>
              <w:marRight w:val="0"/>
              <w:marTop w:val="75"/>
              <w:marBottom w:val="450"/>
              <w:divBdr>
                <w:top w:val="none" w:sz="0" w:space="0" w:color="auto"/>
                <w:left w:val="none" w:sz="0" w:space="0" w:color="auto"/>
                <w:bottom w:val="none" w:sz="0" w:space="0" w:color="auto"/>
                <w:right w:val="none" w:sz="0" w:space="0" w:color="auto"/>
              </w:divBdr>
              <w:divsChild>
                <w:div w:id="1890997696">
                  <w:marLeft w:val="0"/>
                  <w:marRight w:val="0"/>
                  <w:marTop w:val="450"/>
                  <w:marBottom w:val="450"/>
                  <w:divBdr>
                    <w:top w:val="none" w:sz="0" w:space="0" w:color="auto"/>
                    <w:left w:val="none" w:sz="0" w:space="0" w:color="auto"/>
                    <w:bottom w:val="none" w:sz="0" w:space="0" w:color="auto"/>
                    <w:right w:val="none" w:sz="0" w:space="0" w:color="auto"/>
                  </w:divBdr>
                  <w:divsChild>
                    <w:div w:id="1891309482">
                      <w:marLeft w:val="0"/>
                      <w:marRight w:val="0"/>
                      <w:marTop w:val="0"/>
                      <w:marBottom w:val="0"/>
                      <w:divBdr>
                        <w:top w:val="none" w:sz="0" w:space="0" w:color="auto"/>
                        <w:left w:val="none" w:sz="0" w:space="0" w:color="auto"/>
                        <w:bottom w:val="none" w:sz="0" w:space="0" w:color="auto"/>
                        <w:right w:val="none" w:sz="0" w:space="0" w:color="auto"/>
                      </w:divBdr>
                      <w:divsChild>
                        <w:div w:id="1493912144">
                          <w:marLeft w:val="0"/>
                          <w:marRight w:val="0"/>
                          <w:marTop w:val="0"/>
                          <w:marBottom w:val="0"/>
                          <w:divBdr>
                            <w:top w:val="none" w:sz="0" w:space="0" w:color="auto"/>
                            <w:left w:val="none" w:sz="0" w:space="0" w:color="auto"/>
                            <w:bottom w:val="none" w:sz="0" w:space="0" w:color="auto"/>
                            <w:right w:val="none" w:sz="0" w:space="0" w:color="auto"/>
                          </w:divBdr>
                          <w:divsChild>
                            <w:div w:id="1803770575">
                              <w:marLeft w:val="0"/>
                              <w:marRight w:val="0"/>
                              <w:marTop w:val="0"/>
                              <w:marBottom w:val="0"/>
                              <w:divBdr>
                                <w:top w:val="none" w:sz="0" w:space="0" w:color="auto"/>
                                <w:left w:val="none" w:sz="0" w:space="0" w:color="auto"/>
                                <w:bottom w:val="none" w:sz="0" w:space="0" w:color="auto"/>
                                <w:right w:val="none" w:sz="0" w:space="0" w:color="auto"/>
                              </w:divBdr>
                              <w:divsChild>
                                <w:div w:id="1646354271">
                                  <w:marLeft w:val="0"/>
                                  <w:marRight w:val="0"/>
                                  <w:marTop w:val="0"/>
                                  <w:marBottom w:val="0"/>
                                  <w:divBdr>
                                    <w:top w:val="none" w:sz="0" w:space="0" w:color="auto"/>
                                    <w:left w:val="none" w:sz="0" w:space="0" w:color="auto"/>
                                    <w:bottom w:val="none" w:sz="0" w:space="0" w:color="auto"/>
                                    <w:right w:val="none" w:sz="0" w:space="0" w:color="auto"/>
                                  </w:divBdr>
                                  <w:divsChild>
                                    <w:div w:id="1302154588">
                                      <w:marLeft w:val="0"/>
                                      <w:marRight w:val="0"/>
                                      <w:marTop w:val="0"/>
                                      <w:marBottom w:val="0"/>
                                      <w:divBdr>
                                        <w:top w:val="none" w:sz="0" w:space="0" w:color="auto"/>
                                        <w:left w:val="none" w:sz="0" w:space="0" w:color="auto"/>
                                        <w:bottom w:val="none" w:sz="0" w:space="0" w:color="auto"/>
                                        <w:right w:val="none" w:sz="0" w:space="0" w:color="auto"/>
                                      </w:divBdr>
                                      <w:divsChild>
                                        <w:div w:id="1669283990">
                                          <w:marLeft w:val="0"/>
                                          <w:marRight w:val="0"/>
                                          <w:marTop w:val="0"/>
                                          <w:marBottom w:val="360"/>
                                          <w:divBdr>
                                            <w:top w:val="none" w:sz="0" w:space="0" w:color="auto"/>
                                            <w:left w:val="none" w:sz="0" w:space="0" w:color="auto"/>
                                            <w:bottom w:val="none" w:sz="0" w:space="0" w:color="auto"/>
                                            <w:right w:val="none" w:sz="0" w:space="0" w:color="auto"/>
                                          </w:divBdr>
                                          <w:divsChild>
                                            <w:div w:id="45398543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5173684">
      <w:bodyDiv w:val="1"/>
      <w:marLeft w:val="0"/>
      <w:marRight w:val="0"/>
      <w:marTop w:val="0"/>
      <w:marBottom w:val="0"/>
      <w:divBdr>
        <w:top w:val="none" w:sz="0" w:space="0" w:color="auto"/>
        <w:left w:val="none" w:sz="0" w:space="0" w:color="auto"/>
        <w:bottom w:val="none" w:sz="0" w:space="0" w:color="auto"/>
        <w:right w:val="none" w:sz="0" w:space="0" w:color="auto"/>
      </w:divBdr>
      <w:divsChild>
        <w:div w:id="16042691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83242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9869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667956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214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256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07240961">
      <w:bodyDiv w:val="1"/>
      <w:marLeft w:val="0"/>
      <w:marRight w:val="0"/>
      <w:marTop w:val="0"/>
      <w:marBottom w:val="0"/>
      <w:divBdr>
        <w:top w:val="none" w:sz="0" w:space="0" w:color="auto"/>
        <w:left w:val="none" w:sz="0" w:space="0" w:color="auto"/>
        <w:bottom w:val="none" w:sz="0" w:space="0" w:color="auto"/>
        <w:right w:val="none" w:sz="0" w:space="0" w:color="auto"/>
      </w:divBdr>
    </w:div>
    <w:div w:id="2082366210">
      <w:bodyDiv w:val="1"/>
      <w:marLeft w:val="0"/>
      <w:marRight w:val="0"/>
      <w:marTop w:val="0"/>
      <w:marBottom w:val="0"/>
      <w:divBdr>
        <w:top w:val="none" w:sz="0" w:space="0" w:color="auto"/>
        <w:left w:val="none" w:sz="0" w:space="0" w:color="auto"/>
        <w:bottom w:val="none" w:sz="0" w:space="0" w:color="auto"/>
        <w:right w:val="none" w:sz="0" w:space="0" w:color="auto"/>
      </w:divBdr>
    </w:div>
    <w:div w:id="2134058840">
      <w:bodyDiv w:val="1"/>
      <w:marLeft w:val="0"/>
      <w:marRight w:val="0"/>
      <w:marTop w:val="0"/>
      <w:marBottom w:val="0"/>
      <w:divBdr>
        <w:top w:val="none" w:sz="0" w:space="0" w:color="auto"/>
        <w:left w:val="none" w:sz="0" w:space="0" w:color="auto"/>
        <w:bottom w:val="none" w:sz="0" w:space="0" w:color="auto"/>
        <w:right w:val="none" w:sz="0" w:space="0" w:color="auto"/>
      </w:divBdr>
      <w:divsChild>
        <w:div w:id="142505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904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3217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79305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9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571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981.htm" TargetMode="External"/><Relationship Id="rId13" Type="http://schemas.openxmlformats.org/officeDocument/2006/relationships/hyperlink" Target="http://www.planalto.gov.br/CCIVIL_03/_Ato2011-2014/2014/Lei/L12973.htm" TargetMode="External"/><Relationship Id="rId18" Type="http://schemas.openxmlformats.org/officeDocument/2006/relationships/hyperlink" Target="http://www.planalto.gov.br/ccivil_03/_Ato2015-2018/2016/Lei/L13313.htm" TargetMode="External"/><Relationship Id="rId26" Type="http://schemas.openxmlformats.org/officeDocument/2006/relationships/hyperlink" Target="http://www.planalto.gov.br/ccivil_03/_Ato2019-2022/2020/Lei/L14011.htm" TargetMode="External"/><Relationship Id="rId3" Type="http://schemas.openxmlformats.org/officeDocument/2006/relationships/settings" Target="settings.xml"/><Relationship Id="rId21" Type="http://schemas.openxmlformats.org/officeDocument/2006/relationships/hyperlink" Target="http://www.planalto.gov.br/ccivil_03/_Ato2015-2018/2016/Lei/L13313.htm" TargetMode="External"/><Relationship Id="rId7" Type="http://schemas.openxmlformats.org/officeDocument/2006/relationships/hyperlink" Target="http://www.planalto.gov.br/CCIVIL_03/LEIS/L8981.htm" TargetMode="External"/><Relationship Id="rId12" Type="http://schemas.openxmlformats.org/officeDocument/2006/relationships/hyperlink" Target="http://www.planalto.gov.br/CCIVIL_03/LEIS/L8981.htm" TargetMode="External"/><Relationship Id="rId17" Type="http://schemas.openxmlformats.org/officeDocument/2006/relationships/hyperlink" Target="http://www.planalto.gov.br/ccivil_03/_Ato2015-2018/2016/Lei/L13313.htm" TargetMode="External"/><Relationship Id="rId25" Type="http://schemas.openxmlformats.org/officeDocument/2006/relationships/hyperlink" Target="http://www.planalto.gov.br/ccivil_03/_Ato2019-2022/2020/Lei/L14011.htm" TargetMode="External"/><Relationship Id="rId2" Type="http://schemas.openxmlformats.org/officeDocument/2006/relationships/styles" Target="styles.xml"/><Relationship Id="rId16" Type="http://schemas.openxmlformats.org/officeDocument/2006/relationships/hyperlink" Target="http://www.planalto.gov.br/ccivil_03/_Ato2015-2018/2016/Lei/L13313.htm" TargetMode="External"/><Relationship Id="rId20" Type="http://schemas.openxmlformats.org/officeDocument/2006/relationships/hyperlink" Target="http://www.planalto.gov.br/ccivil_03/_Ato2015-2018/2016/Lei/L13313.htm" TargetMode="External"/><Relationship Id="rId29" Type="http://schemas.openxmlformats.org/officeDocument/2006/relationships/hyperlink" Target="http://www.planalto.gov.br/ccivil_03/_Ato2019-2022/2020/Lei/L14011.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L8981.htm" TargetMode="External"/><Relationship Id="rId24" Type="http://schemas.openxmlformats.org/officeDocument/2006/relationships/hyperlink" Target="http://www.planalto.gov.br/ccivil_03/_Ato2019-2022/2020/Lei/L14011.ht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planalto.gov.br/ccivil_03/LEIS/L5172.htm" TargetMode="External"/><Relationship Id="rId23" Type="http://schemas.openxmlformats.org/officeDocument/2006/relationships/hyperlink" Target="http://www.planalto.gov.br/ccivil_03/_Ato2019-2022/2020/Lei/L14011.htm" TargetMode="External"/><Relationship Id="rId28" Type="http://schemas.openxmlformats.org/officeDocument/2006/relationships/hyperlink" Target="http://www.planalto.gov.br/ccivil_03/_Ato2019-2022/2020/Lei/L14011.htm" TargetMode="External"/><Relationship Id="rId10" Type="http://schemas.openxmlformats.org/officeDocument/2006/relationships/hyperlink" Target="http://www.planalto.gov.br/CCIVIL_03/LEIS/L8981.htm" TargetMode="External"/><Relationship Id="rId19" Type="http://schemas.openxmlformats.org/officeDocument/2006/relationships/hyperlink" Target="http://www.planalto.gov.br/ccivil_03/_Ato2015-2018/2016/Lei/L13313.ht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alto.gov.br/CCIVIL_03/LEIS/L8981.htm" TargetMode="External"/><Relationship Id="rId14" Type="http://schemas.openxmlformats.org/officeDocument/2006/relationships/hyperlink" Target="http://www.planalto.gov.br/CCIVIL_03/_Ato2011-2014/2014/Lei/L12973.htm" TargetMode="External"/><Relationship Id="rId22" Type="http://schemas.openxmlformats.org/officeDocument/2006/relationships/hyperlink" Target="http://www.planalto.gov.br/ccivil_03/_Ato2019-2022/2020/Lei/L14011.htm" TargetMode="External"/><Relationship Id="rId27" Type="http://schemas.openxmlformats.org/officeDocument/2006/relationships/hyperlink" Target="http://www.planalto.gov.br/ccivil_03/_Ato2019-2022/2020/Lei/L14011.htm" TargetMode="External"/><Relationship Id="rId30" Type="http://schemas.openxmlformats.org/officeDocument/2006/relationships/hyperlink" Target="http://www.planalto.gov.br/ccivil_03/_Ato2019-2022/2020/Lei/L1401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2412</Words>
  <Characters>13031</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8</cp:revision>
  <dcterms:created xsi:type="dcterms:W3CDTF">2016-03-19T19:02:00Z</dcterms:created>
  <dcterms:modified xsi:type="dcterms:W3CDTF">2021-06-17T17:09:00Z</dcterms:modified>
</cp:coreProperties>
</file>