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898F4" w14:textId="1081ABC0" w:rsidR="00E64BDC" w:rsidRPr="00E64BDC" w:rsidRDefault="00E64BDC" w:rsidP="00E64BDC">
      <w:pPr>
        <w:spacing w:before="100" w:beforeAutospacing="1" w:after="100" w:afterAutospacing="1" w:line="240" w:lineRule="auto"/>
        <w:jc w:val="center"/>
        <w:rPr>
          <w:rFonts w:ascii="Book Antiqua" w:hAnsi="Book Antiqua"/>
          <w:b/>
          <w:bCs/>
          <w:color w:val="FF0000"/>
          <w:sz w:val="19"/>
          <w:szCs w:val="19"/>
        </w:rPr>
      </w:pPr>
      <w:r w:rsidRPr="00E64BDC">
        <w:rPr>
          <w:rFonts w:ascii="Book Antiqua" w:hAnsi="Book Antiqua"/>
          <w:b/>
          <w:bCs/>
          <w:color w:val="FF0000"/>
          <w:sz w:val="19"/>
          <w:szCs w:val="19"/>
        </w:rPr>
        <w:t xml:space="preserve">(Atualização em </w:t>
      </w:r>
      <w:r w:rsidR="00D65218">
        <w:rPr>
          <w:rFonts w:ascii="Book Antiqua" w:hAnsi="Book Antiqua"/>
          <w:b/>
          <w:bCs/>
          <w:color w:val="FF0000"/>
          <w:sz w:val="19"/>
          <w:szCs w:val="19"/>
        </w:rPr>
        <w:t>21/04</w:t>
      </w:r>
      <w:r w:rsidRPr="00E64BDC">
        <w:rPr>
          <w:rFonts w:ascii="Book Antiqua" w:hAnsi="Book Antiqua"/>
          <w:b/>
          <w:bCs/>
          <w:color w:val="FF0000"/>
          <w:sz w:val="19"/>
          <w:szCs w:val="19"/>
        </w:rPr>
        <w:t>/2023: questões de concurso)</w:t>
      </w:r>
    </w:p>
    <w:p w14:paraId="190A6278" w14:textId="7F0FA6A2" w:rsidR="00E64BDC" w:rsidRPr="00E64BDC" w:rsidRDefault="00E64BDC" w:rsidP="00E64BDC">
      <w:pPr>
        <w:spacing w:before="100" w:beforeAutospacing="1" w:after="100" w:afterAutospacing="1" w:line="240" w:lineRule="auto"/>
        <w:jc w:val="center"/>
        <w:rPr>
          <w:rFonts w:ascii="Book Antiqua" w:hAnsi="Book Antiqua"/>
          <w:b/>
          <w:bCs/>
          <w:sz w:val="19"/>
          <w:szCs w:val="19"/>
        </w:rPr>
      </w:pPr>
      <w:r w:rsidRPr="00E64BDC">
        <w:rPr>
          <w:rFonts w:ascii="Book Antiqua" w:hAnsi="Book Antiqua"/>
          <w:b/>
          <w:bCs/>
          <w:sz w:val="19"/>
          <w:szCs w:val="19"/>
        </w:rPr>
        <w:t>INSTRUÇÃO NORMATIVA RFB Nº 1112, DE 28 DE DEZEMBRO DE 2010</w:t>
      </w:r>
    </w:p>
    <w:p w14:paraId="3E704CE4" w14:textId="2E0B99F8"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(Publicado(a) no DOU de 30/12/2010, seção 1, página 95)</w:t>
      </w:r>
    </w:p>
    <w:p w14:paraId="18654E6F" w14:textId="77777777" w:rsidR="00E64BDC" w:rsidRPr="00E64BDC" w:rsidRDefault="00E64BDC" w:rsidP="00E64BDC">
      <w:pPr>
        <w:spacing w:before="100" w:beforeAutospacing="1" w:after="100" w:afterAutospacing="1" w:line="240" w:lineRule="auto"/>
        <w:ind w:left="1843"/>
        <w:jc w:val="both"/>
        <w:rPr>
          <w:rFonts w:ascii="Book Antiqua" w:hAnsi="Book Antiqua"/>
          <w:sz w:val="19"/>
          <w:szCs w:val="19"/>
        </w:rPr>
      </w:pPr>
      <w:r w:rsidRPr="00E64BDC">
        <w:rPr>
          <w:rFonts w:ascii="Book Antiqua" w:hAnsi="Book Antiqua"/>
          <w:sz w:val="19"/>
          <w:szCs w:val="19"/>
        </w:rPr>
        <w:t>Aprova o programa e as instruções para preenchimento da Declaração sobre Operações Imobiliárias, versão 6.1, define regras para a sua apresentação e dá outras providências.</w:t>
      </w:r>
    </w:p>
    <w:p w14:paraId="53A51E7E"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O SECRETÁRIO DA RECEITA FEDERAL DO BRASIL, no uso das atribuições que lhe conferem os incisos III e XVI do art. 273 do Regimento Interno da Secretaria da Receita Federal do Brasil, aprovado pela Portaria MF Nº 587, de 21 de dezembro de 2010, e tendo em vista o disposto na Instrução Normativa RFB Nº 969, de 21 de outubro de 2009, resolve:</w:t>
      </w:r>
    </w:p>
    <w:p w14:paraId="008FB8EB"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Art. 1º Aprovar o programa e as instruções para preenchimento da Declaração sobre Operações Imobiliárias (DOI), versão 6.1, para uso obrigatório pelos Serventuários da Justiça, responsáveis por Cartórios de Notas, de Registro de Imóveis e de Títulos e Documentos, relativa às operações imobiliárias anotadas, averbadas, lavradas, matriculadas ou registradas.</w:t>
      </w:r>
    </w:p>
    <w:p w14:paraId="24B5CD7D"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Parágrafo único. O programa gerador da DOI estará disponível no sítio da Secretaria da Receita Federal do Brasil (RFB) na Internet a partir de 3 de janeiro de 2011, no endereço</w:t>
      </w:r>
    </w:p>
    <w:p w14:paraId="697321BE" w14:textId="77777777" w:rsidR="00E64BDC" w:rsidRDefault="00E64BDC" w:rsidP="00E64BDC">
      <w:pPr>
        <w:spacing w:before="100" w:beforeAutospacing="1" w:after="100" w:afterAutospacing="1" w:line="240" w:lineRule="auto"/>
        <w:rPr>
          <w:rFonts w:ascii="Book Antiqua" w:hAnsi="Book Antiqua"/>
          <w:sz w:val="19"/>
          <w:szCs w:val="19"/>
        </w:rPr>
      </w:pPr>
    </w:p>
    <w:p w14:paraId="6D98FE23" w14:textId="7B403661"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CAPÍTULO I</w:t>
      </w:r>
      <w:r w:rsidRPr="00E64BDC">
        <w:rPr>
          <w:rFonts w:ascii="Book Antiqua" w:hAnsi="Book Antiqua"/>
          <w:sz w:val="19"/>
          <w:szCs w:val="19"/>
        </w:rPr>
        <w:br/>
        <w:t>DA DECLARAÇÃO</w:t>
      </w:r>
    </w:p>
    <w:p w14:paraId="215A863B"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F37745">
        <w:rPr>
          <w:rFonts w:ascii="Book Antiqua" w:hAnsi="Book Antiqua"/>
          <w:b/>
          <w:bCs/>
          <w:sz w:val="19"/>
          <w:szCs w:val="19"/>
          <w:highlight w:val="magenta"/>
        </w:rPr>
        <w:t>Art. 2º</w:t>
      </w:r>
      <w:r w:rsidRPr="00E64BDC">
        <w:rPr>
          <w:rFonts w:ascii="Book Antiqua" w:hAnsi="Book Antiqua"/>
          <w:sz w:val="19"/>
          <w:szCs w:val="19"/>
        </w:rPr>
        <w:t xml:space="preserve"> A declaração deverá ser apresentada sempre que ocorrer operação imobiliária de aquisição ou alienação, realizada por pessoa física ou jurídica, independentemente de seu valor, cujos documentos sejam lavrados, anotados, averbados, matriculados ou registrados no respectivo cartório.</w:t>
      </w:r>
    </w:p>
    <w:p w14:paraId="28DC4AE5"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1º Deverá ser emitida uma declaração para cada imóvel alienado ou adquirido.</w:t>
      </w:r>
    </w:p>
    <w:p w14:paraId="2631F548" w14:textId="66E5BDD8" w:rsidR="00E64BDC" w:rsidRPr="00D65218" w:rsidRDefault="00E64BDC" w:rsidP="00E64BDC">
      <w:pPr>
        <w:spacing w:before="100" w:beforeAutospacing="1" w:after="100" w:afterAutospacing="1" w:line="240" w:lineRule="auto"/>
        <w:ind w:firstLine="567"/>
        <w:jc w:val="both"/>
        <w:rPr>
          <w:rFonts w:ascii="Book Antiqua" w:hAnsi="Book Antiqua"/>
          <w:sz w:val="19"/>
          <w:szCs w:val="19"/>
        </w:rPr>
      </w:pPr>
      <w:r w:rsidRPr="00F37745">
        <w:rPr>
          <w:rFonts w:ascii="Book Antiqua" w:hAnsi="Book Antiqua"/>
          <w:b/>
          <w:bCs/>
          <w:sz w:val="19"/>
          <w:szCs w:val="19"/>
          <w:highlight w:val="magenta"/>
        </w:rPr>
        <w:t>§ 2º</w:t>
      </w:r>
      <w:r w:rsidRPr="00E64BDC">
        <w:rPr>
          <w:rFonts w:ascii="Book Antiqua" w:hAnsi="Book Antiqua"/>
          <w:sz w:val="19"/>
          <w:szCs w:val="19"/>
        </w:rPr>
        <w:t xml:space="preserve"> </w:t>
      </w:r>
      <w:r w:rsidRPr="00F37745">
        <w:rPr>
          <w:rFonts w:ascii="Book Antiqua" w:hAnsi="Book Antiqua"/>
          <w:b/>
          <w:bCs/>
          <w:sz w:val="19"/>
          <w:szCs w:val="19"/>
        </w:rPr>
        <w:t>O valor da operação imobiliária será o informado pelas partes ou, na ausência deste, o valor que servir de base para o cálculo do Imposto sobre a Transmissão de Bens Imóveis (ITBI) ou para o cálculo do Imposto sobre Transmissão Causa Mortis e Doação de Quaisquer Bens ou Direitos (ITCD)</w:t>
      </w:r>
      <w:r w:rsidRPr="00F37745">
        <w:rPr>
          <w:rFonts w:ascii="Book Antiqua" w:hAnsi="Book Antiqua"/>
          <w:b/>
          <w:bCs/>
          <w:sz w:val="18"/>
          <w:szCs w:val="18"/>
        </w:rPr>
        <w:t>.</w:t>
      </w:r>
      <w:r w:rsidR="00F37745" w:rsidRPr="00F37745">
        <w:rPr>
          <w:rFonts w:ascii="Book Antiqua" w:hAnsi="Book Antiqua"/>
          <w:b/>
          <w:bCs/>
          <w:sz w:val="18"/>
          <w:szCs w:val="18"/>
        </w:rPr>
        <w:t xml:space="preserve"> </w:t>
      </w:r>
      <w:bookmarkStart w:id="0" w:name="_Hlk129531622"/>
      <w:r w:rsidR="00F37745" w:rsidRPr="00F37745">
        <w:rPr>
          <w:rFonts w:ascii="Book Antiqua" w:hAnsi="Book Antiqua"/>
          <w:b/>
          <w:bCs/>
          <w:color w:val="FF0000"/>
          <w:sz w:val="18"/>
          <w:szCs w:val="18"/>
          <w:u w:val="single"/>
        </w:rPr>
        <w:t>(Cartórios/TJGO-2021)</w:t>
      </w:r>
      <w:bookmarkEnd w:id="0"/>
      <w:r w:rsidR="00D65218">
        <w:rPr>
          <w:rFonts w:ascii="Book Antiqua" w:hAnsi="Book Antiqua"/>
          <w:b/>
          <w:bCs/>
          <w:color w:val="FF0000"/>
          <w:sz w:val="18"/>
          <w:szCs w:val="18"/>
        </w:rPr>
        <w:t xml:space="preserve"> </w:t>
      </w:r>
      <w:r w:rsidR="00D65218" w:rsidRPr="006201F6">
        <w:rPr>
          <w:rFonts w:ascii="Book Antiqua" w:eastAsia="Times New Roman" w:hAnsi="Book Antiqua" w:cs="Times New Roman"/>
          <w:b/>
          <w:bCs/>
          <w:color w:val="FF0000"/>
          <w:sz w:val="18"/>
          <w:szCs w:val="18"/>
          <w:u w:val="single"/>
          <w:lang w:eastAsia="pt-BR"/>
        </w:rPr>
        <w:t>(Cartórios/TJSC-2021)</w:t>
      </w:r>
    </w:p>
    <w:tbl>
      <w:tblPr>
        <w:tblStyle w:val="Tabelacomgrade"/>
        <w:tblW w:w="0" w:type="auto"/>
        <w:tblLook w:val="04A0" w:firstRow="1" w:lastRow="0" w:firstColumn="1" w:lastColumn="0" w:noHBand="0" w:noVBand="1"/>
      </w:tblPr>
      <w:tblGrid>
        <w:gridCol w:w="8494"/>
      </w:tblGrid>
      <w:tr w:rsidR="00F37745" w14:paraId="3B221F30" w14:textId="77777777" w:rsidTr="00F37745">
        <w:tc>
          <w:tcPr>
            <w:tcW w:w="8494" w:type="dxa"/>
            <w:shd w:val="clear" w:color="auto" w:fill="CCFFFF"/>
          </w:tcPr>
          <w:p w14:paraId="7E451421" w14:textId="1D623E63" w:rsidR="00F37745" w:rsidRPr="00F37745" w:rsidRDefault="00F37745" w:rsidP="00F3774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3774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F37745">
              <w:rPr>
                <w:rFonts w:ascii="Book Antiqua" w:hAnsi="Book Antiqua"/>
                <w:sz w:val="19"/>
                <w:szCs w:val="19"/>
              </w:rPr>
              <w:t>Assinale a alternativa correta no que se refere à Declaração de Operação Imobiliária (DOI)</w:t>
            </w:r>
            <w:r>
              <w:rPr>
                <w:rFonts w:ascii="Book Antiqua" w:hAnsi="Book Antiqua"/>
                <w:sz w:val="19"/>
                <w:szCs w:val="19"/>
              </w:rPr>
              <w:t xml:space="preserve">: </w:t>
            </w:r>
            <w:r w:rsidRPr="00F37745">
              <w:rPr>
                <w:rFonts w:ascii="Book Antiqua" w:hAnsi="Book Antiqua"/>
                <w:sz w:val="19"/>
                <w:szCs w:val="19"/>
              </w:rPr>
              <w:t>O valor da operação imobiliária será o informado pelas partes ou, na ausência deste, o valor que servir de base para o cálculo do Imposto sobre a Transmissão de Bens Imóveis (ITBI) ou para o cálculo do Imposto sobre Transmissão Causa Mortis e Doação de Quaisquer Bens ou Direitos (ITCD).</w:t>
            </w:r>
            <w:r>
              <w:rPr>
                <w:rFonts w:ascii="Book Antiqua" w:hAnsi="Book Antiqua"/>
                <w:sz w:val="19"/>
                <w:szCs w:val="19"/>
              </w:rPr>
              <w:t xml:space="preserve"> </w:t>
            </w:r>
            <w:r>
              <w:rPr>
                <w:rFonts w:ascii="Book Antiqua" w:hAnsi="Book Antiqua"/>
                <w:b/>
                <w:bCs/>
                <w:sz w:val="19"/>
                <w:szCs w:val="19"/>
              </w:rPr>
              <w:t>BL: art. 2º, §2º, IN 1112/2010.</w:t>
            </w:r>
          </w:p>
        </w:tc>
      </w:tr>
    </w:tbl>
    <w:p w14:paraId="659B8693" w14:textId="0FF131E9" w:rsidR="00E64BDC" w:rsidRPr="00F37745" w:rsidRDefault="00E64BDC" w:rsidP="00E64BDC">
      <w:pPr>
        <w:spacing w:before="100" w:beforeAutospacing="1" w:after="100" w:afterAutospacing="1" w:line="240" w:lineRule="auto"/>
        <w:ind w:firstLine="567"/>
        <w:jc w:val="both"/>
        <w:rPr>
          <w:rFonts w:ascii="Book Antiqua" w:hAnsi="Book Antiqua"/>
          <w:b/>
          <w:bCs/>
          <w:sz w:val="19"/>
          <w:szCs w:val="19"/>
        </w:rPr>
      </w:pPr>
      <w:r w:rsidRPr="00F37745">
        <w:rPr>
          <w:rFonts w:ascii="Book Antiqua" w:hAnsi="Book Antiqua"/>
          <w:b/>
          <w:bCs/>
          <w:sz w:val="19"/>
          <w:szCs w:val="19"/>
          <w:highlight w:val="magenta"/>
        </w:rPr>
        <w:t>§ 3º</w:t>
      </w:r>
      <w:r w:rsidRPr="00F37745">
        <w:rPr>
          <w:rFonts w:ascii="Book Antiqua" w:hAnsi="Book Antiqua"/>
          <w:b/>
          <w:bCs/>
          <w:sz w:val="19"/>
          <w:szCs w:val="19"/>
        </w:rPr>
        <w:t xml:space="preserve"> O preenchimento da DOI deverá ser feito:</w:t>
      </w:r>
      <w:r w:rsidR="00F37745">
        <w:rPr>
          <w:rFonts w:ascii="Book Antiqua" w:hAnsi="Book Antiqua"/>
          <w:b/>
          <w:bCs/>
          <w:sz w:val="19"/>
          <w:szCs w:val="19"/>
        </w:rPr>
        <w:t xml:space="preserve"> </w:t>
      </w:r>
      <w:r w:rsidR="00F37745" w:rsidRPr="00F37745">
        <w:rPr>
          <w:rFonts w:ascii="Book Antiqua" w:hAnsi="Book Antiqua"/>
          <w:b/>
          <w:bCs/>
          <w:color w:val="FF0000"/>
          <w:sz w:val="18"/>
          <w:szCs w:val="18"/>
          <w:u w:val="single"/>
        </w:rPr>
        <w:t>(Cartórios/TJGO-2021)</w:t>
      </w:r>
    </w:p>
    <w:p w14:paraId="1A8690D1"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xml:space="preserve">I - </w:t>
      </w:r>
      <w:proofErr w:type="gramStart"/>
      <w:r w:rsidRPr="00E64BDC">
        <w:rPr>
          <w:rFonts w:ascii="Book Antiqua" w:hAnsi="Book Antiqua"/>
          <w:sz w:val="19"/>
          <w:szCs w:val="19"/>
        </w:rPr>
        <w:t>pelo</w:t>
      </w:r>
      <w:proofErr w:type="gramEnd"/>
      <w:r w:rsidRPr="00E64BDC">
        <w:rPr>
          <w:rFonts w:ascii="Book Antiqua" w:hAnsi="Book Antiqua"/>
          <w:sz w:val="19"/>
          <w:szCs w:val="19"/>
        </w:rPr>
        <w:t xml:space="preserve"> Serventuário da Justiça titular ou designado para o Cartório de Ofício de Notas, quando da lavratura do instrumento que tenha por objeto a alienação de imóveis, fazendo constar do respectivo instrumento a expressão "EMITIDA A DOI";</w:t>
      </w:r>
    </w:p>
    <w:p w14:paraId="376E6C7B" w14:textId="1E01FFDE" w:rsidR="00E64BDC" w:rsidRPr="00D65218" w:rsidRDefault="00E64BDC" w:rsidP="00E64BDC">
      <w:pPr>
        <w:spacing w:before="100" w:beforeAutospacing="1" w:after="100" w:afterAutospacing="1" w:line="240" w:lineRule="auto"/>
        <w:ind w:firstLine="567"/>
        <w:jc w:val="both"/>
        <w:rPr>
          <w:rFonts w:ascii="Book Antiqua" w:hAnsi="Book Antiqua"/>
          <w:sz w:val="19"/>
          <w:szCs w:val="19"/>
        </w:rPr>
      </w:pPr>
      <w:r w:rsidRPr="00F37745">
        <w:rPr>
          <w:rFonts w:ascii="Book Antiqua" w:hAnsi="Book Antiqua"/>
          <w:b/>
          <w:bCs/>
          <w:sz w:val="19"/>
          <w:szCs w:val="19"/>
        </w:rPr>
        <w:t xml:space="preserve">II - </w:t>
      </w:r>
      <w:proofErr w:type="gramStart"/>
      <w:r w:rsidRPr="00F37745">
        <w:rPr>
          <w:rFonts w:ascii="Book Antiqua" w:hAnsi="Book Antiqua"/>
          <w:b/>
          <w:bCs/>
          <w:sz w:val="19"/>
          <w:szCs w:val="19"/>
        </w:rPr>
        <w:t>pelo</w:t>
      </w:r>
      <w:proofErr w:type="gramEnd"/>
      <w:r w:rsidRPr="00F37745">
        <w:rPr>
          <w:rFonts w:ascii="Book Antiqua" w:hAnsi="Book Antiqua"/>
          <w:b/>
          <w:bCs/>
          <w:sz w:val="19"/>
          <w:szCs w:val="19"/>
        </w:rPr>
        <w:t xml:space="preserve"> Serventuário da Justiça titular ou designado para o Cartório de Registro de Imóveis, quando o documento tiver sido</w:t>
      </w:r>
      <w:r w:rsidRPr="00E64BDC">
        <w:rPr>
          <w:rFonts w:ascii="Book Antiqua" w:hAnsi="Book Antiqua"/>
          <w:sz w:val="19"/>
          <w:szCs w:val="19"/>
        </w:rPr>
        <w:t>:</w:t>
      </w:r>
      <w:r w:rsidR="00F37745">
        <w:rPr>
          <w:rFonts w:ascii="Book Antiqua" w:hAnsi="Book Antiqua"/>
          <w:sz w:val="19"/>
          <w:szCs w:val="19"/>
        </w:rPr>
        <w:t xml:space="preserve"> </w:t>
      </w:r>
      <w:r w:rsidR="00F37745" w:rsidRPr="00F37745">
        <w:rPr>
          <w:rFonts w:ascii="Book Antiqua" w:hAnsi="Book Antiqua"/>
          <w:b/>
          <w:bCs/>
          <w:color w:val="FF0000"/>
          <w:sz w:val="18"/>
          <w:szCs w:val="18"/>
          <w:u w:val="single"/>
        </w:rPr>
        <w:t>(Cartórios/TJGO-2021)</w:t>
      </w:r>
      <w:r w:rsidR="00D65218">
        <w:rPr>
          <w:rFonts w:ascii="Book Antiqua" w:hAnsi="Book Antiqua"/>
          <w:b/>
          <w:bCs/>
          <w:color w:val="FF0000"/>
          <w:sz w:val="18"/>
          <w:szCs w:val="18"/>
        </w:rPr>
        <w:t xml:space="preserve"> </w:t>
      </w:r>
      <w:r w:rsidR="00D65218" w:rsidRPr="006201F6">
        <w:rPr>
          <w:rFonts w:ascii="Book Antiqua" w:eastAsia="Times New Roman" w:hAnsi="Book Antiqua" w:cs="Times New Roman"/>
          <w:b/>
          <w:bCs/>
          <w:color w:val="FF0000"/>
          <w:sz w:val="18"/>
          <w:szCs w:val="18"/>
          <w:u w:val="single"/>
          <w:lang w:eastAsia="pt-BR"/>
        </w:rPr>
        <w:t>(Cartórios/TJSC-2021)</w:t>
      </w:r>
    </w:p>
    <w:p w14:paraId="22447A42"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a) celebrado por instrumento particular;</w:t>
      </w:r>
    </w:p>
    <w:p w14:paraId="38130C12"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lastRenderedPageBreak/>
        <w:t>b) celebrado por autoridade particular com força de escritura pública;</w:t>
      </w:r>
    </w:p>
    <w:p w14:paraId="4DC2DD10"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c) emitido por autoridade judicial (adjudicação, herança, legado ou meação);</w:t>
      </w:r>
    </w:p>
    <w:p w14:paraId="47A79670" w14:textId="1321244C"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F37745">
        <w:rPr>
          <w:rFonts w:ascii="Book Antiqua" w:hAnsi="Book Antiqua"/>
          <w:b/>
          <w:bCs/>
          <w:sz w:val="19"/>
          <w:szCs w:val="19"/>
        </w:rPr>
        <w:t>d) decorrente de arrematação em hasta pública; ou</w:t>
      </w:r>
      <w:r w:rsidR="00F37745">
        <w:rPr>
          <w:rFonts w:ascii="Book Antiqua" w:hAnsi="Book Antiqua"/>
          <w:sz w:val="19"/>
          <w:szCs w:val="19"/>
        </w:rPr>
        <w:t xml:space="preserve"> </w:t>
      </w:r>
      <w:r w:rsidR="00F37745" w:rsidRPr="00F37745">
        <w:rPr>
          <w:rFonts w:ascii="Book Antiqua" w:hAnsi="Book Antiqua"/>
          <w:b/>
          <w:bCs/>
          <w:color w:val="FF0000"/>
          <w:sz w:val="18"/>
          <w:szCs w:val="18"/>
          <w:u w:val="single"/>
        </w:rPr>
        <w:t>(Cartórios/TJGO-2021)</w:t>
      </w:r>
    </w:p>
    <w:p w14:paraId="0343288C" w14:textId="7B1C5A02" w:rsidR="00E64BDC" w:rsidRPr="00D65218" w:rsidRDefault="00E64BDC" w:rsidP="00E64BDC">
      <w:pPr>
        <w:spacing w:before="100" w:beforeAutospacing="1" w:after="100" w:afterAutospacing="1" w:line="240" w:lineRule="auto"/>
        <w:ind w:firstLine="567"/>
        <w:jc w:val="both"/>
        <w:rPr>
          <w:rFonts w:ascii="Book Antiqua" w:hAnsi="Book Antiqua"/>
          <w:sz w:val="18"/>
          <w:szCs w:val="18"/>
        </w:rPr>
      </w:pPr>
      <w:r w:rsidRPr="00D65218">
        <w:rPr>
          <w:rFonts w:ascii="Book Antiqua" w:hAnsi="Book Antiqua"/>
          <w:b/>
          <w:bCs/>
          <w:sz w:val="19"/>
          <w:szCs w:val="19"/>
        </w:rPr>
        <w:t>e) lavrado pelo Cartório de Ofício de Notas, independentemente de ter havido emissão anterior de DOI</w:t>
      </w:r>
      <w:r w:rsidRPr="00E64BDC">
        <w:rPr>
          <w:rFonts w:ascii="Book Antiqua" w:hAnsi="Book Antiqua"/>
          <w:sz w:val="19"/>
          <w:szCs w:val="19"/>
        </w:rPr>
        <w:t>; </w:t>
      </w:r>
      <w:hyperlink r:id="rId4" w:anchor="957985" w:history="1">
        <w:r w:rsidRPr="00F37745">
          <w:rPr>
            <w:rStyle w:val="Hyperlink"/>
            <w:rFonts w:ascii="Book Antiqua" w:hAnsi="Book Antiqua"/>
            <w:sz w:val="18"/>
            <w:szCs w:val="18"/>
          </w:rPr>
          <w:t>(Redação dada pelo(a) Instrução Normativa RFB nº 1239, de 17 de janeiro de 2012)</w:t>
        </w:r>
      </w:hyperlink>
      <w:r w:rsidR="00D65218">
        <w:rPr>
          <w:rStyle w:val="Hyperlink"/>
          <w:rFonts w:ascii="Book Antiqua" w:hAnsi="Book Antiqua"/>
          <w:sz w:val="18"/>
          <w:szCs w:val="18"/>
          <w:u w:val="none"/>
        </w:rPr>
        <w:t xml:space="preserve"> </w:t>
      </w:r>
      <w:r w:rsidR="00D65218" w:rsidRPr="006201F6">
        <w:rPr>
          <w:rFonts w:ascii="Book Antiqua" w:eastAsia="Times New Roman" w:hAnsi="Book Antiqua" w:cs="Times New Roman"/>
          <w:b/>
          <w:bCs/>
          <w:color w:val="FF0000"/>
          <w:sz w:val="18"/>
          <w:szCs w:val="18"/>
          <w:u w:val="single"/>
          <w:lang w:eastAsia="pt-BR"/>
        </w:rPr>
        <w:t>(Cartórios/TJSC-2021)</w:t>
      </w:r>
    </w:p>
    <w:p w14:paraId="42773EE1"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III - pelo Serventuário da Justiça titular ou designado para o Cartório de Registro de Títulos e Documentos, quando promover registro de documentos que envolvam alienações de imóveis celebradas por instrumento particular, fazendo constar do respectivo documento a expressão "EMITIDA A DOI".</w:t>
      </w:r>
    </w:p>
    <w:p w14:paraId="73B4042C" w14:textId="77777777"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CAPÍTULO II</w:t>
      </w:r>
      <w:r w:rsidRPr="00E64BDC">
        <w:rPr>
          <w:rFonts w:ascii="Book Antiqua" w:hAnsi="Book Antiqua"/>
          <w:sz w:val="19"/>
          <w:szCs w:val="19"/>
        </w:rPr>
        <w:br/>
        <w:t>DA UTILIZAÇÃO DO PROGRAMA GERADOR DA DECLARAÇÃO</w:t>
      </w:r>
    </w:p>
    <w:p w14:paraId="5C10F2EF"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Art. 3º O programa aprovado por esta Instrução Normativa deve ser utilizado para declarar as operações imobiliárias:</w:t>
      </w:r>
    </w:p>
    <w:p w14:paraId="1144AAD8"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xml:space="preserve">I - </w:t>
      </w:r>
      <w:proofErr w:type="gramStart"/>
      <w:r w:rsidRPr="00E64BDC">
        <w:rPr>
          <w:rFonts w:ascii="Book Antiqua" w:hAnsi="Book Antiqua"/>
          <w:sz w:val="19"/>
          <w:szCs w:val="19"/>
        </w:rPr>
        <w:t>referentes</w:t>
      </w:r>
      <w:proofErr w:type="gramEnd"/>
      <w:r w:rsidRPr="00E64BDC">
        <w:rPr>
          <w:rFonts w:ascii="Book Antiqua" w:hAnsi="Book Antiqua"/>
          <w:sz w:val="19"/>
          <w:szCs w:val="19"/>
        </w:rPr>
        <w:t xml:space="preserve"> aos documentos anotados, averbados, lavrados, matriculados ou registrados a partir de janeiro de 2011;</w:t>
      </w:r>
    </w:p>
    <w:p w14:paraId="125AE927"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xml:space="preserve">II - </w:t>
      </w:r>
      <w:proofErr w:type="gramStart"/>
      <w:r w:rsidRPr="00E64BDC">
        <w:rPr>
          <w:rFonts w:ascii="Book Antiqua" w:hAnsi="Book Antiqua"/>
          <w:sz w:val="19"/>
          <w:szCs w:val="19"/>
        </w:rPr>
        <w:t>relativas</w:t>
      </w:r>
      <w:proofErr w:type="gramEnd"/>
      <w:r w:rsidRPr="00E64BDC">
        <w:rPr>
          <w:rFonts w:ascii="Book Antiqua" w:hAnsi="Book Antiqua"/>
          <w:sz w:val="19"/>
          <w:szCs w:val="19"/>
        </w:rPr>
        <w:t xml:space="preserve"> a exercícios anteriores, inclusive as retificadas e canceladas, quando a entrega for efetuada a partir de janeiro de 2011.</w:t>
      </w:r>
    </w:p>
    <w:p w14:paraId="44AF37FD" w14:textId="77777777"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CAPÍTULO III</w:t>
      </w:r>
      <w:r w:rsidRPr="00E64BDC">
        <w:rPr>
          <w:rFonts w:ascii="Book Antiqua" w:hAnsi="Book Antiqua"/>
          <w:sz w:val="19"/>
          <w:szCs w:val="19"/>
        </w:rPr>
        <w:br/>
        <w:t>DO PRAZO E DO MEIO DE ENTREGA</w:t>
      </w:r>
    </w:p>
    <w:p w14:paraId="1103AEF1" w14:textId="5EDC5C46" w:rsidR="00E64BDC" w:rsidRPr="00F37745" w:rsidRDefault="00E64BDC" w:rsidP="00E64BDC">
      <w:pPr>
        <w:spacing w:before="100" w:beforeAutospacing="1" w:after="100" w:afterAutospacing="1" w:line="240" w:lineRule="auto"/>
        <w:ind w:firstLine="567"/>
        <w:jc w:val="both"/>
        <w:rPr>
          <w:rFonts w:ascii="Book Antiqua" w:hAnsi="Book Antiqua"/>
          <w:b/>
          <w:bCs/>
          <w:sz w:val="19"/>
          <w:szCs w:val="19"/>
        </w:rPr>
      </w:pPr>
      <w:r w:rsidRPr="00E64BDC">
        <w:rPr>
          <w:rFonts w:ascii="Book Antiqua" w:hAnsi="Book Antiqua"/>
          <w:b/>
          <w:bCs/>
          <w:sz w:val="19"/>
          <w:szCs w:val="19"/>
          <w:highlight w:val="magenta"/>
        </w:rPr>
        <w:t>Art. 4º</w:t>
      </w:r>
      <w:r w:rsidRPr="00E64BDC">
        <w:rPr>
          <w:rFonts w:ascii="Book Antiqua" w:hAnsi="Book Antiqua"/>
          <w:sz w:val="19"/>
          <w:szCs w:val="19"/>
        </w:rPr>
        <w:t xml:space="preserve"> </w:t>
      </w:r>
      <w:r w:rsidRPr="00E64BDC">
        <w:rPr>
          <w:rFonts w:ascii="Book Antiqua" w:hAnsi="Book Antiqua"/>
          <w:b/>
          <w:bCs/>
          <w:sz w:val="19"/>
          <w:szCs w:val="19"/>
        </w:rPr>
        <w:t xml:space="preserve">A DOI deverá ser apresentada </w:t>
      </w:r>
      <w:r w:rsidRPr="00E64BDC">
        <w:rPr>
          <w:rFonts w:ascii="Book Antiqua" w:hAnsi="Book Antiqua"/>
          <w:b/>
          <w:bCs/>
          <w:sz w:val="19"/>
          <w:szCs w:val="19"/>
          <w:highlight w:val="cyan"/>
        </w:rPr>
        <w:t>até o último dia útil do mês subsequente</w:t>
      </w:r>
      <w:r w:rsidRPr="00E64BDC">
        <w:rPr>
          <w:rFonts w:ascii="Book Antiqua" w:hAnsi="Book Antiqua"/>
          <w:b/>
          <w:bCs/>
          <w:sz w:val="19"/>
          <w:szCs w:val="19"/>
        </w:rPr>
        <w:t xml:space="preserve"> ao da lavratura, anotação, averbação, matrícula ou registro do documento, por meio da Internet, utilizando-se a última versão do programa Receitanet disponível no endereço mencionado no parágrafo único do art. 1º</w:t>
      </w:r>
      <w:r w:rsidRPr="00E64BDC">
        <w:rPr>
          <w:rFonts w:ascii="Book Antiqua" w:hAnsi="Book Antiqua"/>
          <w:sz w:val="18"/>
          <w:szCs w:val="18"/>
        </w:rPr>
        <w:t xml:space="preserve">. </w:t>
      </w:r>
      <w:r w:rsidRPr="00E64BDC">
        <w:rPr>
          <w:rFonts w:ascii="Book Antiqua" w:hAnsi="Book Antiqua"/>
          <w:b/>
          <w:bCs/>
          <w:color w:val="FF0000"/>
          <w:sz w:val="18"/>
          <w:szCs w:val="18"/>
          <w:u w:val="single"/>
        </w:rPr>
        <w:t>(Cartórios/TJRS-2019)</w:t>
      </w:r>
      <w:r w:rsidR="00F37745">
        <w:rPr>
          <w:rFonts w:ascii="Book Antiqua" w:hAnsi="Book Antiqua"/>
          <w:b/>
          <w:bCs/>
          <w:color w:val="FF0000"/>
          <w:sz w:val="18"/>
          <w:szCs w:val="18"/>
        </w:rPr>
        <w:t xml:space="preserve"> </w:t>
      </w:r>
      <w:r w:rsidR="00F37745" w:rsidRPr="00F37745">
        <w:rPr>
          <w:rFonts w:ascii="Book Antiqua" w:hAnsi="Book Antiqua"/>
          <w:b/>
          <w:bCs/>
          <w:color w:val="FF0000"/>
          <w:sz w:val="18"/>
          <w:szCs w:val="18"/>
          <w:u w:val="single"/>
        </w:rPr>
        <w:t>(Cartórios/TJGO-2021)</w:t>
      </w:r>
    </w:p>
    <w:tbl>
      <w:tblPr>
        <w:tblStyle w:val="Tabelacomgrade"/>
        <w:tblW w:w="0" w:type="auto"/>
        <w:tblLook w:val="04A0" w:firstRow="1" w:lastRow="0" w:firstColumn="1" w:lastColumn="0" w:noHBand="0" w:noVBand="1"/>
      </w:tblPr>
      <w:tblGrid>
        <w:gridCol w:w="8494"/>
      </w:tblGrid>
      <w:tr w:rsidR="00E64BDC" w14:paraId="6B613736" w14:textId="77777777" w:rsidTr="00E64BDC">
        <w:tc>
          <w:tcPr>
            <w:tcW w:w="8494" w:type="dxa"/>
            <w:shd w:val="clear" w:color="auto" w:fill="CCFFFF"/>
          </w:tcPr>
          <w:p w14:paraId="35A3E3A6" w14:textId="097705E2" w:rsidR="00E64BDC" w:rsidRPr="00E64BDC" w:rsidRDefault="00E64BDC" w:rsidP="00E64BD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64BDC">
              <w:rPr>
                <w:rFonts w:ascii="Book Antiqua" w:hAnsi="Book Antiqua"/>
                <w:b/>
                <w:bCs/>
                <w:sz w:val="19"/>
                <w:szCs w:val="19"/>
                <w:highlight w:val="yellow"/>
              </w:rPr>
              <w:t>Cartórios/TJRS-2019-VUNESP</w:t>
            </w:r>
            <w:r>
              <w:rPr>
                <w:rFonts w:ascii="Book Antiqua" w:hAnsi="Book Antiqua"/>
                <w:b/>
                <w:bCs/>
                <w:sz w:val="19"/>
                <w:szCs w:val="19"/>
              </w:rPr>
              <w:t>)</w:t>
            </w:r>
            <w:r>
              <w:rPr>
                <w:rFonts w:ascii="Book Antiqua" w:hAnsi="Book Antiqua"/>
                <w:sz w:val="19"/>
                <w:szCs w:val="19"/>
              </w:rPr>
              <w:t xml:space="preserve">: </w:t>
            </w:r>
            <w:r w:rsidRPr="00E64BDC">
              <w:rPr>
                <w:rFonts w:ascii="Book Antiqua" w:hAnsi="Book Antiqua"/>
                <w:sz w:val="19"/>
                <w:szCs w:val="19"/>
              </w:rPr>
              <w:t>A Declaração sobre Operações Imobiliárias (DOI) consiste em uma obrigação acessória constituída de prestação de informações à Receita Federal do Brasil sobre operações envolvendo imóveis. Considerando-se o mês em que ocorrer a lavratura, anotação, matrícula, registro ou averbação do ato, a DOI deve ser apresentada até o</w:t>
            </w:r>
            <w:r>
              <w:rPr>
                <w:rFonts w:ascii="Book Antiqua" w:hAnsi="Book Antiqua"/>
                <w:sz w:val="19"/>
                <w:szCs w:val="19"/>
              </w:rPr>
              <w:t xml:space="preserve"> </w:t>
            </w:r>
            <w:r w:rsidRPr="00E64BDC">
              <w:rPr>
                <w:rFonts w:ascii="Book Antiqua" w:hAnsi="Book Antiqua"/>
                <w:sz w:val="19"/>
                <w:szCs w:val="19"/>
              </w:rPr>
              <w:t>último dia do mês subsequente.</w:t>
            </w:r>
            <w:r>
              <w:rPr>
                <w:rFonts w:ascii="Book Antiqua" w:hAnsi="Book Antiqua"/>
                <w:sz w:val="19"/>
                <w:szCs w:val="19"/>
              </w:rPr>
              <w:t xml:space="preserve"> </w:t>
            </w:r>
            <w:r>
              <w:rPr>
                <w:rFonts w:ascii="Book Antiqua" w:hAnsi="Book Antiqua"/>
                <w:b/>
                <w:bCs/>
                <w:sz w:val="19"/>
                <w:szCs w:val="19"/>
              </w:rPr>
              <w:t>BL: art. 4º, IN 1112/2010.</w:t>
            </w:r>
          </w:p>
        </w:tc>
      </w:tr>
    </w:tbl>
    <w:p w14:paraId="555B18B5"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1º Para a apresentação da DOI relativa a fatos geradores ocorridos a partir de janeiro de 2011, é obrigatória a assinatura digital da declaração mediante utilização de certificado digital válido.</w:t>
      </w:r>
    </w:p>
    <w:p w14:paraId="22CFCAB2"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2º As declarações listadas no recibo de entrega, impresso pelo programa gerador da DOI, serão processadas posteriormente pela RFB, estando sujeitas a rejeição.</w:t>
      </w:r>
    </w:p>
    <w:p w14:paraId="189FDA92"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3º Após 48 (quarenta e oito) horas da transmissão do arquivo pelo programa Receitanet, o Relatório de Erros da DOI estará disponível no sítio da RFB da Internet (Declarações/DOI/Consulta da DOI - Relatório de Erros).</w:t>
      </w:r>
    </w:p>
    <w:p w14:paraId="4790C697"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4º Para consultar o Relatório de Erros da DOI, o cartório deverá informar o seu número no Cadastro Nacional da Pessoa Jurídica (CNPJ) e o número do recibo de entrega.</w:t>
      </w:r>
    </w:p>
    <w:p w14:paraId="181F6780" w14:textId="77777777"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CAPÍTULO IV</w:t>
      </w:r>
      <w:r w:rsidRPr="00E64BDC">
        <w:rPr>
          <w:rFonts w:ascii="Book Antiqua" w:hAnsi="Book Antiqua"/>
          <w:sz w:val="19"/>
          <w:szCs w:val="19"/>
        </w:rPr>
        <w:br/>
        <w:t>DA DISPENSA DE APRESENTAÇÃO DA DECLARAÇÃO</w:t>
      </w:r>
    </w:p>
    <w:p w14:paraId="07D24869"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lastRenderedPageBreak/>
        <w:t>Art. 5º </w:t>
      </w:r>
      <w:hyperlink r:id="rId5" w:anchor="761500" w:history="1">
        <w:r w:rsidRPr="00E64BDC">
          <w:rPr>
            <w:rStyle w:val="Hyperlink"/>
            <w:rFonts w:ascii="Book Antiqua" w:hAnsi="Book Antiqua"/>
            <w:sz w:val="18"/>
            <w:szCs w:val="18"/>
          </w:rPr>
          <w:t>(Revogado(a) pelo(a) Instrução Normativa RFB nº 1193, de 15 de setembro de 2011)</w:t>
        </w:r>
      </w:hyperlink>
    </w:p>
    <w:p w14:paraId="29308C62"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t>I - </w:t>
      </w:r>
      <w:hyperlink r:id="rId6" w:anchor="761500" w:history="1">
        <w:r w:rsidRPr="00E64BDC">
          <w:rPr>
            <w:rStyle w:val="Hyperlink"/>
            <w:rFonts w:ascii="Book Antiqua" w:hAnsi="Book Antiqua"/>
            <w:sz w:val="18"/>
            <w:szCs w:val="18"/>
          </w:rPr>
          <w:t>(Revogado(a) pelo(a) Instrução Normativa RFB nº 1193, de 15 de setembro de 2011)</w:t>
        </w:r>
      </w:hyperlink>
    </w:p>
    <w:p w14:paraId="468653D5"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t>II - </w:t>
      </w:r>
      <w:hyperlink r:id="rId7" w:anchor="761500" w:history="1">
        <w:r w:rsidRPr="00E64BDC">
          <w:rPr>
            <w:rStyle w:val="Hyperlink"/>
            <w:rFonts w:ascii="Book Antiqua" w:hAnsi="Book Antiqua"/>
            <w:sz w:val="18"/>
            <w:szCs w:val="18"/>
          </w:rPr>
          <w:t>(Revogado(a) pelo(a) Instrução Normativa RFB nº 1193, de 15 de setembro de 2011)</w:t>
        </w:r>
      </w:hyperlink>
    </w:p>
    <w:p w14:paraId="2A4AF01E"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t>a) </w:t>
      </w:r>
      <w:hyperlink r:id="rId8" w:anchor="761500" w:history="1">
        <w:r w:rsidRPr="00E64BDC">
          <w:rPr>
            <w:rStyle w:val="Hyperlink"/>
            <w:rFonts w:ascii="Book Antiqua" w:hAnsi="Book Antiqua"/>
            <w:sz w:val="18"/>
            <w:szCs w:val="18"/>
          </w:rPr>
          <w:t>(Revogado(a) pelo(a) Instrução Normativa RFB nº 1193, de 15 de setembro de 2011)</w:t>
        </w:r>
      </w:hyperlink>
    </w:p>
    <w:p w14:paraId="17EA6B4B"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t>b) </w:t>
      </w:r>
      <w:hyperlink r:id="rId9" w:anchor="761500" w:history="1">
        <w:r w:rsidRPr="00E64BDC">
          <w:rPr>
            <w:rStyle w:val="Hyperlink"/>
            <w:rFonts w:ascii="Book Antiqua" w:hAnsi="Book Antiqua"/>
            <w:sz w:val="18"/>
            <w:szCs w:val="18"/>
          </w:rPr>
          <w:t>(Revogado(a) pelo(a) Instrução Normativa RFB nº 1193, de 15 de setembro de 2011)</w:t>
        </w:r>
      </w:hyperlink>
    </w:p>
    <w:p w14:paraId="1722DF29"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t>c) </w:t>
      </w:r>
      <w:hyperlink r:id="rId10" w:anchor="761500" w:history="1">
        <w:r w:rsidRPr="00E64BDC">
          <w:rPr>
            <w:rStyle w:val="Hyperlink"/>
            <w:rFonts w:ascii="Book Antiqua" w:hAnsi="Book Antiqua"/>
            <w:sz w:val="18"/>
            <w:szCs w:val="18"/>
          </w:rPr>
          <w:t>(Revogado(a) pelo(a) Instrução Normativa RFB nº 1193, de 15 de setembro de 2011)</w:t>
        </w:r>
      </w:hyperlink>
    </w:p>
    <w:p w14:paraId="2FD7E33D"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t>III - </w:t>
      </w:r>
      <w:hyperlink r:id="rId11" w:anchor="761500" w:history="1">
        <w:r w:rsidRPr="00E64BDC">
          <w:rPr>
            <w:rStyle w:val="Hyperlink"/>
            <w:rFonts w:ascii="Book Antiqua" w:hAnsi="Book Antiqua"/>
            <w:sz w:val="18"/>
            <w:szCs w:val="18"/>
          </w:rPr>
          <w:t>(Revogado(a) pelo(a) Instrução Normativa RFB nº 1193, de 15 de setembro de 2011)</w:t>
        </w:r>
      </w:hyperlink>
    </w:p>
    <w:p w14:paraId="08356F9C" w14:textId="77777777" w:rsidR="00E64BDC" w:rsidRPr="00E64BDC" w:rsidRDefault="00E64BDC" w:rsidP="00E64BDC">
      <w:pPr>
        <w:spacing w:before="100" w:beforeAutospacing="1" w:after="100" w:afterAutospacing="1" w:line="240" w:lineRule="auto"/>
        <w:ind w:firstLine="567"/>
        <w:rPr>
          <w:rFonts w:ascii="Book Antiqua" w:hAnsi="Book Antiqua"/>
          <w:sz w:val="18"/>
          <w:szCs w:val="18"/>
        </w:rPr>
      </w:pPr>
      <w:r w:rsidRPr="00E64BDC">
        <w:rPr>
          <w:rFonts w:ascii="Book Antiqua" w:hAnsi="Book Antiqua"/>
          <w:sz w:val="18"/>
          <w:szCs w:val="18"/>
        </w:rPr>
        <w:t>IV - </w:t>
      </w:r>
      <w:hyperlink r:id="rId12" w:anchor="761500" w:history="1">
        <w:r w:rsidRPr="00E64BDC">
          <w:rPr>
            <w:rStyle w:val="Hyperlink"/>
            <w:rFonts w:ascii="Book Antiqua" w:hAnsi="Book Antiqua"/>
            <w:sz w:val="18"/>
            <w:szCs w:val="18"/>
          </w:rPr>
          <w:t>(Revogado(a) pelo(a) Instrução Normativa RFB nº 1193, de 15 de setembro de 2011)</w:t>
        </w:r>
      </w:hyperlink>
    </w:p>
    <w:p w14:paraId="05075BFD" w14:textId="77777777" w:rsidR="00E64BDC" w:rsidRPr="00E64BDC" w:rsidRDefault="00E64BDC" w:rsidP="00E64BDC">
      <w:pPr>
        <w:spacing w:before="100" w:beforeAutospacing="1" w:after="100" w:afterAutospacing="1" w:line="240" w:lineRule="auto"/>
        <w:ind w:firstLine="567"/>
        <w:rPr>
          <w:rFonts w:ascii="Book Antiqua" w:hAnsi="Book Antiqua"/>
          <w:sz w:val="19"/>
          <w:szCs w:val="19"/>
        </w:rPr>
      </w:pPr>
      <w:r w:rsidRPr="00E64BDC">
        <w:rPr>
          <w:rFonts w:ascii="Book Antiqua" w:hAnsi="Book Antiqua"/>
          <w:sz w:val="18"/>
          <w:szCs w:val="18"/>
        </w:rPr>
        <w:t>V - </w:t>
      </w:r>
      <w:hyperlink r:id="rId13" w:anchor="761500" w:history="1">
        <w:r w:rsidRPr="00E64BDC">
          <w:rPr>
            <w:rStyle w:val="Hyperlink"/>
            <w:rFonts w:ascii="Book Antiqua" w:hAnsi="Book Antiqua"/>
            <w:sz w:val="18"/>
            <w:szCs w:val="18"/>
          </w:rPr>
          <w:t>(Revogado(a) pelo(a) Instrução Normativa RFB nº 1193, de 15 de setembro de 2011)</w:t>
        </w:r>
      </w:hyperlink>
    </w:p>
    <w:p w14:paraId="0660A1C0" w14:textId="77777777"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CAPÍTULO V</w:t>
      </w:r>
      <w:r w:rsidRPr="00E64BDC">
        <w:rPr>
          <w:rFonts w:ascii="Book Antiqua" w:hAnsi="Book Antiqua"/>
          <w:sz w:val="19"/>
          <w:szCs w:val="19"/>
        </w:rPr>
        <w:br/>
        <w:t>DA MULTA POR ATRASO NA ENTREGA</w:t>
      </w:r>
    </w:p>
    <w:p w14:paraId="4429F600" w14:textId="3C431382"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F37745">
        <w:rPr>
          <w:rFonts w:ascii="Book Antiqua" w:hAnsi="Book Antiqua"/>
          <w:b/>
          <w:bCs/>
          <w:sz w:val="19"/>
          <w:szCs w:val="19"/>
          <w:highlight w:val="magenta"/>
        </w:rPr>
        <w:t>Art. 6º</w:t>
      </w:r>
      <w:r w:rsidRPr="00E64BDC">
        <w:rPr>
          <w:rFonts w:ascii="Book Antiqua" w:hAnsi="Book Antiqua"/>
          <w:sz w:val="19"/>
          <w:szCs w:val="19"/>
        </w:rPr>
        <w:t xml:space="preserve"> </w:t>
      </w:r>
      <w:r w:rsidRPr="00F37745">
        <w:rPr>
          <w:rFonts w:ascii="Book Antiqua" w:hAnsi="Book Antiqua"/>
          <w:b/>
          <w:bCs/>
          <w:sz w:val="19"/>
          <w:szCs w:val="19"/>
        </w:rPr>
        <w:t xml:space="preserve">No caso de falta de apresentação ou apresentação da declaração após o prazo fixado, o Serventuário da Justiça </w:t>
      </w:r>
      <w:proofErr w:type="spellStart"/>
      <w:r w:rsidRPr="00F37745">
        <w:rPr>
          <w:rFonts w:ascii="Book Antiqua" w:hAnsi="Book Antiqua"/>
          <w:b/>
          <w:bCs/>
          <w:sz w:val="19"/>
          <w:szCs w:val="19"/>
        </w:rPr>
        <w:t>sujeitar-seá</w:t>
      </w:r>
      <w:proofErr w:type="spellEnd"/>
      <w:r w:rsidRPr="00F37745">
        <w:rPr>
          <w:rFonts w:ascii="Book Antiqua" w:hAnsi="Book Antiqua"/>
          <w:b/>
          <w:bCs/>
          <w:sz w:val="19"/>
          <w:szCs w:val="19"/>
        </w:rPr>
        <w:t xml:space="preserve"> à multa de </w:t>
      </w:r>
      <w:r w:rsidRPr="00F37745">
        <w:rPr>
          <w:rFonts w:ascii="Book Antiqua" w:hAnsi="Book Antiqua"/>
          <w:b/>
          <w:bCs/>
          <w:sz w:val="19"/>
          <w:szCs w:val="19"/>
          <w:highlight w:val="cyan"/>
        </w:rPr>
        <w:t>0,1% (um décimo por cento)</w:t>
      </w:r>
      <w:r w:rsidRPr="00F37745">
        <w:rPr>
          <w:rFonts w:ascii="Book Antiqua" w:hAnsi="Book Antiqua"/>
          <w:b/>
          <w:bCs/>
          <w:sz w:val="19"/>
          <w:szCs w:val="19"/>
        </w:rPr>
        <w:t xml:space="preserve"> ao mês-calendário ou fração sobre o valor da operação, limitada a </w:t>
      </w:r>
      <w:r w:rsidRPr="00F37745">
        <w:rPr>
          <w:rFonts w:ascii="Book Antiqua" w:hAnsi="Book Antiqua"/>
          <w:b/>
          <w:bCs/>
          <w:sz w:val="19"/>
          <w:szCs w:val="19"/>
          <w:highlight w:val="cyan"/>
        </w:rPr>
        <w:t>1% (um por cento)</w:t>
      </w:r>
      <w:r w:rsidRPr="00F37745">
        <w:rPr>
          <w:rFonts w:ascii="Book Antiqua" w:hAnsi="Book Antiqua"/>
          <w:b/>
          <w:bCs/>
          <w:sz w:val="19"/>
          <w:szCs w:val="19"/>
        </w:rPr>
        <w:t>, observado o disposto no inciso III do § 2º deste artigo</w:t>
      </w:r>
      <w:r w:rsidRPr="00E64BDC">
        <w:rPr>
          <w:rFonts w:ascii="Book Antiqua" w:hAnsi="Book Antiqua"/>
          <w:sz w:val="19"/>
          <w:szCs w:val="19"/>
        </w:rPr>
        <w:t>.</w:t>
      </w:r>
      <w:r w:rsidR="00F37745">
        <w:rPr>
          <w:rFonts w:ascii="Book Antiqua" w:hAnsi="Book Antiqua"/>
          <w:sz w:val="19"/>
          <w:szCs w:val="19"/>
        </w:rPr>
        <w:t xml:space="preserve"> </w:t>
      </w:r>
      <w:r w:rsidR="00F37745" w:rsidRPr="00F37745">
        <w:rPr>
          <w:rFonts w:ascii="Book Antiqua" w:hAnsi="Book Antiqua"/>
          <w:b/>
          <w:bCs/>
          <w:color w:val="FF0000"/>
          <w:sz w:val="18"/>
          <w:szCs w:val="18"/>
          <w:u w:val="single"/>
        </w:rPr>
        <w:t>(Cartórios/TJGO-2021)</w:t>
      </w:r>
    </w:p>
    <w:p w14:paraId="18CF4122"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1º A multa terá como termo inicial o dia seguinte ao término do prazo originalmente fixado para a entrega da declaração e como termo final a data da efetiva entrega ou, no caso de não apresentação, da lavratura do auto de infração.</w:t>
      </w:r>
    </w:p>
    <w:p w14:paraId="620274BD"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2º A multa de que trata o caput será:</w:t>
      </w:r>
    </w:p>
    <w:p w14:paraId="13456A21"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xml:space="preserve">I - </w:t>
      </w:r>
      <w:proofErr w:type="gramStart"/>
      <w:r w:rsidRPr="00E64BDC">
        <w:rPr>
          <w:rFonts w:ascii="Book Antiqua" w:hAnsi="Book Antiqua"/>
          <w:sz w:val="19"/>
          <w:szCs w:val="19"/>
        </w:rPr>
        <w:t>reduzida</w:t>
      </w:r>
      <w:proofErr w:type="gramEnd"/>
      <w:r w:rsidRPr="00E64BDC">
        <w:rPr>
          <w:rFonts w:ascii="Book Antiqua" w:hAnsi="Book Antiqua"/>
          <w:sz w:val="19"/>
          <w:szCs w:val="19"/>
        </w:rPr>
        <w:t xml:space="preserve"> à metade, caso a declaração seja apresentada antes de qualquer procedimento de ofício;</w:t>
      </w:r>
    </w:p>
    <w:p w14:paraId="690523F1"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xml:space="preserve">II - </w:t>
      </w:r>
      <w:proofErr w:type="gramStart"/>
      <w:r w:rsidRPr="00E64BDC">
        <w:rPr>
          <w:rFonts w:ascii="Book Antiqua" w:hAnsi="Book Antiqua"/>
          <w:sz w:val="19"/>
          <w:szCs w:val="19"/>
        </w:rPr>
        <w:t>reduzida</w:t>
      </w:r>
      <w:proofErr w:type="gramEnd"/>
      <w:r w:rsidRPr="00E64BDC">
        <w:rPr>
          <w:rFonts w:ascii="Book Antiqua" w:hAnsi="Book Antiqua"/>
          <w:sz w:val="19"/>
          <w:szCs w:val="19"/>
        </w:rPr>
        <w:t xml:space="preserve"> a 75% (setenta e cinco por cento), caso a declaração seja apresentada no prazo fixado em intimação;</w:t>
      </w:r>
    </w:p>
    <w:p w14:paraId="0540B7FC"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III - de no mínimo R$ 20,00 (vinte reais).</w:t>
      </w:r>
    </w:p>
    <w:p w14:paraId="1EDEF373"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3º O Serventuário da Justiça que apresentar DOI com incorreções ou omissões será intimado a apresentar declaração retificadora, no prazo estabelecido pela RFB, e sujeitar-se-á à multa de R$ 50,00 (cinquenta reais) por informação inexata, incompleta ou omitida, que será reduzida em 50% (cinquenta por cento) caso a retificadora seja apresentada no prazo fixado.</w:t>
      </w:r>
    </w:p>
    <w:p w14:paraId="6A2E3F64" w14:textId="77777777"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CAPÍTULO VI</w:t>
      </w:r>
      <w:r w:rsidRPr="00E64BDC">
        <w:rPr>
          <w:rFonts w:ascii="Book Antiqua" w:hAnsi="Book Antiqua"/>
          <w:sz w:val="19"/>
          <w:szCs w:val="19"/>
        </w:rPr>
        <w:br/>
        <w:t>DAS DISPOSIÇÕES FINAIS E TRANSITÓRIAS</w:t>
      </w:r>
    </w:p>
    <w:p w14:paraId="0B42DD83"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xml:space="preserve">Art. 7º As declarações referentes aos documentos anotados, averbados, lavrados, matriculados ou registrados até 31 de dezembro de 2010, bem como as relativas a exercícios anteriores, inclusive as retificadoras e </w:t>
      </w:r>
      <w:proofErr w:type="spellStart"/>
      <w:r w:rsidRPr="00E64BDC">
        <w:rPr>
          <w:rFonts w:ascii="Book Antiqua" w:hAnsi="Book Antiqua"/>
          <w:sz w:val="19"/>
          <w:szCs w:val="19"/>
        </w:rPr>
        <w:t>canceladoras</w:t>
      </w:r>
      <w:proofErr w:type="spellEnd"/>
      <w:r w:rsidRPr="00E64BDC">
        <w:rPr>
          <w:rFonts w:ascii="Book Antiqua" w:hAnsi="Book Antiqua"/>
          <w:sz w:val="19"/>
          <w:szCs w:val="19"/>
        </w:rPr>
        <w:t>, quando a entrega for efetuada a partir de 1º de janeiro de 2011, devem ser gravadas na versão 6.1 do programa aprovado por esta Instrução Normativa e entregues pelo Receitanet.</w:t>
      </w:r>
    </w:p>
    <w:p w14:paraId="1F389992"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Parágrafo único. As declarações referidas no caput poderão ser entregues sem certificado digital.</w:t>
      </w:r>
    </w:p>
    <w:p w14:paraId="59684B9B" w14:textId="77777777"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lastRenderedPageBreak/>
        <w:t>Art. 8º Esta Instrução Normativa entra em vigor na data de sua publicação.</w:t>
      </w:r>
    </w:p>
    <w:p w14:paraId="112963C9" w14:textId="2F9ED631" w:rsidR="00E64BDC" w:rsidRPr="00E64BDC" w:rsidRDefault="00E64BDC" w:rsidP="00E64BDC">
      <w:pPr>
        <w:spacing w:before="100" w:beforeAutospacing="1" w:after="100" w:afterAutospacing="1" w:line="240" w:lineRule="auto"/>
        <w:ind w:firstLine="567"/>
        <w:jc w:val="both"/>
        <w:rPr>
          <w:rFonts w:ascii="Book Antiqua" w:hAnsi="Book Antiqua"/>
          <w:sz w:val="19"/>
          <w:szCs w:val="19"/>
        </w:rPr>
      </w:pPr>
      <w:r w:rsidRPr="00E64BDC">
        <w:rPr>
          <w:rFonts w:ascii="Book Antiqua" w:hAnsi="Book Antiqua"/>
          <w:sz w:val="19"/>
          <w:szCs w:val="19"/>
        </w:rPr>
        <w:t xml:space="preserve">Art. 9º Fica revogada, a partir de 1º de janeiro de 2011, a Instrução Normativa SRF Nº 473, de 23 de novembro de 2004.  </w:t>
      </w:r>
    </w:p>
    <w:p w14:paraId="7BE5CDC3" w14:textId="77777777" w:rsidR="00E64BDC" w:rsidRPr="00E64BDC" w:rsidRDefault="00E64BDC" w:rsidP="00E64BDC">
      <w:pPr>
        <w:spacing w:before="100" w:beforeAutospacing="1" w:after="100" w:afterAutospacing="1" w:line="240" w:lineRule="auto"/>
        <w:jc w:val="center"/>
        <w:rPr>
          <w:rFonts w:ascii="Book Antiqua" w:hAnsi="Book Antiqua"/>
          <w:sz w:val="19"/>
          <w:szCs w:val="19"/>
        </w:rPr>
      </w:pPr>
      <w:r w:rsidRPr="00E64BDC">
        <w:rPr>
          <w:rFonts w:ascii="Book Antiqua" w:hAnsi="Book Antiqua"/>
          <w:sz w:val="19"/>
          <w:szCs w:val="19"/>
        </w:rPr>
        <w:t>OTACÍLIO DANTAS CARTAXO</w:t>
      </w:r>
    </w:p>
    <w:p w14:paraId="345422AD" w14:textId="77777777" w:rsidR="00C249BD" w:rsidRPr="00E64BDC" w:rsidRDefault="00C249BD" w:rsidP="00E64BDC">
      <w:pPr>
        <w:spacing w:before="100" w:beforeAutospacing="1" w:after="100" w:afterAutospacing="1" w:line="240" w:lineRule="auto"/>
        <w:rPr>
          <w:rFonts w:ascii="Book Antiqua" w:hAnsi="Book Antiqua"/>
          <w:sz w:val="19"/>
          <w:szCs w:val="19"/>
        </w:rPr>
      </w:pPr>
    </w:p>
    <w:sectPr w:rsidR="00C249BD" w:rsidRPr="00E64B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BD"/>
    <w:rsid w:val="0033258D"/>
    <w:rsid w:val="0084763F"/>
    <w:rsid w:val="00C249BD"/>
    <w:rsid w:val="00D65218"/>
    <w:rsid w:val="00E64BDC"/>
    <w:rsid w:val="00F377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E1A5"/>
  <w15:chartTrackingRefBased/>
  <w15:docId w15:val="{A1270DF3-A275-4F39-AB1F-A514FD19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64BDC"/>
    <w:rPr>
      <w:color w:val="0563C1" w:themeColor="hyperlink"/>
      <w:u w:val="single"/>
    </w:rPr>
  </w:style>
  <w:style w:type="character" w:styleId="MenoPendente">
    <w:name w:val="Unresolved Mention"/>
    <w:basedOn w:val="Fontepargpadro"/>
    <w:uiPriority w:val="99"/>
    <w:semiHidden/>
    <w:unhideWhenUsed/>
    <w:rsid w:val="00E64BDC"/>
    <w:rPr>
      <w:color w:val="605E5C"/>
      <w:shd w:val="clear" w:color="auto" w:fill="E1DFDD"/>
    </w:rPr>
  </w:style>
  <w:style w:type="table" w:styleId="Tabelacomgrade">
    <w:name w:val="Table Grid"/>
    <w:basedOn w:val="Tabelanormal"/>
    <w:uiPriority w:val="39"/>
    <w:rsid w:val="00E64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719221">
      <w:bodyDiv w:val="1"/>
      <w:marLeft w:val="0"/>
      <w:marRight w:val="0"/>
      <w:marTop w:val="0"/>
      <w:marBottom w:val="0"/>
      <w:divBdr>
        <w:top w:val="none" w:sz="0" w:space="0" w:color="auto"/>
        <w:left w:val="none" w:sz="0" w:space="0" w:color="auto"/>
        <w:bottom w:val="none" w:sz="0" w:space="0" w:color="auto"/>
        <w:right w:val="none" w:sz="0" w:space="0" w:color="auto"/>
      </w:divBdr>
      <w:divsChild>
        <w:div w:id="1409226485">
          <w:marLeft w:val="0"/>
          <w:marRight w:val="0"/>
          <w:marTop w:val="0"/>
          <w:marBottom w:val="0"/>
          <w:divBdr>
            <w:top w:val="none" w:sz="0" w:space="0" w:color="auto"/>
            <w:left w:val="none" w:sz="0" w:space="0" w:color="auto"/>
            <w:bottom w:val="none" w:sz="0" w:space="0" w:color="auto"/>
            <w:right w:val="none" w:sz="0" w:space="0" w:color="auto"/>
          </w:divBdr>
        </w:div>
        <w:div w:id="907613837">
          <w:marLeft w:val="0"/>
          <w:marRight w:val="0"/>
          <w:marTop w:val="0"/>
          <w:marBottom w:val="0"/>
          <w:divBdr>
            <w:top w:val="none" w:sz="0" w:space="0" w:color="auto"/>
            <w:left w:val="none" w:sz="0" w:space="0" w:color="auto"/>
            <w:bottom w:val="none" w:sz="0" w:space="0" w:color="auto"/>
            <w:right w:val="none" w:sz="0" w:space="0" w:color="auto"/>
          </w:divBdr>
        </w:div>
        <w:div w:id="1864783617">
          <w:marLeft w:val="0"/>
          <w:marRight w:val="0"/>
          <w:marTop w:val="300"/>
          <w:marBottom w:val="0"/>
          <w:divBdr>
            <w:top w:val="none" w:sz="0" w:space="0" w:color="auto"/>
            <w:left w:val="none" w:sz="0" w:space="0" w:color="auto"/>
            <w:bottom w:val="none" w:sz="0" w:space="0" w:color="auto"/>
            <w:right w:val="none" w:sz="0" w:space="0" w:color="auto"/>
          </w:divBdr>
          <w:divsChild>
            <w:div w:id="8863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0400">
      <w:bodyDiv w:val="1"/>
      <w:marLeft w:val="0"/>
      <w:marRight w:val="0"/>
      <w:marTop w:val="0"/>
      <w:marBottom w:val="0"/>
      <w:divBdr>
        <w:top w:val="none" w:sz="0" w:space="0" w:color="auto"/>
        <w:left w:val="none" w:sz="0" w:space="0" w:color="auto"/>
        <w:bottom w:val="none" w:sz="0" w:space="0" w:color="auto"/>
        <w:right w:val="none" w:sz="0" w:space="0" w:color="auto"/>
      </w:divBdr>
      <w:divsChild>
        <w:div w:id="1961642580">
          <w:marLeft w:val="0"/>
          <w:marRight w:val="0"/>
          <w:marTop w:val="0"/>
          <w:marBottom w:val="0"/>
          <w:divBdr>
            <w:top w:val="none" w:sz="0" w:space="0" w:color="auto"/>
            <w:left w:val="none" w:sz="0" w:space="0" w:color="auto"/>
            <w:bottom w:val="none" w:sz="0" w:space="0" w:color="auto"/>
            <w:right w:val="none" w:sz="0" w:space="0" w:color="auto"/>
          </w:divBdr>
        </w:div>
        <w:div w:id="328867559">
          <w:marLeft w:val="0"/>
          <w:marRight w:val="0"/>
          <w:marTop w:val="0"/>
          <w:marBottom w:val="0"/>
          <w:divBdr>
            <w:top w:val="none" w:sz="0" w:space="0" w:color="auto"/>
            <w:left w:val="none" w:sz="0" w:space="0" w:color="auto"/>
            <w:bottom w:val="none" w:sz="0" w:space="0" w:color="auto"/>
            <w:right w:val="none" w:sz="0" w:space="0" w:color="auto"/>
          </w:divBdr>
        </w:div>
        <w:div w:id="292562179">
          <w:marLeft w:val="0"/>
          <w:marRight w:val="0"/>
          <w:marTop w:val="300"/>
          <w:marBottom w:val="0"/>
          <w:divBdr>
            <w:top w:val="none" w:sz="0" w:space="0" w:color="auto"/>
            <w:left w:val="none" w:sz="0" w:space="0" w:color="auto"/>
            <w:bottom w:val="none" w:sz="0" w:space="0" w:color="auto"/>
            <w:right w:val="none" w:sz="0" w:space="0" w:color="auto"/>
          </w:divBdr>
          <w:divsChild>
            <w:div w:id="6342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ormas.receita.fazenda.gov.br/sijut2consulta/link.action?idAto=36371" TargetMode="External"/><Relationship Id="rId13" Type="http://schemas.openxmlformats.org/officeDocument/2006/relationships/hyperlink" Target="http://normas.receita.fazenda.gov.br/sijut2consulta/link.action?idAto=36371" TargetMode="External"/><Relationship Id="rId3" Type="http://schemas.openxmlformats.org/officeDocument/2006/relationships/webSettings" Target="webSettings.xml"/><Relationship Id="rId7" Type="http://schemas.openxmlformats.org/officeDocument/2006/relationships/hyperlink" Target="http://normas.receita.fazenda.gov.br/sijut2consulta/link.action?idAto=36371" TargetMode="External"/><Relationship Id="rId12" Type="http://schemas.openxmlformats.org/officeDocument/2006/relationships/hyperlink" Target="http://normas.receita.fazenda.gov.br/sijut2consulta/link.action?idAto=3637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ormas.receita.fazenda.gov.br/sijut2consulta/link.action?idAto=36371" TargetMode="External"/><Relationship Id="rId11" Type="http://schemas.openxmlformats.org/officeDocument/2006/relationships/hyperlink" Target="http://normas.receita.fazenda.gov.br/sijut2consulta/link.action?idAto=36371" TargetMode="External"/><Relationship Id="rId5" Type="http://schemas.openxmlformats.org/officeDocument/2006/relationships/hyperlink" Target="http://normas.receita.fazenda.gov.br/sijut2consulta/link.action?idAto=36371" TargetMode="External"/><Relationship Id="rId15" Type="http://schemas.openxmlformats.org/officeDocument/2006/relationships/theme" Target="theme/theme1.xml"/><Relationship Id="rId10" Type="http://schemas.openxmlformats.org/officeDocument/2006/relationships/hyperlink" Target="http://normas.receita.fazenda.gov.br/sijut2consulta/link.action?idAto=36371" TargetMode="External"/><Relationship Id="rId4" Type="http://schemas.openxmlformats.org/officeDocument/2006/relationships/hyperlink" Target="http://normas.receita.fazenda.gov.br/sijut2consulta/link.action?idAto=37221" TargetMode="External"/><Relationship Id="rId9" Type="http://schemas.openxmlformats.org/officeDocument/2006/relationships/hyperlink" Target="http://normas.receita.fazenda.gov.br/sijut2consulta/link.action?idAto=36371"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1483</Words>
  <Characters>8009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2023-01-09T17:40:00Z</dcterms:created>
  <dcterms:modified xsi:type="dcterms:W3CDTF">2023-04-21T18:05:00Z</dcterms:modified>
</cp:coreProperties>
</file>