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36E85" w14:textId="7C14C467" w:rsidR="00E466CC" w:rsidRPr="00E466CC" w:rsidRDefault="00E466CC" w:rsidP="00B663EA">
      <w:pPr>
        <w:spacing w:before="100" w:beforeAutospacing="1" w:after="100" w:afterAutospacing="1" w:line="240" w:lineRule="auto"/>
        <w:jc w:val="center"/>
        <w:rPr>
          <w:rFonts w:ascii="Book Antiqua" w:hAnsi="Book Antiqua" w:cs="Arial"/>
          <w:b/>
          <w:bCs/>
          <w:color w:val="FF0000"/>
          <w:sz w:val="19"/>
          <w:szCs w:val="19"/>
        </w:rPr>
      </w:pPr>
      <w:r w:rsidRPr="00E466CC">
        <w:rPr>
          <w:rFonts w:ascii="Book Antiqua" w:hAnsi="Book Antiqua" w:cs="Arial"/>
          <w:b/>
          <w:bCs/>
          <w:color w:val="FF0000"/>
          <w:sz w:val="19"/>
          <w:szCs w:val="19"/>
        </w:rPr>
        <w:t>(Atualização em 15/12/2022: questões de concurso)</w:t>
      </w:r>
    </w:p>
    <w:p w14:paraId="7ADE93A8" w14:textId="56340A13" w:rsidR="00B663EA" w:rsidRPr="00C5616E" w:rsidRDefault="00000000" w:rsidP="00B663E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hyperlink r:id="rId4" w:history="1">
        <w:r w:rsidR="00B663EA" w:rsidRPr="00C5616E">
          <w:rPr>
            <w:rFonts w:ascii="Book Antiqua" w:eastAsia="Times New Roman" w:hAnsi="Book Antiqua" w:cs="Times New Roman"/>
            <w:b/>
            <w:bCs/>
            <w:color w:val="000080"/>
            <w:sz w:val="19"/>
            <w:szCs w:val="19"/>
            <w:u w:val="single"/>
            <w:lang w:eastAsia="pt-BR"/>
          </w:rPr>
          <w:t>LEI N</w:t>
        </w:r>
        <w:r w:rsidR="00B663EA" w:rsidRPr="00C5616E">
          <w:rPr>
            <w:rFonts w:ascii="Book Antiqua" w:eastAsia="Times New Roman" w:hAnsi="Book Antiqua" w:cs="Times New Roman"/>
            <w:b/>
            <w:bCs/>
            <w:color w:val="000080"/>
            <w:sz w:val="19"/>
            <w:szCs w:val="19"/>
            <w:u w:val="single"/>
            <w:vertAlign w:val="superscript"/>
            <w:lang w:eastAsia="pt-BR"/>
          </w:rPr>
          <w:t>o</w:t>
        </w:r>
        <w:r w:rsidR="00B663EA" w:rsidRPr="00C5616E">
          <w:rPr>
            <w:rFonts w:ascii="Book Antiqua" w:eastAsia="Times New Roman" w:hAnsi="Book Antiqua" w:cs="Times New Roman"/>
            <w:b/>
            <w:bCs/>
            <w:color w:val="000080"/>
            <w:sz w:val="19"/>
            <w:szCs w:val="19"/>
            <w:u w:val="single"/>
            <w:lang w:eastAsia="pt-BR"/>
          </w:rPr>
          <w:t xml:space="preserve"> 8.894, DE 21 DE JUNHO DE 1994.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5953"/>
      </w:tblGrid>
      <w:tr w:rsidR="00B663EA" w:rsidRPr="00C5616E" w14:paraId="47F0E25C" w14:textId="77777777" w:rsidTr="00C5616E">
        <w:trPr>
          <w:tblCellSpacing w:w="0" w:type="dxa"/>
        </w:trPr>
        <w:tc>
          <w:tcPr>
            <w:tcW w:w="1500" w:type="pct"/>
            <w:vAlign w:val="center"/>
            <w:hideMark/>
          </w:tcPr>
          <w:p w14:paraId="1C91209C" w14:textId="7CB2628C" w:rsidR="00B663EA" w:rsidRPr="00C5616E" w:rsidRDefault="00B663EA" w:rsidP="00B663EA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500" w:type="pct"/>
            <w:vAlign w:val="center"/>
            <w:hideMark/>
          </w:tcPr>
          <w:p w14:paraId="069CC9A8" w14:textId="77777777" w:rsidR="00B663EA" w:rsidRPr="00C5616E" w:rsidRDefault="00B663EA" w:rsidP="00B663EA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C5616E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lang w:eastAsia="pt-BR"/>
              </w:rPr>
              <w:t xml:space="preserve">Dispõe sobre o Imposto sobre Operações de Crédito, Câmbio e Seguro, ou relativas a Títulos e Valores Mobiliários, e dá outras providências. </w:t>
            </w:r>
          </w:p>
        </w:tc>
      </w:tr>
    </w:tbl>
    <w:p w14:paraId="7F28C354" w14:textId="77777777" w:rsidR="00B663EA" w:rsidRPr="00C5616E" w:rsidRDefault="00B663EA" w:rsidP="00B663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Faço saber que o </w:t>
      </w:r>
      <w:r w:rsidRPr="00C5616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PRESIDENTE DA REPÚBLICA</w:t>
      </w:r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adotou a Medida Provisória nº 513, de 1994, que o Congresso Nacional aprovou, e eu, </w:t>
      </w:r>
      <w:r w:rsidRPr="00C5616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HUMBERTO LUCENA, Presidente do Senado Federal</w:t>
      </w:r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, para os efeitos do disposto no parágrafo único do art. 62 da Constituição Federal, promulgo a seguinte lei: </w:t>
      </w:r>
    </w:p>
    <w:p w14:paraId="59DA5A89" w14:textId="77777777" w:rsidR="00B663EA" w:rsidRPr="00C5616E" w:rsidRDefault="00B663EA" w:rsidP="00B663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0" w:name="art1"/>
      <w:bookmarkEnd w:id="0"/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Art. 1º O Imposto sobre Operações de Crédito, Câmbio e Seguro, ou relativas a Títulos e Valores Mobiliários será cobrado à alíquota máxima de 1,5% ao dia, sobre o valor das operações de crédito e relativos a títulos e valores mobiliários. </w:t>
      </w:r>
    </w:p>
    <w:p w14:paraId="28D01EB3" w14:textId="77777777" w:rsidR="00B663EA" w:rsidRPr="00E466CC" w:rsidRDefault="00B663EA" w:rsidP="00B663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1" w:name="art1p"/>
      <w:bookmarkStart w:id="2" w:name="art1§1.."/>
      <w:bookmarkEnd w:id="1"/>
      <w:bookmarkEnd w:id="2"/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 1</w:t>
      </w:r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 No caso de operações envolvendo contratos derivativos, a alíquota máxima é de 25% (vinte e cinco por cento) sobre o valor da operação</w:t>
      </w:r>
      <w:r w:rsidRPr="00E466CC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. </w:t>
      </w:r>
      <w:hyperlink r:id="rId5" w:anchor="art3" w:history="1">
        <w:r w:rsidRPr="00E466CC">
          <w:rPr>
            <w:rFonts w:ascii="Book Antiqua" w:eastAsia="Times New Roman" w:hAnsi="Book Antiqua" w:cs="Times New Roman"/>
            <w:color w:val="0000FF"/>
            <w:sz w:val="18"/>
            <w:szCs w:val="18"/>
            <w:u w:val="single"/>
            <w:lang w:eastAsia="pt-BR"/>
          </w:rPr>
          <w:t>(Incluído pela Lei nº 12.543, de 2011)</w:t>
        </w:r>
      </w:hyperlink>
    </w:p>
    <w:p w14:paraId="53368634" w14:textId="77777777" w:rsidR="00B663EA" w:rsidRPr="00E466CC" w:rsidRDefault="00B663EA" w:rsidP="00B663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 2</w:t>
      </w:r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O Poder Executivo, obedecidos os limites máximos fixados neste artigo, poderá alterar as alíquotas tendo em vista os objetivos das políticas monetária e fiscal. </w:t>
      </w:r>
      <w:hyperlink r:id="rId6" w:anchor="art3" w:history="1">
        <w:r w:rsidRPr="00E466CC">
          <w:rPr>
            <w:rFonts w:ascii="Book Antiqua" w:eastAsia="Times New Roman" w:hAnsi="Book Antiqua" w:cs="Times New Roman"/>
            <w:color w:val="0000FF"/>
            <w:sz w:val="18"/>
            <w:szCs w:val="18"/>
            <w:u w:val="single"/>
            <w:lang w:eastAsia="pt-BR"/>
          </w:rPr>
          <w:t>(Incluído pela Lei nº 12.543, de 2011)</w:t>
        </w:r>
      </w:hyperlink>
    </w:p>
    <w:p w14:paraId="6DC7562D" w14:textId="77777777" w:rsidR="00B663EA" w:rsidRPr="00E466CC" w:rsidRDefault="00B663EA" w:rsidP="00B663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</w:pPr>
      <w:bookmarkStart w:id="3" w:name="art2"/>
      <w:bookmarkEnd w:id="3"/>
      <w:r w:rsidRPr="00E466C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Art. 2º</w:t>
      </w:r>
      <w:r w:rsidRPr="00E466C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Considera-se valor da operação: </w:t>
      </w:r>
    </w:p>
    <w:p w14:paraId="1341DBA9" w14:textId="5A588795" w:rsidR="00B663EA" w:rsidRPr="00C5616E" w:rsidRDefault="00B663EA" w:rsidP="00B663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466C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I - nas operações de crédito, o valor do principal que constitua o objeto da obrigação, ou sua colocação à disposição do interessado</w:t>
      </w:r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; </w:t>
      </w:r>
      <w:r w:rsidR="00E466CC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(PFN-2015)</w:t>
      </w:r>
    </w:p>
    <w:p w14:paraId="609497AB" w14:textId="34CE6884" w:rsidR="00B663EA" w:rsidRPr="00E466CC" w:rsidRDefault="00B663EA" w:rsidP="00B663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</w:pPr>
      <w:bookmarkStart w:id="4" w:name="art2ii"/>
      <w:bookmarkEnd w:id="4"/>
      <w:r w:rsidRPr="00E466C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II - nas operações relativas a títulos e valores mobiliários: </w:t>
      </w:r>
      <w:r w:rsidR="00E466CC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(PFN-2015)</w:t>
      </w:r>
    </w:p>
    <w:p w14:paraId="3F8B5A95" w14:textId="6D8C5C14" w:rsidR="00B663EA" w:rsidRPr="00C5616E" w:rsidRDefault="00B663EA" w:rsidP="00B663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5" w:name="art2iia"/>
      <w:bookmarkEnd w:id="5"/>
      <w:r w:rsidRPr="00E466C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a) valor de aquisição, resgate, cessão ou repactuação;</w:t>
      </w:r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="00E466CC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(PFN-2015)</w:t>
      </w:r>
    </w:p>
    <w:p w14:paraId="601EC957" w14:textId="39C0C82D" w:rsidR="00B663EA" w:rsidRPr="00C5616E" w:rsidRDefault="00B663EA" w:rsidP="00B663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466C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b) o valor do pagamento para a liquidação das operações referidas na alínea anterior, quando inferior a noventa e cinco por cento do valor inicial da operação, expressos, respectivamente, em quantidade de Unidade Fiscal de Referência (Ufir) diária</w:t>
      </w:r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. </w:t>
      </w:r>
      <w:r w:rsidR="00E466CC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(PFN-2015)</w:t>
      </w:r>
    </w:p>
    <w:p w14:paraId="181EE5D3" w14:textId="66B3CFCA" w:rsidR="00B663EA" w:rsidRPr="00E466CC" w:rsidRDefault="00B663EA" w:rsidP="00B663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6" w:name="art2iic"/>
      <w:bookmarkStart w:id="7" w:name="art2iic."/>
      <w:bookmarkEnd w:id="6"/>
      <w:bookmarkEnd w:id="7"/>
      <w:r w:rsidRPr="00E466C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c) o valor nocional ajustado dos contratos, no caso de contratos derivativos</w:t>
      </w:r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. </w:t>
      </w:r>
      <w:hyperlink r:id="rId7" w:anchor="art3" w:history="1">
        <w:r w:rsidRPr="00E466CC">
          <w:rPr>
            <w:rFonts w:ascii="Book Antiqua" w:eastAsia="Times New Roman" w:hAnsi="Book Antiqua" w:cs="Times New Roman"/>
            <w:color w:val="0000FF"/>
            <w:sz w:val="18"/>
            <w:szCs w:val="18"/>
            <w:u w:val="single"/>
            <w:lang w:eastAsia="pt-BR"/>
          </w:rPr>
          <w:t>(Incluído pela Lei nº 12.543, de 2011)</w:t>
        </w:r>
      </w:hyperlink>
      <w:r w:rsidR="00E466CC">
        <w:rPr>
          <w:rFonts w:ascii="Book Antiqua" w:eastAsia="Times New Roman" w:hAnsi="Book Antiqua" w:cs="Times New Roman"/>
          <w:color w:val="0000FF"/>
          <w:sz w:val="18"/>
          <w:szCs w:val="18"/>
          <w:lang w:eastAsia="pt-BR"/>
        </w:rPr>
        <w:t xml:space="preserve"> </w:t>
      </w:r>
      <w:r w:rsidR="00E466CC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(PFN-2015)</w:t>
      </w:r>
    </w:p>
    <w:p w14:paraId="7463939C" w14:textId="77777777" w:rsidR="00B663EA" w:rsidRPr="00C5616E" w:rsidRDefault="00B663EA" w:rsidP="00B663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§ 1º Serão acrescidos ao valor do resgate ou cessão de títulos e valores mobiliários os rendimentos periódicos recebidos pelo aplicador ou cedente durante o período da operação, atualizados pela variação acumulada da Ufir diária no período. </w:t>
      </w:r>
    </w:p>
    <w:p w14:paraId="2B22BE36" w14:textId="77777777" w:rsidR="00B663EA" w:rsidRPr="00C5616E" w:rsidRDefault="00B663EA" w:rsidP="00B663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§ 2º O disposto no inciso II, alínea a, aplica-se, inclusive, às operações de financiamento realizadas em bolsas de valores, de mercadorias, de futuros e assemelhadas. </w:t>
      </w:r>
    </w:p>
    <w:p w14:paraId="6EE7DEE1" w14:textId="77777777" w:rsidR="00B663EA" w:rsidRPr="00E466CC" w:rsidRDefault="00B663EA" w:rsidP="00B663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8" w:name="art2§3"/>
      <w:bookmarkStart w:id="9" w:name="art2§3."/>
      <w:bookmarkEnd w:id="8"/>
      <w:bookmarkEnd w:id="9"/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3</w:t>
      </w:r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Para fins do disposto na alínea “c” do inciso II do </w:t>
      </w:r>
      <w:r w:rsidRPr="00C5616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caput</w:t>
      </w:r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, considera-se como valor nocional ajustado o produto do valor de referência do contrato (valor nocional) pela variação do preço do derivativo em relação à variação do preço do seu ativo subjacente (ativo objeto</w:t>
      </w:r>
      <w:r w:rsidRPr="00E466CC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). </w:t>
      </w:r>
      <w:hyperlink r:id="rId8" w:anchor="art3" w:history="1">
        <w:r w:rsidRPr="00E466CC">
          <w:rPr>
            <w:rFonts w:ascii="Book Antiqua" w:eastAsia="Times New Roman" w:hAnsi="Book Antiqua" w:cs="Times New Roman"/>
            <w:color w:val="0000FF"/>
            <w:sz w:val="18"/>
            <w:szCs w:val="18"/>
            <w:u w:val="single"/>
            <w:lang w:eastAsia="pt-BR"/>
          </w:rPr>
          <w:t>(Incluído pela Lei nº 12.543, de 2011)</w:t>
        </w:r>
      </w:hyperlink>
      <w:r w:rsidRPr="00E466CC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</w:p>
    <w:p w14:paraId="505E3F98" w14:textId="77777777" w:rsidR="00B663EA" w:rsidRPr="00E466CC" w:rsidRDefault="00B663EA" w:rsidP="00B663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10" w:name="art2§4"/>
      <w:bookmarkEnd w:id="10"/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4</w:t>
      </w:r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A pessoa jurídica exportadora, relativamente às operações de </w:t>
      </w:r>
      <w:r w:rsidRPr="00C5616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hedge</w:t>
      </w:r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, poderá descontar do IOF a recolher na condição de contribuinte, devido em cada período, o IOF apurado e recolhido na forma da alínea “c” do inciso II do </w:t>
      </w:r>
      <w:r w:rsidRPr="00C5616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caput</w:t>
      </w:r>
      <w:r w:rsidRPr="00E466CC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. </w:t>
      </w:r>
      <w:hyperlink r:id="rId9" w:anchor="art3" w:history="1">
        <w:r w:rsidRPr="00E466CC">
          <w:rPr>
            <w:rFonts w:ascii="Book Antiqua" w:eastAsia="Times New Roman" w:hAnsi="Book Antiqua" w:cs="Times New Roman"/>
            <w:color w:val="0000FF"/>
            <w:sz w:val="18"/>
            <w:szCs w:val="18"/>
            <w:u w:val="single"/>
            <w:lang w:eastAsia="pt-BR"/>
          </w:rPr>
          <w:t>(Incluído pela Lei nº 12.543, de 2011)</w:t>
        </w:r>
      </w:hyperlink>
      <w:r w:rsidRPr="00E466CC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  </w:t>
      </w:r>
      <w:hyperlink r:id="rId10" w:anchor="art6" w:history="1">
        <w:r w:rsidRPr="00E466CC">
          <w:rPr>
            <w:rFonts w:ascii="Book Antiqua" w:eastAsia="Times New Roman" w:hAnsi="Book Antiqua" w:cs="Times New Roman"/>
            <w:color w:val="0000FF"/>
            <w:sz w:val="18"/>
            <w:szCs w:val="18"/>
            <w:u w:val="single"/>
            <w:lang w:eastAsia="pt-BR"/>
          </w:rPr>
          <w:t>(Produção de efeito)</w:t>
        </w:r>
      </w:hyperlink>
    </w:p>
    <w:p w14:paraId="4ABA8CC0" w14:textId="77777777" w:rsidR="00B663EA" w:rsidRPr="00E466CC" w:rsidRDefault="00B663EA" w:rsidP="00B663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5</w:t>
      </w:r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 Na impossibilidade de efetuar o desconto de que trata o § 4</w:t>
      </w:r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, a pessoa jurídica poderá solicitar restituição ou compensar o valor correspondente com imposto e contribuições administrados pela Secretaria da Receita Federal do Brasil, exceto as contribuições sociais previstas nas alíneas “</w:t>
      </w:r>
      <w:hyperlink r:id="rId11" w:anchor="art11pa" w:history="1">
        <w:r w:rsidRPr="00C5616E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 xml:space="preserve">a”, </w:t>
        </w:r>
        <w:r w:rsidRPr="00C5616E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lastRenderedPageBreak/>
          <w:t>“b” e “c” do parágrafo único do art. 11 da Lei n</w:t>
        </w:r>
        <w:r w:rsidRPr="00C5616E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C5616E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 xml:space="preserve"> 8.212, de 24 de julho de 1991</w:t>
        </w:r>
      </w:hyperlink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. </w:t>
      </w:r>
      <w:hyperlink r:id="rId12" w:anchor="art3" w:history="1">
        <w:r w:rsidRPr="00E466CC">
          <w:rPr>
            <w:rFonts w:ascii="Book Antiqua" w:eastAsia="Times New Roman" w:hAnsi="Book Antiqua" w:cs="Times New Roman"/>
            <w:color w:val="0000FF"/>
            <w:sz w:val="18"/>
            <w:szCs w:val="18"/>
            <w:u w:val="single"/>
            <w:lang w:eastAsia="pt-BR"/>
          </w:rPr>
          <w:t>(Incluído pela Lei nº 12.543, de 2011)</w:t>
        </w:r>
      </w:hyperlink>
      <w:r w:rsidRPr="00E466CC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  </w:t>
      </w:r>
      <w:hyperlink r:id="rId13" w:anchor="art6" w:history="1">
        <w:r w:rsidRPr="00E466CC">
          <w:rPr>
            <w:rFonts w:ascii="Book Antiqua" w:eastAsia="Times New Roman" w:hAnsi="Book Antiqua" w:cs="Times New Roman"/>
            <w:color w:val="0000FF"/>
            <w:sz w:val="18"/>
            <w:szCs w:val="18"/>
            <w:u w:val="single"/>
            <w:lang w:eastAsia="pt-BR"/>
          </w:rPr>
          <w:t>(Produção de efeito)</w:t>
        </w:r>
      </w:hyperlink>
    </w:p>
    <w:p w14:paraId="71B6761E" w14:textId="77777777" w:rsidR="00B663EA" w:rsidRPr="00E466CC" w:rsidRDefault="00B663EA" w:rsidP="00B663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6</w:t>
      </w:r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A parcela do IOF descontado ou compensado na forma deste artigo não será dedutível para fins de determinação do lucro real e da base de cálculo da Contribuição Social sobre o Lucro Líquido (CSLL). </w:t>
      </w:r>
      <w:hyperlink r:id="rId14" w:anchor="art3" w:history="1">
        <w:r w:rsidRPr="00E466CC">
          <w:rPr>
            <w:rFonts w:ascii="Book Antiqua" w:eastAsia="Times New Roman" w:hAnsi="Book Antiqua" w:cs="Times New Roman"/>
            <w:color w:val="0000FF"/>
            <w:sz w:val="18"/>
            <w:szCs w:val="18"/>
            <w:u w:val="single"/>
            <w:lang w:eastAsia="pt-BR"/>
          </w:rPr>
          <w:t>(Incluído pela Lei nº 12.543, de 2011)</w:t>
        </w:r>
      </w:hyperlink>
      <w:r w:rsidRPr="00E466CC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  </w:t>
      </w:r>
      <w:hyperlink r:id="rId15" w:anchor="art6" w:history="1">
        <w:r w:rsidRPr="00E466CC">
          <w:rPr>
            <w:rFonts w:ascii="Book Antiqua" w:eastAsia="Times New Roman" w:hAnsi="Book Antiqua" w:cs="Times New Roman"/>
            <w:color w:val="0000FF"/>
            <w:sz w:val="18"/>
            <w:szCs w:val="18"/>
            <w:u w:val="single"/>
            <w:lang w:eastAsia="pt-BR"/>
          </w:rPr>
          <w:t>(Produção de efeito)</w:t>
        </w:r>
      </w:hyperlink>
    </w:p>
    <w:p w14:paraId="7FDE4AF7" w14:textId="77777777" w:rsidR="00B663EA" w:rsidRPr="00E466CC" w:rsidRDefault="00B663EA" w:rsidP="00B663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7</w:t>
      </w:r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 A Secretaria da Receita Federal do Brasil disciplinará o disposto nos §§ 4</w:t>
      </w:r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e 5</w:t>
      </w:r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deste artigo</w:t>
      </w:r>
      <w:r w:rsidRPr="00E466CC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. </w:t>
      </w:r>
      <w:hyperlink r:id="rId16" w:anchor="art3" w:history="1">
        <w:r w:rsidRPr="00E466CC">
          <w:rPr>
            <w:rFonts w:ascii="Book Antiqua" w:eastAsia="Times New Roman" w:hAnsi="Book Antiqua" w:cs="Times New Roman"/>
            <w:color w:val="0000FF"/>
            <w:sz w:val="18"/>
            <w:szCs w:val="18"/>
            <w:u w:val="single"/>
            <w:lang w:eastAsia="pt-BR"/>
          </w:rPr>
          <w:t>(Incluído pela Lei nº 12.543, de 2011)</w:t>
        </w:r>
      </w:hyperlink>
      <w:r w:rsidRPr="00E466CC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  </w:t>
      </w:r>
      <w:hyperlink r:id="rId17" w:anchor="art6" w:history="1">
        <w:r w:rsidRPr="00E466CC">
          <w:rPr>
            <w:rFonts w:ascii="Book Antiqua" w:eastAsia="Times New Roman" w:hAnsi="Book Antiqua" w:cs="Times New Roman"/>
            <w:color w:val="0000FF"/>
            <w:sz w:val="18"/>
            <w:szCs w:val="18"/>
            <w:u w:val="single"/>
            <w:lang w:eastAsia="pt-BR"/>
          </w:rPr>
          <w:t>(Produção de efeito)</w:t>
        </w:r>
      </w:hyperlink>
    </w:p>
    <w:p w14:paraId="0DEEDF7E" w14:textId="77777777" w:rsidR="00B663EA" w:rsidRPr="00E466CC" w:rsidRDefault="00B663EA" w:rsidP="00B663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</w:pPr>
      <w:bookmarkStart w:id="11" w:name="art3"/>
      <w:bookmarkEnd w:id="11"/>
      <w:r w:rsidRPr="00E466C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Art. 3º</w:t>
      </w:r>
      <w:r w:rsidRPr="00E466C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São contribuintes do imposto: </w:t>
      </w:r>
    </w:p>
    <w:p w14:paraId="20009EB2" w14:textId="78DC95D3" w:rsidR="00B663EA" w:rsidRPr="00C5616E" w:rsidRDefault="00B663EA" w:rsidP="00B663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2" w:name="art3i"/>
      <w:bookmarkEnd w:id="12"/>
      <w:r w:rsidRPr="00E466C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I - os tomadores de crédito, na hipótese prevista no art. 2º, inciso I; </w:t>
      </w:r>
      <w:r w:rsidR="00E466CC" w:rsidRPr="00E466CC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(P</w:t>
      </w:r>
      <w:r w:rsidR="00E466CC" w:rsidRPr="00E466CC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FN</w:t>
      </w:r>
      <w:r w:rsidR="00E466CC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-2015)</w:t>
      </w:r>
    </w:p>
    <w:p w14:paraId="52D4D5CD" w14:textId="11563F7D" w:rsidR="00B663EA" w:rsidRPr="00C5616E" w:rsidRDefault="00B663EA" w:rsidP="00B663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3" w:name="art3ii"/>
      <w:bookmarkEnd w:id="13"/>
      <w:r w:rsidRPr="00E466C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II - os adquirentes de títulos e valores mobiliários e os titulares de aplicações financeiras, na hipótese prevista no art. 2º, inciso II, alínea a</w:t>
      </w:r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; </w:t>
      </w:r>
      <w:r w:rsidR="00E466CC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(PFN-2015)</w:t>
      </w:r>
    </w:p>
    <w:p w14:paraId="4A1AE9B8" w14:textId="1B377644" w:rsidR="00B663EA" w:rsidRPr="00C5616E" w:rsidRDefault="00B663EA" w:rsidP="00B663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4" w:name="art3iii"/>
      <w:bookmarkEnd w:id="14"/>
      <w:r w:rsidRPr="00E466C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III - as instituições financeiras e demais instituições autorizadas a funcionar pelo Banco Central do Brasil, na hipótese prevista no art. 2º, inciso II, alínea</w:t>
      </w:r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b. </w:t>
      </w:r>
      <w:r w:rsidR="00E466CC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(PFN-2015)</w:t>
      </w:r>
    </w:p>
    <w:p w14:paraId="0585264B" w14:textId="144DCA59" w:rsidR="00B663EA" w:rsidRPr="00E466CC" w:rsidRDefault="00B663EA" w:rsidP="00B663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15" w:name="art3iv"/>
      <w:bookmarkStart w:id="16" w:name="art3iv."/>
      <w:bookmarkEnd w:id="15"/>
      <w:bookmarkEnd w:id="16"/>
      <w:r w:rsidRPr="00E466C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IV - os titulares dos contratos, na hipótese prevista na alínea “c” do inciso II do art. 2</w:t>
      </w:r>
      <w:r w:rsidRPr="00E466C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E466CC"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  <w:t>.</w:t>
      </w:r>
      <w:r w:rsidRPr="00E466CC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hyperlink r:id="rId18" w:anchor="art3" w:history="1">
        <w:r w:rsidRPr="00E466CC">
          <w:rPr>
            <w:rFonts w:ascii="Book Antiqua" w:eastAsia="Times New Roman" w:hAnsi="Book Antiqua" w:cs="Times New Roman"/>
            <w:color w:val="0000FF"/>
            <w:sz w:val="18"/>
            <w:szCs w:val="18"/>
            <w:u w:val="single"/>
            <w:lang w:eastAsia="pt-BR"/>
          </w:rPr>
          <w:t>(Incluído pela Lei nº 12.543, de 2011)</w:t>
        </w:r>
      </w:hyperlink>
      <w:r w:rsidR="00E466CC">
        <w:rPr>
          <w:rFonts w:ascii="Book Antiqua" w:eastAsia="Times New Roman" w:hAnsi="Book Antiqua" w:cs="Times New Roman"/>
          <w:color w:val="0000FF"/>
          <w:sz w:val="18"/>
          <w:szCs w:val="18"/>
          <w:lang w:eastAsia="pt-BR"/>
        </w:rPr>
        <w:t xml:space="preserve"> </w:t>
      </w:r>
      <w:r w:rsidR="00E466CC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(PFN-2015)</w:t>
      </w:r>
    </w:p>
    <w:p w14:paraId="601AB4AE" w14:textId="77777777" w:rsidR="00B663EA" w:rsidRPr="00C5616E" w:rsidRDefault="00B663EA" w:rsidP="00B663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7" w:name="art4"/>
      <w:bookmarkEnd w:id="17"/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Art. 4º O imposto de que trata o art. 2º, inciso II, alínea a será excluído da base de cálculo do imposto de renda incidente sobre o rendimento de operações com títulos e valores mobiliários, excetuadas as aplicações a que se refere o </w:t>
      </w:r>
      <w:hyperlink r:id="rId19" w:history="1">
        <w:r w:rsidRPr="00C5616E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 xml:space="preserve">§ 4º do art. 21 da Lei nº 8.383, de 30 de dezembro de 1991. </w:t>
        </w:r>
      </w:hyperlink>
    </w:p>
    <w:p w14:paraId="7B926235" w14:textId="77777777" w:rsidR="00B663EA" w:rsidRPr="00C5616E" w:rsidRDefault="00B663EA" w:rsidP="00B663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8" w:name="art5"/>
      <w:bookmarkEnd w:id="18"/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Art. 5º O Imposto sobre Operações de Crédito, Câmbio e Seguro, ou relativas a Títulos e Valores Mobiliários (IOF), incidente sobre operações de câmbio será cobrado à alíquota de vinte e cinco por cento sobre o valor de liquidação da operação cambial. </w:t>
      </w:r>
      <w:hyperlink r:id="rId20" w:anchor="art2ii" w:history="1">
        <w:r w:rsidRPr="00C5616E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(Regulamento)</w:t>
        </w:r>
      </w:hyperlink>
    </w:p>
    <w:p w14:paraId="39CE73C8" w14:textId="77777777" w:rsidR="00B663EA" w:rsidRPr="00C5616E" w:rsidRDefault="00B663EA" w:rsidP="00B663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9" w:name="art5p"/>
      <w:bookmarkEnd w:id="19"/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Parágrafo único. O Poder Executivo poderá reduzir e restabelecer a alíquota fixada neste artigo, tendo em vista os objetivos das políticas monetária, cambial e fiscal. </w:t>
      </w:r>
    </w:p>
    <w:p w14:paraId="403C821E" w14:textId="77777777" w:rsidR="00B663EA" w:rsidRPr="00C5616E" w:rsidRDefault="00B663EA" w:rsidP="00B663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20" w:name="art6"/>
      <w:bookmarkEnd w:id="20"/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Art. 6º São contribuintes do IOF incidente sobre operações de câmbio os compradores ou vendedores da moeda estrangeira na operação referente a transferência financeira para ou do exterior, respectivamente. </w:t>
      </w:r>
    </w:p>
    <w:p w14:paraId="6C589728" w14:textId="77777777" w:rsidR="00B663EA" w:rsidRPr="00C5616E" w:rsidRDefault="00B663EA" w:rsidP="00B663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21" w:name="art6p"/>
      <w:bookmarkEnd w:id="21"/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Parágrafo único. As instituições autorizadas a operar em câmbio são responsáveis pela retenção e recolhimento do imposto. </w:t>
      </w:r>
    </w:p>
    <w:p w14:paraId="1DABC6B4" w14:textId="77777777" w:rsidR="00B663EA" w:rsidRPr="00E466CC" w:rsidRDefault="00B663EA" w:rsidP="00B663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22" w:name="art6a"/>
      <w:bookmarkEnd w:id="22"/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Art. 6</w:t>
      </w:r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-A.  São isentos do imposto de que trata esta Lei a Academia Brasileira de Letras, a Associação Brasileira de Imprensa e o Instituto Histórico e Geográfico Brasileiro</w:t>
      </w:r>
      <w:r w:rsidRPr="00E466CC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.   </w:t>
      </w:r>
      <w:hyperlink r:id="rId21" w:anchor="art3" w:history="1">
        <w:r w:rsidRPr="00E466CC">
          <w:rPr>
            <w:rFonts w:ascii="Book Antiqua" w:eastAsia="Times New Roman" w:hAnsi="Book Antiqua" w:cs="Times New Roman"/>
            <w:color w:val="0000FF"/>
            <w:sz w:val="18"/>
            <w:szCs w:val="18"/>
            <w:u w:val="single"/>
            <w:lang w:eastAsia="pt-BR"/>
          </w:rPr>
          <w:t>(Incluído pela Lei nº 13.353, de 2016)</w:t>
        </w:r>
      </w:hyperlink>
      <w:r w:rsidRPr="00E466CC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   </w:t>
      </w:r>
      <w:hyperlink r:id="rId22" w:anchor="art7" w:history="1">
        <w:r w:rsidRPr="00E466CC">
          <w:rPr>
            <w:rFonts w:ascii="Book Antiqua" w:eastAsia="Times New Roman" w:hAnsi="Book Antiqua" w:cs="Times New Roman"/>
            <w:color w:val="0000FF"/>
            <w:sz w:val="18"/>
            <w:szCs w:val="18"/>
            <w:u w:val="single"/>
            <w:lang w:eastAsia="pt-BR"/>
          </w:rPr>
          <w:t>(Produção de efeito)</w:t>
        </w:r>
      </w:hyperlink>
    </w:p>
    <w:p w14:paraId="61F2B3E4" w14:textId="77777777" w:rsidR="00B663EA" w:rsidRPr="00E466CC" w:rsidRDefault="00B663EA" w:rsidP="00B663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23" w:name="art7"/>
      <w:bookmarkEnd w:id="23"/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Art. 7º Poder Executivo regulamentará o disposto nesta lei</w:t>
      </w:r>
      <w:r w:rsidRPr="00E466CC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. </w:t>
      </w:r>
      <w:hyperlink r:id="rId23" w:history="1">
        <w:r w:rsidRPr="00E466CC">
          <w:rPr>
            <w:rFonts w:ascii="Book Antiqua" w:eastAsia="Times New Roman" w:hAnsi="Book Antiqua" w:cs="Times New Roman"/>
            <w:color w:val="0000FF"/>
            <w:sz w:val="18"/>
            <w:szCs w:val="18"/>
            <w:u w:val="single"/>
            <w:lang w:eastAsia="pt-BR"/>
          </w:rPr>
          <w:t>(Regulamento)</w:t>
        </w:r>
      </w:hyperlink>
    </w:p>
    <w:p w14:paraId="36EC1D20" w14:textId="77777777" w:rsidR="00B663EA" w:rsidRPr="00C5616E" w:rsidRDefault="00B663EA" w:rsidP="00B663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24" w:name="art8"/>
      <w:bookmarkEnd w:id="24"/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Art. 8º Ficam convalidados os atos praticados com base na </w:t>
      </w:r>
      <w:hyperlink r:id="rId24" w:history="1">
        <w:r w:rsidRPr="00C5616E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Medida Provisória nº 487, de 29 de abril de 1994</w:t>
        </w:r>
      </w:hyperlink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. </w:t>
      </w:r>
    </w:p>
    <w:p w14:paraId="1B2632AA" w14:textId="77777777" w:rsidR="00B663EA" w:rsidRPr="00C5616E" w:rsidRDefault="00B663EA" w:rsidP="00B663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25" w:name="art9"/>
      <w:bookmarkEnd w:id="25"/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Art. 9º Esta lei entra em vigor na data de sua publicação. </w:t>
      </w:r>
    </w:p>
    <w:p w14:paraId="237255AA" w14:textId="77777777" w:rsidR="00B663EA" w:rsidRPr="00C5616E" w:rsidRDefault="00B663EA" w:rsidP="00B663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26" w:name="art10"/>
      <w:bookmarkEnd w:id="26"/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Art. 10. Ficam revogados o </w:t>
      </w:r>
      <w:hyperlink r:id="rId25" w:anchor="art18" w:history="1">
        <w:r w:rsidRPr="00C5616E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art. 18 da Lei nº 8.088, de 31 de outubro de 1990</w:t>
        </w:r>
      </w:hyperlink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, e, em relação ao imposto de que trata esta lei, as isenções previstas no </w:t>
      </w:r>
      <w:hyperlink r:id="rId26" w:anchor="art14" w:history="1">
        <w:r w:rsidRPr="00C5616E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art. 14 da Lei nº 8.313, de 23 de dezembro de 1991</w:t>
        </w:r>
      </w:hyperlink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, no </w:t>
      </w:r>
      <w:hyperlink r:id="rId27" w:anchor="art21§2" w:history="1">
        <w:r w:rsidRPr="00C5616E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§ 2º do art. 21 da Lei nº 8.383, de 1991</w:t>
        </w:r>
      </w:hyperlink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, e no </w:t>
      </w:r>
      <w:hyperlink r:id="rId28" w:anchor="art16" w:history="1">
        <w:r w:rsidRPr="00C5616E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 xml:space="preserve">art. 16 da Lei nº 8.668, de 25 de junho de 1993. </w:t>
        </w:r>
      </w:hyperlink>
    </w:p>
    <w:p w14:paraId="744D0D2F" w14:textId="77777777" w:rsidR="00B663EA" w:rsidRPr="00C5616E" w:rsidRDefault="00B663EA" w:rsidP="00B663EA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Senado Federal, 21 de junho de 1994; 173º da Independência e 106º da República. </w:t>
      </w:r>
    </w:p>
    <w:p w14:paraId="4AFFA747" w14:textId="77777777" w:rsidR="00B663EA" w:rsidRPr="00C5616E" w:rsidRDefault="00B663EA" w:rsidP="00B663E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lastRenderedPageBreak/>
        <w:t xml:space="preserve">SENADOR HUMBERTO LUCENA </w:t>
      </w:r>
      <w:r w:rsidRPr="00C5616E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C5616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Presidente do Senado Federal</w:t>
      </w:r>
    </w:p>
    <w:p w14:paraId="4CC13B83" w14:textId="77777777" w:rsidR="00B663EA" w:rsidRPr="00C5616E" w:rsidRDefault="00B663EA" w:rsidP="00B663EA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16E"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  <w:t>Este texto não substitui o publicado no DOU de 22.6.1994</w:t>
      </w:r>
    </w:p>
    <w:p w14:paraId="2C14FFEF" w14:textId="77777777" w:rsidR="00B663EA" w:rsidRPr="00C5616E" w:rsidRDefault="00B663EA" w:rsidP="00B663E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16E"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  <w:t>*</w:t>
      </w:r>
      <w:r w:rsidRPr="00C5616E">
        <w:rPr>
          <w:rFonts w:ascii="Book Antiqua" w:eastAsia="Times New Roman" w:hAnsi="Book Antiqua" w:cs="Times New Roman"/>
          <w:sz w:val="19"/>
          <w:szCs w:val="19"/>
          <w:lang w:eastAsia="pt-BR"/>
        </w:rPr>
        <w:t> </w:t>
      </w:r>
    </w:p>
    <w:p w14:paraId="3CAB4A84" w14:textId="77777777" w:rsidR="006F7494" w:rsidRPr="00C5616E" w:rsidRDefault="006F7494">
      <w:pPr>
        <w:rPr>
          <w:rFonts w:ascii="Book Antiqua" w:hAnsi="Book Antiqua" w:cs="Times New Roman"/>
          <w:sz w:val="19"/>
          <w:szCs w:val="19"/>
        </w:rPr>
      </w:pPr>
    </w:p>
    <w:sectPr w:rsidR="006F7494" w:rsidRPr="00C5616E" w:rsidSect="00094C1F">
      <w:pgSz w:w="11906" w:h="16838"/>
      <w:pgMar w:top="993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1F5"/>
    <w:rsid w:val="00094C1F"/>
    <w:rsid w:val="001351F5"/>
    <w:rsid w:val="006F7494"/>
    <w:rsid w:val="00B663EA"/>
    <w:rsid w:val="00C5616E"/>
    <w:rsid w:val="00E46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3A9F2"/>
  <w15:chartTrackingRefBased/>
  <w15:docId w15:val="{39E9B29C-95E3-4E2C-BA38-434D168F8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7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_Ato2011-2014/2011/Lei/L12543.htm" TargetMode="External"/><Relationship Id="rId13" Type="http://schemas.openxmlformats.org/officeDocument/2006/relationships/hyperlink" Target="http://www.planalto.gov.br/ccivil_03/_Ato2011-2014/2011/Lei/L12543.htm" TargetMode="External"/><Relationship Id="rId18" Type="http://schemas.openxmlformats.org/officeDocument/2006/relationships/hyperlink" Target="http://www.planalto.gov.br/ccivil_03/_Ato2011-2014/2011/Lei/L12543.htm" TargetMode="External"/><Relationship Id="rId26" Type="http://schemas.openxmlformats.org/officeDocument/2006/relationships/hyperlink" Target="http://www.planalto.gov.br/ccivil_03/LEIS/L8313cons.htm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www.planalto.gov.br/ccivil_03/_Ato2015-2018/2016/Lei/L13353.htm" TargetMode="External"/><Relationship Id="rId7" Type="http://schemas.openxmlformats.org/officeDocument/2006/relationships/hyperlink" Target="http://www.planalto.gov.br/ccivil_03/_Ato2011-2014/2011/Lei/L12543.htm" TargetMode="External"/><Relationship Id="rId12" Type="http://schemas.openxmlformats.org/officeDocument/2006/relationships/hyperlink" Target="http://www.planalto.gov.br/ccivil_03/_Ato2011-2014/2011/Lei/L12543.htm" TargetMode="External"/><Relationship Id="rId17" Type="http://schemas.openxmlformats.org/officeDocument/2006/relationships/hyperlink" Target="http://www.planalto.gov.br/ccivil_03/LEIS/L8894.htm" TargetMode="External"/><Relationship Id="rId25" Type="http://schemas.openxmlformats.org/officeDocument/2006/relationships/hyperlink" Target="http://www.planalto.gov.br/ccivil_03/LEIS/L8088consol.htm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planalto.gov.br/ccivil_03/_Ato2011-2014/2011/Lei/L12543.htm" TargetMode="External"/><Relationship Id="rId20" Type="http://schemas.openxmlformats.org/officeDocument/2006/relationships/hyperlink" Target="http://www.planalto.gov.br/ccivil_03/decreto/1997/D2219.htm" TargetMode="External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_Ato2011-2014/2011/Lei/L12543.htm" TargetMode="External"/><Relationship Id="rId11" Type="http://schemas.openxmlformats.org/officeDocument/2006/relationships/hyperlink" Target="http://www.planalto.gov.br/ccivil_03/LEIS/L8212cons.htm" TargetMode="External"/><Relationship Id="rId24" Type="http://schemas.openxmlformats.org/officeDocument/2006/relationships/hyperlink" Target="http://www.planalto.gov.br/ccivil_03/MPV/1990-1995/487.htm" TargetMode="External"/><Relationship Id="rId5" Type="http://schemas.openxmlformats.org/officeDocument/2006/relationships/hyperlink" Target="http://www.planalto.gov.br/ccivil_03/_Ato2011-2014/2011/Lei/L12543.htm" TargetMode="External"/><Relationship Id="rId15" Type="http://schemas.openxmlformats.org/officeDocument/2006/relationships/hyperlink" Target="http://www.planalto.gov.br/ccivil_03/_Ato2011-2014/2011/Lei/L12543.htm" TargetMode="External"/><Relationship Id="rId23" Type="http://schemas.openxmlformats.org/officeDocument/2006/relationships/hyperlink" Target="http://www.planalto.gov.br/ccivil_03/decreto/1996/D1814.htm" TargetMode="External"/><Relationship Id="rId28" Type="http://schemas.openxmlformats.org/officeDocument/2006/relationships/hyperlink" Target="http://www.planalto.gov.br/ccivil_03/LEIS/L8668.htm" TargetMode="External"/><Relationship Id="rId10" Type="http://schemas.openxmlformats.org/officeDocument/2006/relationships/hyperlink" Target="http://www.planalto.gov.br/ccivil_03/_Ato2011-2014/2011/Lei/L12543.htm" TargetMode="External"/><Relationship Id="rId19" Type="http://schemas.openxmlformats.org/officeDocument/2006/relationships/hyperlink" Target="http://www.planalto.gov.br/ccivil_03/LEIS/L8383.htmart21&#167;4" TargetMode="External"/><Relationship Id="rId4" Type="http://schemas.openxmlformats.org/officeDocument/2006/relationships/hyperlink" Target="http://legislacao.planalto.gov.br/legisla/legislacao.nsf/Viw_Identificacao/lei%208.894-1994?OpenDocument" TargetMode="External"/><Relationship Id="rId9" Type="http://schemas.openxmlformats.org/officeDocument/2006/relationships/hyperlink" Target="http://www.planalto.gov.br/ccivil_03/_Ato2011-2014/2011/Lei/L12543.htm" TargetMode="External"/><Relationship Id="rId14" Type="http://schemas.openxmlformats.org/officeDocument/2006/relationships/hyperlink" Target="http://www.planalto.gov.br/ccivil_03/_Ato2011-2014/2011/Lei/L12543.htm" TargetMode="External"/><Relationship Id="rId22" Type="http://schemas.openxmlformats.org/officeDocument/2006/relationships/hyperlink" Target="http://www.planalto.gov.br/ccivil_03/_Ato2015-2018/2016/Lei/L13353.htm" TargetMode="External"/><Relationship Id="rId27" Type="http://schemas.openxmlformats.org/officeDocument/2006/relationships/hyperlink" Target="http://www.planalto.gov.br/ccivil_03/LEIS/L8383.htm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1350</Words>
  <Characters>7290</Characters>
  <Application>Microsoft Office Word</Application>
  <DocSecurity>0</DocSecurity>
  <Lines>60</Lines>
  <Paragraphs>17</Paragraphs>
  <ScaleCrop>false</ScaleCrop>
  <Company/>
  <LinksUpToDate>false</LinksUpToDate>
  <CharactersWithSpaces>8623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 Belisário</cp:lastModifiedBy>
  <cp:revision>5</cp:revision>
  <dcterms:created xsi:type="dcterms:W3CDTF">2016-11-29T10:57:00Z</dcterms:created>
  <dcterms:modified xsi:type="dcterms:W3CDTF">2022-12-15T19:17:00Z</dcterms:modified>
</cp:coreProperties>
</file>