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E9A31" w14:textId="77777777" w:rsidR="00EF631D" w:rsidRPr="00EF631D" w:rsidRDefault="00EF631D" w:rsidP="00EF6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F631D">
        <w:rPr>
          <w:rFonts w:ascii="Book Antiqua" w:eastAsia="Times New Roman" w:hAnsi="Book Antiqua" w:cs="Times New Roman"/>
          <w:b/>
          <w:bCs/>
          <w:color w:val="000000"/>
          <w:sz w:val="19"/>
          <w:szCs w:val="19"/>
          <w:lang w:eastAsia="pt-BR"/>
        </w:rPr>
        <w:fldChar w:fldCharType="begin"/>
      </w:r>
      <w:r w:rsidRPr="00EF631D">
        <w:rPr>
          <w:rFonts w:ascii="Book Antiqua" w:eastAsia="Times New Roman" w:hAnsi="Book Antiqua" w:cs="Times New Roman"/>
          <w:b/>
          <w:bCs/>
          <w:color w:val="000000"/>
          <w:sz w:val="19"/>
          <w:szCs w:val="19"/>
          <w:lang w:eastAsia="pt-BR"/>
        </w:rPr>
        <w:instrText xml:space="preserve"> HYPERLINK "http://legislacao.planalto.gov.br/legisla/legislacao.nsf/Viw_Identificacao/lei%208.989-1995?OpenDocument" </w:instrText>
      </w:r>
      <w:r w:rsidRPr="00EF631D">
        <w:rPr>
          <w:rFonts w:ascii="Book Antiqua" w:eastAsia="Times New Roman" w:hAnsi="Book Antiqua" w:cs="Times New Roman"/>
          <w:b/>
          <w:bCs/>
          <w:color w:val="000000"/>
          <w:sz w:val="19"/>
          <w:szCs w:val="19"/>
          <w:lang w:eastAsia="pt-BR"/>
        </w:rPr>
        <w:fldChar w:fldCharType="separate"/>
      </w:r>
      <w:r w:rsidRPr="00EF631D">
        <w:rPr>
          <w:rFonts w:ascii="Book Antiqua" w:eastAsia="Times New Roman" w:hAnsi="Book Antiqua" w:cs="Arial"/>
          <w:b/>
          <w:bCs/>
          <w:color w:val="000080"/>
          <w:sz w:val="19"/>
          <w:szCs w:val="19"/>
          <w:u w:val="single"/>
          <w:lang w:eastAsia="pt-BR"/>
        </w:rPr>
        <w:t>LEI Nº 8.989, DE 24 DE FEVEREIRO DE 1995.</w:t>
      </w:r>
      <w:r w:rsidRPr="00EF631D">
        <w:rPr>
          <w:rFonts w:ascii="Book Antiqua" w:eastAsia="Times New Roman" w:hAnsi="Book Antiqua" w:cs="Times New Roman"/>
          <w:b/>
          <w:bCs/>
          <w:color w:val="00000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EF631D" w:rsidRPr="00EF631D" w14:paraId="1ED188A7" w14:textId="77777777" w:rsidTr="00D00454">
        <w:trPr>
          <w:tblCellSpacing w:w="0" w:type="dxa"/>
        </w:trPr>
        <w:tc>
          <w:tcPr>
            <w:tcW w:w="1333" w:type="pct"/>
            <w:vAlign w:val="center"/>
            <w:hideMark/>
          </w:tcPr>
          <w:p w14:paraId="62D61CFE" w14:textId="7B10927E" w:rsidR="00EF631D" w:rsidRPr="00EF631D" w:rsidRDefault="00EF631D" w:rsidP="00EF631D">
            <w:pPr>
              <w:spacing w:before="100" w:beforeAutospacing="1" w:after="100" w:afterAutospacing="1" w:line="240" w:lineRule="auto"/>
              <w:rPr>
                <w:rFonts w:ascii="Book Antiqua" w:eastAsia="Times New Roman" w:hAnsi="Book Antiqua" w:cs="Times New Roman"/>
                <w:sz w:val="19"/>
                <w:szCs w:val="19"/>
                <w:lang w:eastAsia="pt-BR"/>
              </w:rPr>
            </w:pPr>
          </w:p>
        </w:tc>
        <w:tc>
          <w:tcPr>
            <w:tcW w:w="3667" w:type="pct"/>
            <w:vAlign w:val="center"/>
            <w:hideMark/>
          </w:tcPr>
          <w:p w14:paraId="4B232865" w14:textId="1321D2BB" w:rsidR="00EF631D" w:rsidRPr="00D00454" w:rsidRDefault="00D00454" w:rsidP="00EF631D">
            <w:pPr>
              <w:spacing w:before="100" w:beforeAutospacing="1" w:after="100" w:afterAutospacing="1" w:line="240" w:lineRule="auto"/>
              <w:jc w:val="both"/>
              <w:rPr>
                <w:rFonts w:ascii="Book Antiqua" w:eastAsia="Times New Roman" w:hAnsi="Book Antiqua" w:cs="Arial"/>
                <w:color w:val="800000"/>
                <w:sz w:val="18"/>
                <w:szCs w:val="18"/>
                <w:lang w:eastAsia="pt-BR"/>
              </w:rPr>
            </w:pPr>
            <w:r w:rsidRPr="00D00454">
              <w:rPr>
                <w:rFonts w:ascii="Book Antiqua" w:eastAsia="Times New Roman" w:hAnsi="Book Antiqua" w:cs="Arial"/>
                <w:color w:val="800000"/>
                <w:sz w:val="18"/>
                <w:szCs w:val="18"/>
                <w:lang w:eastAsia="pt-BR"/>
              </w:rPr>
              <w:t>Dispõe sobre a isenção do Imposto sobre Produtos Industrializados (IPI) na aquisição de automóveis para utilização no transporte autônomo de passageiros, bem como por pessoas com deficiência.    </w:t>
            </w:r>
            <w:hyperlink r:id="rId4" w:anchor="art2" w:history="1">
              <w:r w:rsidRPr="00D00454">
                <w:rPr>
                  <w:rStyle w:val="Hyperlink"/>
                  <w:rFonts w:ascii="Book Antiqua" w:eastAsia="Times New Roman" w:hAnsi="Book Antiqua" w:cs="Arial"/>
                  <w:sz w:val="18"/>
                  <w:szCs w:val="18"/>
                  <w:lang w:eastAsia="pt-BR"/>
                </w:rPr>
                <w:t>(Redação dada pela Lei nº 14.287, de 2021)</w:t>
              </w:r>
            </w:hyperlink>
            <w:r w:rsidRPr="00EF631D">
              <w:rPr>
                <w:rFonts w:ascii="Book Antiqua" w:eastAsia="Times New Roman" w:hAnsi="Book Antiqua" w:cs="Times New Roman"/>
                <w:sz w:val="18"/>
                <w:szCs w:val="18"/>
                <w:lang w:eastAsia="pt-BR"/>
              </w:rPr>
              <w:t xml:space="preserve"> </w:t>
            </w:r>
          </w:p>
        </w:tc>
      </w:tr>
    </w:tbl>
    <w:p w14:paraId="67743FF7" w14:textId="77777777"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t>        Faço saber que o </w:t>
      </w:r>
      <w:r w:rsidRPr="00EF631D">
        <w:rPr>
          <w:rFonts w:ascii="Book Antiqua" w:eastAsia="Times New Roman" w:hAnsi="Book Antiqua" w:cs="Arial"/>
          <w:b/>
          <w:bCs/>
          <w:color w:val="000000"/>
          <w:sz w:val="19"/>
          <w:szCs w:val="19"/>
          <w:lang w:eastAsia="pt-BR"/>
        </w:rPr>
        <w:t>PRESIDENTE DA REPÚBLICA</w:t>
      </w:r>
      <w:r w:rsidRPr="00EF631D">
        <w:rPr>
          <w:rFonts w:ascii="Book Antiqua" w:eastAsia="Times New Roman" w:hAnsi="Book Antiqua" w:cs="Arial"/>
          <w:color w:val="000000"/>
          <w:sz w:val="19"/>
          <w:szCs w:val="19"/>
          <w:lang w:eastAsia="pt-BR"/>
        </w:rPr>
        <w:t> adotou a Medida Provisória nº 856, de 1995, que o Congresso Nacional aprovou, e eu, JOSÉ SARNEY, Presidente do Senado Federal, para os efeitos do disposto no parágrafo único do art. 62 da Constituição Federal, promulgo a seguinte lei:       </w:t>
      </w:r>
    </w:p>
    <w:p w14:paraId="71C6C3A4" w14:textId="4B51B043"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t>        </w:t>
      </w:r>
      <w:r w:rsidRPr="00EF631D">
        <w:rPr>
          <w:rFonts w:ascii="Book Antiqua" w:eastAsia="Times New Roman" w:hAnsi="Book Antiqua" w:cs="Arial"/>
          <w:b/>
          <w:bCs/>
          <w:color w:val="000000"/>
          <w:sz w:val="19"/>
          <w:szCs w:val="19"/>
          <w:highlight w:val="magenta"/>
          <w:lang w:eastAsia="pt-BR"/>
        </w:rPr>
        <w:t>Art. 1º</w:t>
      </w:r>
      <w:r w:rsidRPr="00EF631D">
        <w:rPr>
          <w:rFonts w:ascii="Book Antiqua" w:eastAsia="Times New Roman" w:hAnsi="Book Antiqua" w:cs="Arial"/>
          <w:color w:val="000000"/>
          <w:sz w:val="19"/>
          <w:szCs w:val="19"/>
          <w:lang w:eastAsia="pt-BR"/>
        </w:rPr>
        <w:t>  Ficam isentos do Imposto sobre Produtos Industrializados (IPI) os automóveis de passageiros de fabricação nacional, equipados com motor de cilindrada não superior a 2.000 cm³ (dois mil centímetros cúbicos), de, no mínimo, 4 (quatro) portas, inclusive a de acesso ao bagageiro, movidos a combustível de origem renovável, sistema reversível de combustão ou híbrido e elétricos, quando adquiridos por:</w:t>
      </w:r>
      <w:r w:rsidRPr="00EF631D">
        <w:rPr>
          <w:rFonts w:ascii="Book Antiqua" w:eastAsia="Times New Roman" w:hAnsi="Book Antiqua" w:cs="Times New Roman"/>
          <w:color w:val="000000"/>
          <w:sz w:val="19"/>
          <w:szCs w:val="19"/>
          <w:lang w:eastAsia="pt-BR"/>
        </w:rPr>
        <w:t>                 </w:t>
      </w:r>
      <w:hyperlink r:id="rId5" w:anchor="art37.0" w:history="1">
        <w:r w:rsidRPr="00EF631D">
          <w:rPr>
            <w:rFonts w:ascii="Book Antiqua" w:eastAsia="Times New Roman" w:hAnsi="Book Antiqua" w:cs="Arial"/>
            <w:color w:val="0000FF"/>
            <w:sz w:val="19"/>
            <w:szCs w:val="19"/>
            <w:u w:val="single"/>
            <w:lang w:eastAsia="pt-BR"/>
          </w:rPr>
          <w:t>(Redação dada pela Lei nº 13755, de 2018</w:t>
        </w:r>
      </w:hyperlink>
      <w:r>
        <w:rPr>
          <w:rFonts w:ascii="Book Antiqua" w:eastAsia="Times New Roman" w:hAnsi="Book Antiqua" w:cs="Arial"/>
          <w:color w:val="000000"/>
          <w:sz w:val="19"/>
          <w:szCs w:val="19"/>
          <w:lang w:eastAsia="pt-BR"/>
        </w:rPr>
        <w:t>)</w:t>
      </w:r>
    </w:p>
    <w:p w14:paraId="714C4D68" w14:textId="77777777"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Times New Roman"/>
          <w:color w:val="000000"/>
          <w:sz w:val="19"/>
          <w:szCs w:val="19"/>
          <w:lang w:eastAsia="pt-BR"/>
        </w:rPr>
        <w:t>        </w:t>
      </w:r>
      <w:r w:rsidRPr="00EF631D">
        <w:rPr>
          <w:rFonts w:ascii="Book Antiqua" w:eastAsia="Times New Roman" w:hAnsi="Book Antiqua" w:cs="Arial"/>
          <w:color w:val="000000"/>
          <w:sz w:val="19"/>
          <w:szCs w:val="19"/>
          <w:lang w:eastAsia="pt-BR"/>
        </w:rPr>
        <w:t>I - motoristas profissionais que exerçam, comprovadamente, em veículo de sua propriedade atividade de condutor autônomo de passageiros, na condição de titular de autorização, permissão ou concessão do Poder Público e que destinam o automóvel à utilização na categoria de aluguel (táxi);          </w:t>
      </w:r>
      <w:hyperlink r:id="rId6" w:anchor="art29" w:history="1">
        <w:r w:rsidRPr="00EF631D">
          <w:rPr>
            <w:rFonts w:ascii="Book Antiqua" w:eastAsia="Times New Roman" w:hAnsi="Book Antiqua" w:cs="Arial"/>
            <w:color w:val="0000FF"/>
            <w:sz w:val="19"/>
            <w:szCs w:val="19"/>
            <w:u w:val="single"/>
            <w:lang w:eastAsia="pt-BR"/>
          </w:rPr>
          <w:t>(Redação dada pela Lei nº 9.317, de 5.12.1996)</w:t>
        </w:r>
      </w:hyperlink>
    </w:p>
    <w:p w14:paraId="17427F1A" w14:textId="77777777"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t>        II - motoristas profissionais autônomos titulares de autorização, permissão ou concessão para exploração do serviço de transporte individual de passageiros (táxi), impedidos de continuar exercendo essa atividade em virtude de destruição completa, furto ou roubo do veículo, desde que destinem o veículo adquirido à utilização na categoria de aluguel (táxi);</w:t>
      </w:r>
    </w:p>
    <w:p w14:paraId="6D12C6B5" w14:textId="77777777"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t>        III - cooperativas de trabalho que sejam permissionárias ou concessionárias de transporte público de passageiros, na categoria de aluguel (táxi), desde que tais veículos se destinem à utilização nessa atividade;</w:t>
      </w:r>
    </w:p>
    <w:p w14:paraId="326848A0" w14:textId="3748256F" w:rsidR="00D00454" w:rsidRPr="00D00454" w:rsidRDefault="00D00454" w:rsidP="00D00454">
      <w:pPr>
        <w:spacing w:before="100" w:beforeAutospacing="1" w:after="100" w:afterAutospacing="1" w:line="240" w:lineRule="auto"/>
        <w:ind w:firstLine="284"/>
        <w:jc w:val="both"/>
        <w:rPr>
          <w:rFonts w:ascii="Book Antiqua" w:eastAsia="Times New Roman" w:hAnsi="Book Antiqua" w:cs="Times New Roman"/>
          <w:color w:val="000000"/>
          <w:sz w:val="19"/>
          <w:szCs w:val="19"/>
          <w:lang w:eastAsia="pt-BR"/>
        </w:rPr>
      </w:pPr>
      <w:r w:rsidRPr="00D00454">
        <w:rPr>
          <w:rFonts w:ascii="Book Antiqua" w:hAnsi="Book Antiqua" w:cs="Arial"/>
          <w:color w:val="000000"/>
          <w:sz w:val="19"/>
          <w:szCs w:val="19"/>
          <w:shd w:val="clear" w:color="auto" w:fill="FFFFFF"/>
        </w:rPr>
        <w:t>IV - pessoas com deficiência física, visual, auditiva e mental severa ou profunda e pessoas com transtorno do espectro autista, diretamente ou por intermédio de seu representante legal;      </w:t>
      </w:r>
      <w:hyperlink r:id="rId7" w:anchor="art3" w:history="1">
        <w:r w:rsidRPr="00D00454">
          <w:rPr>
            <w:rFonts w:ascii="Book Antiqua" w:hAnsi="Book Antiqua" w:cs="Arial"/>
            <w:color w:val="0000FF"/>
            <w:sz w:val="19"/>
            <w:szCs w:val="19"/>
            <w:u w:val="single"/>
            <w:shd w:val="clear" w:color="auto" w:fill="FFFFFF"/>
          </w:rPr>
          <w:t>(Redação dada pela Lei nº 14.287, de 2021)</w:t>
        </w:r>
      </w:hyperlink>
    </w:p>
    <w:p w14:paraId="26F6E594" w14:textId="77777777"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t>         V – (VETADO)          </w:t>
      </w:r>
      <w:hyperlink r:id="rId8" w:anchor="art2art1v" w:history="1">
        <w:r w:rsidRPr="00EF631D">
          <w:rPr>
            <w:rFonts w:ascii="Book Antiqua" w:eastAsia="Times New Roman" w:hAnsi="Book Antiqua" w:cs="Arial"/>
            <w:color w:val="0000FF"/>
            <w:sz w:val="19"/>
            <w:szCs w:val="19"/>
            <w:u w:val="single"/>
            <w:lang w:eastAsia="pt-BR"/>
          </w:rPr>
          <w:t>(Incluído pela Lei nº 10.690, de 16.6.2003)</w:t>
        </w:r>
      </w:hyperlink>
    </w:p>
    <w:p w14:paraId="02377C89" w14:textId="77777777" w:rsidR="00D00454" w:rsidRPr="00D00454" w:rsidRDefault="00D00454" w:rsidP="00D00454">
      <w:pPr>
        <w:spacing w:before="225" w:after="225" w:line="240" w:lineRule="auto"/>
        <w:ind w:firstLine="570"/>
        <w:jc w:val="both"/>
        <w:rPr>
          <w:rFonts w:ascii="Book Antiqua" w:eastAsia="Times New Roman" w:hAnsi="Book Antiqua" w:cs="Times New Roman"/>
          <w:color w:val="000000"/>
          <w:sz w:val="19"/>
          <w:szCs w:val="19"/>
          <w:lang w:eastAsia="pt-BR"/>
        </w:rPr>
      </w:pPr>
      <w:r w:rsidRPr="00D00454">
        <w:rPr>
          <w:rFonts w:ascii="Book Antiqua" w:eastAsia="Times New Roman" w:hAnsi="Book Antiqua" w:cs="Arial"/>
          <w:color w:val="000000"/>
          <w:sz w:val="19"/>
          <w:szCs w:val="19"/>
          <w:lang w:eastAsia="pt-BR"/>
        </w:rPr>
        <w:t>§ 1º Considera-se pessoa com deficiência aquela com impedimento de longo prazo de natureza física, mental, intelectual ou sensorial que, em interação com uma ou mais barreiras, pode obstruir sua participação plena e efetiva na sociedade em igualdade de condições com as demais pessoas, conforme avaliação biopsicossocial prevista no </w:t>
      </w:r>
      <w:hyperlink r:id="rId9" w:anchor="art2%C2%A71" w:history="1">
        <w:r w:rsidRPr="00D00454">
          <w:rPr>
            <w:rFonts w:ascii="Book Antiqua" w:eastAsia="Times New Roman" w:hAnsi="Book Antiqua" w:cs="Arial"/>
            <w:color w:val="0000FF"/>
            <w:sz w:val="19"/>
            <w:szCs w:val="19"/>
            <w:u w:val="single"/>
            <w:lang w:eastAsia="pt-BR"/>
          </w:rPr>
          <w:t>§ 1º do art. 2º da Lei nº 13.146, de 6 de julho de 2015</w:t>
        </w:r>
      </w:hyperlink>
      <w:r w:rsidRPr="00D00454">
        <w:rPr>
          <w:rFonts w:ascii="Book Antiqua" w:eastAsia="Times New Roman" w:hAnsi="Book Antiqua" w:cs="Arial"/>
          <w:color w:val="000000"/>
          <w:sz w:val="19"/>
          <w:szCs w:val="19"/>
          <w:lang w:eastAsia="pt-BR"/>
        </w:rPr>
        <w:t> (Estatuto da Pessoa com Deficiência).     </w:t>
      </w:r>
      <w:hyperlink r:id="rId10" w:anchor="art3" w:history="1">
        <w:r w:rsidRPr="00D00454">
          <w:rPr>
            <w:rFonts w:ascii="Book Antiqua" w:eastAsia="Times New Roman" w:hAnsi="Book Antiqua" w:cs="Arial"/>
            <w:color w:val="0000FF"/>
            <w:sz w:val="19"/>
            <w:szCs w:val="19"/>
            <w:u w:val="single"/>
            <w:lang w:eastAsia="pt-BR"/>
          </w:rPr>
          <w:t>(Redação dada pela Lei nº 14.287, de 2021)</w:t>
        </w:r>
      </w:hyperlink>
    </w:p>
    <w:p w14:paraId="25B146DF" w14:textId="77777777" w:rsidR="00D00454" w:rsidRPr="00D00454" w:rsidRDefault="00D00454" w:rsidP="00D00454">
      <w:pPr>
        <w:spacing w:before="225" w:after="225" w:line="240" w:lineRule="auto"/>
        <w:ind w:firstLine="570"/>
        <w:jc w:val="both"/>
        <w:rPr>
          <w:rFonts w:ascii="Book Antiqua" w:eastAsia="Times New Roman" w:hAnsi="Book Antiqua" w:cs="Times New Roman"/>
          <w:color w:val="000000"/>
          <w:sz w:val="19"/>
          <w:szCs w:val="19"/>
          <w:lang w:eastAsia="pt-BR"/>
        </w:rPr>
      </w:pPr>
      <w:r w:rsidRPr="00D00454">
        <w:rPr>
          <w:rFonts w:ascii="Book Antiqua" w:eastAsia="Times New Roman" w:hAnsi="Book Antiqua" w:cs="Arial"/>
          <w:color w:val="000000"/>
          <w:sz w:val="19"/>
          <w:szCs w:val="19"/>
          <w:lang w:eastAsia="pt-BR"/>
        </w:rPr>
        <w:t>§ 1º-A. Enquanto o Poder Executivo não regulamentar o </w:t>
      </w:r>
      <w:hyperlink r:id="rId11" w:anchor="art2%C2%A71" w:history="1">
        <w:r w:rsidRPr="00D00454">
          <w:rPr>
            <w:rFonts w:ascii="Book Antiqua" w:eastAsia="Times New Roman" w:hAnsi="Book Antiqua" w:cs="Arial"/>
            <w:color w:val="0000FF"/>
            <w:sz w:val="19"/>
            <w:szCs w:val="19"/>
            <w:u w:val="single"/>
            <w:lang w:eastAsia="pt-BR"/>
          </w:rPr>
          <w:t>§ 1º do art. 2º da Lei nº 13.146, de 6 de julho de 2015</w:t>
        </w:r>
      </w:hyperlink>
      <w:r w:rsidRPr="00D00454">
        <w:rPr>
          <w:rFonts w:ascii="Book Antiqua" w:eastAsia="Times New Roman" w:hAnsi="Book Antiqua" w:cs="Arial"/>
          <w:color w:val="000000"/>
          <w:sz w:val="19"/>
          <w:szCs w:val="19"/>
          <w:lang w:eastAsia="pt-BR"/>
        </w:rPr>
        <w:t> (Estatuto da Pessoa com Deficiência), não será exigida, para fins de concessão do benefício fiscal, a avaliação biopsicossocial referida no § 1º deste artigo.      </w:t>
      </w:r>
      <w:hyperlink r:id="rId12" w:anchor="art3" w:history="1">
        <w:r w:rsidRPr="00D00454">
          <w:rPr>
            <w:rFonts w:ascii="Book Antiqua" w:eastAsia="Times New Roman" w:hAnsi="Book Antiqua" w:cs="Arial"/>
            <w:color w:val="0000FF"/>
            <w:sz w:val="19"/>
            <w:szCs w:val="19"/>
            <w:u w:val="single"/>
            <w:lang w:eastAsia="pt-BR"/>
          </w:rPr>
          <w:t>(Incluído pela Lei nº 14.287, de 2021)</w:t>
        </w:r>
      </w:hyperlink>
    </w:p>
    <w:p w14:paraId="273BB2E9" w14:textId="1CE592DC" w:rsidR="00D00454" w:rsidRPr="00D00454" w:rsidRDefault="00D00454" w:rsidP="00D00454">
      <w:pPr>
        <w:tabs>
          <w:tab w:val="left" w:pos="426"/>
        </w:tabs>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D00454">
        <w:rPr>
          <w:rFonts w:ascii="Book Antiqua" w:hAnsi="Book Antiqua" w:cs="Arial"/>
          <w:color w:val="000000"/>
          <w:sz w:val="19"/>
          <w:szCs w:val="19"/>
          <w:shd w:val="clear" w:color="auto" w:fill="FFFFFF"/>
        </w:rPr>
        <w:t>§ 2º </w:t>
      </w:r>
      <w:hyperlink r:id="rId13" w:anchor="art4" w:history="1">
        <w:r w:rsidRPr="00D00454">
          <w:rPr>
            <w:rFonts w:ascii="Book Antiqua" w:hAnsi="Book Antiqua" w:cs="Arial"/>
            <w:color w:val="0000FF"/>
            <w:sz w:val="19"/>
            <w:szCs w:val="19"/>
            <w:u w:val="single"/>
            <w:shd w:val="clear" w:color="auto" w:fill="FFFFFF"/>
          </w:rPr>
          <w:t>(Revogado)</w:t>
        </w:r>
      </w:hyperlink>
      <w:r w:rsidRPr="00D00454">
        <w:rPr>
          <w:rFonts w:ascii="Book Antiqua" w:hAnsi="Book Antiqua" w:cs="Arial"/>
          <w:color w:val="000000"/>
          <w:sz w:val="19"/>
          <w:szCs w:val="19"/>
          <w:shd w:val="clear" w:color="auto" w:fill="FFFFFF"/>
        </w:rPr>
        <w:t>.       </w:t>
      </w:r>
      <w:hyperlink r:id="rId14" w:anchor="art3" w:history="1">
        <w:r w:rsidRPr="00D00454">
          <w:rPr>
            <w:rFonts w:ascii="Book Antiqua" w:hAnsi="Book Antiqua" w:cs="Arial"/>
            <w:color w:val="0000FF"/>
            <w:sz w:val="19"/>
            <w:szCs w:val="19"/>
            <w:u w:val="single"/>
            <w:shd w:val="clear" w:color="auto" w:fill="FFFFFF"/>
          </w:rPr>
          <w:t>(Redação dada pela Lei nº 14.287, de 2021)</w:t>
        </w:r>
      </w:hyperlink>
    </w:p>
    <w:p w14:paraId="003B816D" w14:textId="77777777"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t>         § 3</w:t>
      </w:r>
      <w:r w:rsidRPr="00EF631D">
        <w:rPr>
          <w:rFonts w:ascii="Book Antiqua" w:eastAsia="Times New Roman" w:hAnsi="Book Antiqua" w:cs="Arial"/>
          <w:color w:val="000000"/>
          <w:sz w:val="19"/>
          <w:szCs w:val="19"/>
          <w:u w:val="single"/>
          <w:vertAlign w:val="superscript"/>
          <w:lang w:eastAsia="pt-BR"/>
        </w:rPr>
        <w:t>o</w:t>
      </w:r>
      <w:r w:rsidRPr="00EF631D">
        <w:rPr>
          <w:rFonts w:ascii="Book Antiqua" w:eastAsia="Times New Roman" w:hAnsi="Book Antiqua" w:cs="Arial"/>
          <w:color w:val="000000"/>
          <w:sz w:val="19"/>
          <w:szCs w:val="19"/>
          <w:lang w:eastAsia="pt-BR"/>
        </w:rPr>
        <w:t> Na hipótese do inciso IV, os automóveis de passageiros a que se refere o </w:t>
      </w:r>
      <w:r w:rsidRPr="00EF631D">
        <w:rPr>
          <w:rFonts w:ascii="Book Antiqua" w:eastAsia="Times New Roman" w:hAnsi="Book Antiqua" w:cs="Arial"/>
          <w:b/>
          <w:bCs/>
          <w:color w:val="000000"/>
          <w:sz w:val="19"/>
          <w:szCs w:val="19"/>
          <w:lang w:eastAsia="pt-BR"/>
        </w:rPr>
        <w:t>caput </w:t>
      </w:r>
      <w:r w:rsidRPr="00EF631D">
        <w:rPr>
          <w:rFonts w:ascii="Book Antiqua" w:eastAsia="Times New Roman" w:hAnsi="Book Antiqua" w:cs="Arial"/>
          <w:color w:val="000000"/>
          <w:sz w:val="19"/>
          <w:szCs w:val="19"/>
          <w:lang w:eastAsia="pt-BR"/>
        </w:rPr>
        <w:t>serão adquiridos diretamente pelas pessoas que tenham plena capacidade jurídica e, no caso dos interditos, pelos curadores. </w:t>
      </w:r>
      <w:hyperlink r:id="rId15" w:anchor="art2art1%C2%A71" w:history="1">
        <w:r w:rsidRPr="00EF631D">
          <w:rPr>
            <w:rFonts w:ascii="Book Antiqua" w:eastAsia="Times New Roman" w:hAnsi="Book Antiqua" w:cs="Arial"/>
            <w:color w:val="0000FF"/>
            <w:sz w:val="19"/>
            <w:szCs w:val="19"/>
            <w:u w:val="single"/>
            <w:lang w:eastAsia="pt-BR"/>
          </w:rPr>
          <w:t>(Incluído pela Lei nº 10.690, de 16.6.2003)</w:t>
        </w:r>
      </w:hyperlink>
    </w:p>
    <w:p w14:paraId="69135FC9" w14:textId="7049938E" w:rsidR="00D00454" w:rsidRPr="00D00454" w:rsidRDefault="00D00454" w:rsidP="00D004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00454">
        <w:rPr>
          <w:rFonts w:ascii="Book Antiqua" w:hAnsi="Book Antiqua" w:cs="Arial"/>
          <w:color w:val="000000"/>
          <w:sz w:val="19"/>
          <w:szCs w:val="19"/>
          <w:shd w:val="clear" w:color="auto" w:fill="FFFFFF"/>
        </w:rPr>
        <w:t>§ 4º </w:t>
      </w:r>
      <w:hyperlink r:id="rId16" w:anchor="art4" w:history="1">
        <w:r w:rsidRPr="00D00454">
          <w:rPr>
            <w:rFonts w:ascii="Book Antiqua" w:hAnsi="Book Antiqua" w:cs="Arial"/>
            <w:color w:val="0000FF"/>
            <w:sz w:val="19"/>
            <w:szCs w:val="19"/>
            <w:u w:val="single"/>
            <w:shd w:val="clear" w:color="auto" w:fill="FFFFFF"/>
          </w:rPr>
          <w:t>(Revogado)</w:t>
        </w:r>
      </w:hyperlink>
      <w:r w:rsidRPr="00D00454">
        <w:rPr>
          <w:rFonts w:ascii="Book Antiqua" w:hAnsi="Book Antiqua" w:cs="Arial"/>
          <w:color w:val="000000"/>
          <w:sz w:val="19"/>
          <w:szCs w:val="19"/>
          <w:shd w:val="clear" w:color="auto" w:fill="FFFFFF"/>
        </w:rPr>
        <w:t>.       </w:t>
      </w:r>
      <w:hyperlink r:id="rId17" w:anchor="art3" w:history="1">
        <w:r w:rsidRPr="00D00454">
          <w:rPr>
            <w:rFonts w:ascii="Book Antiqua" w:hAnsi="Book Antiqua" w:cs="Arial"/>
            <w:color w:val="0000FF"/>
            <w:sz w:val="19"/>
            <w:szCs w:val="19"/>
            <w:u w:val="single"/>
            <w:shd w:val="clear" w:color="auto" w:fill="FFFFFF"/>
          </w:rPr>
          <w:t>(Redação dada pela Lei nº 14.287, de 2021)</w:t>
        </w:r>
      </w:hyperlink>
    </w:p>
    <w:p w14:paraId="20153682" w14:textId="77777777"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t>         § 5</w:t>
      </w:r>
      <w:r w:rsidRPr="00EF631D">
        <w:rPr>
          <w:rFonts w:ascii="Book Antiqua" w:eastAsia="Times New Roman" w:hAnsi="Book Antiqua" w:cs="Arial"/>
          <w:color w:val="000000"/>
          <w:sz w:val="19"/>
          <w:szCs w:val="19"/>
          <w:u w:val="single"/>
          <w:vertAlign w:val="superscript"/>
          <w:lang w:eastAsia="pt-BR"/>
        </w:rPr>
        <w:t>o</w:t>
      </w:r>
      <w:r w:rsidRPr="00EF631D">
        <w:rPr>
          <w:rFonts w:ascii="Book Antiqua" w:eastAsia="Times New Roman" w:hAnsi="Book Antiqua" w:cs="Arial"/>
          <w:color w:val="000000"/>
          <w:sz w:val="19"/>
          <w:szCs w:val="19"/>
          <w:lang w:eastAsia="pt-BR"/>
        </w:rPr>
        <w:t> Os curadores respondem solidariamente quanto ao imposto que deixar de ser pago, em razão da isenção de que trata este artigo.        </w:t>
      </w:r>
      <w:hyperlink r:id="rId18" w:anchor="art2art1%C2%A71" w:history="1">
        <w:r w:rsidRPr="00EF631D">
          <w:rPr>
            <w:rFonts w:ascii="Book Antiqua" w:eastAsia="Times New Roman" w:hAnsi="Book Antiqua" w:cs="Arial"/>
            <w:color w:val="0000FF"/>
            <w:sz w:val="19"/>
            <w:szCs w:val="19"/>
            <w:u w:val="single"/>
            <w:lang w:eastAsia="pt-BR"/>
          </w:rPr>
          <w:t>(Incluído pela Lei nº 10.690, de 16.6.2003)</w:t>
        </w:r>
      </w:hyperlink>
    </w:p>
    <w:p w14:paraId="68D8E56A" w14:textId="700816E2" w:rsidR="00EF631D" w:rsidRPr="008B2BBA" w:rsidRDefault="00EF631D" w:rsidP="00EF631D">
      <w:pPr>
        <w:spacing w:before="100" w:beforeAutospacing="1" w:after="100" w:afterAutospacing="1" w:line="240" w:lineRule="auto"/>
        <w:jc w:val="both"/>
        <w:rPr>
          <w:rFonts w:ascii="Book Antiqua" w:eastAsia="Times New Roman" w:hAnsi="Book Antiqua" w:cs="Arial"/>
          <w:color w:val="0000FF"/>
          <w:sz w:val="19"/>
          <w:szCs w:val="19"/>
          <w:lang w:eastAsia="pt-BR"/>
        </w:rPr>
      </w:pPr>
      <w:r w:rsidRPr="00EF631D">
        <w:rPr>
          <w:rFonts w:ascii="Book Antiqua" w:eastAsia="Times New Roman" w:hAnsi="Book Antiqua" w:cs="Arial"/>
          <w:color w:val="000000"/>
          <w:sz w:val="19"/>
          <w:szCs w:val="19"/>
          <w:lang w:eastAsia="pt-BR"/>
        </w:rPr>
        <w:lastRenderedPageBreak/>
        <w:t>         § 6</w:t>
      </w:r>
      <w:r w:rsidRPr="00EF631D">
        <w:rPr>
          <w:rFonts w:ascii="Book Antiqua" w:eastAsia="Times New Roman" w:hAnsi="Book Antiqua" w:cs="Arial"/>
          <w:color w:val="000000"/>
          <w:sz w:val="19"/>
          <w:szCs w:val="19"/>
          <w:u w:val="single"/>
          <w:vertAlign w:val="superscript"/>
          <w:lang w:eastAsia="pt-BR"/>
        </w:rPr>
        <w:t>o</w:t>
      </w:r>
      <w:r w:rsidRPr="00EF631D">
        <w:rPr>
          <w:rFonts w:ascii="Book Antiqua" w:eastAsia="Times New Roman" w:hAnsi="Book Antiqua" w:cs="Arial"/>
          <w:color w:val="000000"/>
          <w:sz w:val="19"/>
          <w:szCs w:val="19"/>
          <w:lang w:eastAsia="pt-BR"/>
        </w:rPr>
        <w:t> A exigência para aquisição de automóveis equipados com motor de cilindrada não superior a dois mil centímetros cúbicos, de no mínimo quatro portas, inclusive a de acesso ao bagageiro, movidos a combustíveis de origem renovável ou sistema reversível de combustão não se aplica aos portadores de deficiência de que trata o inciso IV do </w:t>
      </w:r>
      <w:r w:rsidRPr="00EF631D">
        <w:rPr>
          <w:rFonts w:ascii="Book Antiqua" w:eastAsia="Times New Roman" w:hAnsi="Book Antiqua" w:cs="Arial"/>
          <w:b/>
          <w:bCs/>
          <w:color w:val="000000"/>
          <w:sz w:val="19"/>
          <w:szCs w:val="19"/>
          <w:lang w:eastAsia="pt-BR"/>
        </w:rPr>
        <w:t>caput</w:t>
      </w:r>
      <w:r w:rsidRPr="00EF631D">
        <w:rPr>
          <w:rFonts w:ascii="Book Antiqua" w:eastAsia="Times New Roman" w:hAnsi="Book Antiqua" w:cs="Arial"/>
          <w:color w:val="000000"/>
          <w:sz w:val="19"/>
          <w:szCs w:val="19"/>
          <w:lang w:eastAsia="pt-BR"/>
        </w:rPr>
        <w:t> deste artigo.         </w:t>
      </w:r>
      <w:hyperlink r:id="rId19" w:anchor="art2" w:history="1">
        <w:r w:rsidRPr="00EF631D">
          <w:rPr>
            <w:rFonts w:ascii="Book Antiqua" w:eastAsia="Times New Roman" w:hAnsi="Book Antiqua" w:cs="Arial"/>
            <w:color w:val="0000FF"/>
            <w:sz w:val="19"/>
            <w:szCs w:val="19"/>
            <w:u w:val="single"/>
            <w:lang w:eastAsia="pt-BR"/>
          </w:rPr>
          <w:t>(Redação dada pela Lei nº 10.754, de 31.10.2003)</w:t>
        </w:r>
      </w:hyperlink>
    </w:p>
    <w:p w14:paraId="3CE349DD" w14:textId="522DC0E1" w:rsidR="00D00454" w:rsidRPr="00D00454" w:rsidRDefault="00D00454" w:rsidP="008B2BBA">
      <w:pPr>
        <w:spacing w:before="100" w:beforeAutospacing="1" w:after="100" w:afterAutospacing="1" w:line="240" w:lineRule="auto"/>
        <w:ind w:firstLine="426"/>
        <w:jc w:val="both"/>
        <w:rPr>
          <w:rFonts w:ascii="Book Antiqua" w:hAnsi="Book Antiqua" w:cs="Arial"/>
          <w:color w:val="000000"/>
          <w:sz w:val="19"/>
          <w:szCs w:val="19"/>
          <w:shd w:val="clear" w:color="auto" w:fill="FFFFFF"/>
        </w:rPr>
      </w:pPr>
      <w:r w:rsidRPr="00D00454">
        <w:rPr>
          <w:rFonts w:ascii="Book Antiqua" w:hAnsi="Book Antiqua" w:cs="Arial"/>
          <w:color w:val="000000"/>
          <w:sz w:val="19"/>
          <w:szCs w:val="19"/>
          <w:shd w:val="clear" w:color="auto" w:fill="FFFFFF"/>
        </w:rPr>
        <w:t>§ 7º Na hipótese prevista no inciso IV do caput deste artigo, a aquisição com isenção somente se aplica a veículo novo cujo preço de venda ao consumidor, incluídos os tributos incidentes, não seja superior a R$ 200.000,00 (duzentos mil reais).       </w:t>
      </w:r>
      <w:hyperlink r:id="rId20" w:anchor="art3" w:history="1">
        <w:r w:rsidRPr="00D00454">
          <w:rPr>
            <w:rFonts w:ascii="Book Antiqua" w:hAnsi="Book Antiqua" w:cs="Arial"/>
            <w:color w:val="0000FF"/>
            <w:sz w:val="19"/>
            <w:szCs w:val="19"/>
            <w:u w:val="single"/>
            <w:shd w:val="clear" w:color="auto" w:fill="FFFFFF"/>
          </w:rPr>
          <w:t>(Redação dada pela Lei nº 14.287, de 2021)</w:t>
        </w:r>
      </w:hyperlink>
    </w:p>
    <w:p w14:paraId="6D347DF2" w14:textId="6BE5B6B6" w:rsidR="008B2BBA" w:rsidRPr="008B2BBA" w:rsidRDefault="008B2BBA" w:rsidP="008B2BBA">
      <w:pPr>
        <w:spacing w:before="225" w:after="225" w:line="240" w:lineRule="auto"/>
        <w:ind w:firstLine="570"/>
        <w:jc w:val="both"/>
        <w:rPr>
          <w:rFonts w:ascii="Book Antiqua" w:eastAsia="Times New Roman" w:hAnsi="Book Antiqua" w:cs="Times New Roman"/>
          <w:color w:val="000000"/>
          <w:sz w:val="19"/>
          <w:szCs w:val="19"/>
          <w:lang w:eastAsia="pt-BR"/>
        </w:rPr>
      </w:pPr>
      <w:r w:rsidRPr="008B2BBA">
        <w:rPr>
          <w:rFonts w:ascii="Book Antiqua" w:eastAsia="Times New Roman" w:hAnsi="Book Antiqua" w:cs="Arial"/>
          <w:color w:val="000000"/>
          <w:sz w:val="19"/>
          <w:szCs w:val="19"/>
          <w:lang w:eastAsia="pt-BR"/>
        </w:rPr>
        <w:t>Art. 2</w:t>
      </w:r>
      <w:r w:rsidRPr="008B2BBA">
        <w:rPr>
          <w:rFonts w:ascii="Book Antiqua" w:eastAsia="Times New Roman" w:hAnsi="Book Antiqua" w:cs="Arial"/>
          <w:color w:val="000000"/>
          <w:sz w:val="19"/>
          <w:szCs w:val="19"/>
          <w:u w:val="single"/>
          <w:vertAlign w:val="superscript"/>
          <w:lang w:eastAsia="pt-BR"/>
        </w:rPr>
        <w:t>o</w:t>
      </w:r>
      <w:r w:rsidRPr="008B2BBA">
        <w:rPr>
          <w:rFonts w:ascii="Book Antiqua" w:eastAsia="Times New Roman" w:hAnsi="Book Antiqua" w:cs="Arial"/>
          <w:color w:val="000000"/>
          <w:sz w:val="19"/>
          <w:szCs w:val="19"/>
          <w:lang w:eastAsia="pt-BR"/>
        </w:rPr>
        <w:t> A isenção do Imposto sobre Produtos Industrializados - IPI de que trata o art. 1</w:t>
      </w:r>
      <w:r w:rsidRPr="008B2BBA">
        <w:rPr>
          <w:rFonts w:ascii="Book Antiqua" w:eastAsia="Times New Roman" w:hAnsi="Book Antiqua" w:cs="Arial"/>
          <w:color w:val="000000"/>
          <w:sz w:val="19"/>
          <w:szCs w:val="19"/>
          <w:u w:val="single"/>
          <w:vertAlign w:val="superscript"/>
          <w:lang w:eastAsia="pt-BR"/>
        </w:rPr>
        <w:t>o</w:t>
      </w:r>
      <w:r w:rsidRPr="008B2BBA">
        <w:rPr>
          <w:rFonts w:ascii="Book Antiqua" w:eastAsia="Times New Roman" w:hAnsi="Book Antiqua" w:cs="Arial"/>
          <w:color w:val="000000"/>
          <w:sz w:val="19"/>
          <w:szCs w:val="19"/>
          <w:lang w:eastAsia="pt-BR"/>
        </w:rPr>
        <w:t> desta Lei somente poderá ser utilizada uma vez, salvo se o veículo tiver sido adquirido há mais de 2 (dois) anos.</w:t>
      </w:r>
      <w:r w:rsidR="00D00454">
        <w:rPr>
          <w:rFonts w:ascii="Book Antiqua" w:eastAsia="Times New Roman" w:hAnsi="Book Antiqua" w:cs="Arial"/>
          <w:color w:val="000000"/>
          <w:sz w:val="19"/>
          <w:szCs w:val="19"/>
          <w:lang w:eastAsia="pt-BR"/>
        </w:rPr>
        <w:t xml:space="preserve"> </w:t>
      </w:r>
      <w:hyperlink r:id="rId21" w:anchor="art69p" w:history="1">
        <w:r w:rsidRPr="008B2BBA">
          <w:rPr>
            <w:rFonts w:ascii="Book Antiqua" w:eastAsia="Times New Roman" w:hAnsi="Book Antiqua" w:cs="Arial"/>
            <w:color w:val="0000FF"/>
            <w:sz w:val="19"/>
            <w:szCs w:val="19"/>
            <w:u w:val="single"/>
            <w:lang w:eastAsia="pt-BR"/>
          </w:rPr>
          <w:t>(Redação dada pela Lei nº 11.196, de 2005)</w:t>
        </w:r>
      </w:hyperlink>
    </w:p>
    <w:p w14:paraId="11D099A3" w14:textId="77777777" w:rsidR="008B2BBA" w:rsidRPr="008B2BBA" w:rsidRDefault="008B2BBA" w:rsidP="008B2BBA">
      <w:pPr>
        <w:spacing w:before="225" w:after="225" w:line="240" w:lineRule="auto"/>
        <w:ind w:firstLine="570"/>
        <w:jc w:val="both"/>
        <w:rPr>
          <w:rFonts w:ascii="Book Antiqua" w:eastAsia="Times New Roman" w:hAnsi="Book Antiqua" w:cs="Times New Roman"/>
          <w:color w:val="000000"/>
          <w:sz w:val="19"/>
          <w:szCs w:val="19"/>
          <w:lang w:eastAsia="pt-BR"/>
        </w:rPr>
      </w:pPr>
      <w:r w:rsidRPr="008B2BBA">
        <w:rPr>
          <w:rFonts w:ascii="Book Antiqua" w:eastAsia="Times New Roman" w:hAnsi="Book Antiqua" w:cs="Arial"/>
          <w:color w:val="000000"/>
          <w:sz w:val="19"/>
          <w:szCs w:val="19"/>
          <w:lang w:eastAsia="pt-BR"/>
        </w:rPr>
        <w:t>Parágrafo único. Na hipótese prevista no inciso IV do </w:t>
      </w:r>
      <w:r w:rsidRPr="008B2BBA">
        <w:rPr>
          <w:rFonts w:ascii="Book Antiqua" w:eastAsia="Times New Roman" w:hAnsi="Book Antiqua" w:cs="Arial"/>
          <w:b/>
          <w:bCs/>
          <w:color w:val="000000"/>
          <w:sz w:val="19"/>
          <w:szCs w:val="19"/>
          <w:lang w:eastAsia="pt-BR"/>
        </w:rPr>
        <w:t>caput</w:t>
      </w:r>
      <w:r w:rsidRPr="008B2BBA">
        <w:rPr>
          <w:rFonts w:ascii="Book Antiqua" w:eastAsia="Times New Roman" w:hAnsi="Book Antiqua" w:cs="Arial"/>
          <w:color w:val="000000"/>
          <w:sz w:val="19"/>
          <w:szCs w:val="19"/>
          <w:lang w:eastAsia="pt-BR"/>
        </w:rPr>
        <w:t> do art. 1º desta Lei, o prazo de que trata o </w:t>
      </w:r>
      <w:r w:rsidRPr="008B2BBA">
        <w:rPr>
          <w:rFonts w:ascii="Book Antiqua" w:eastAsia="Times New Roman" w:hAnsi="Book Antiqua" w:cs="Arial"/>
          <w:b/>
          <w:bCs/>
          <w:color w:val="000000"/>
          <w:sz w:val="19"/>
          <w:szCs w:val="19"/>
          <w:lang w:eastAsia="pt-BR"/>
        </w:rPr>
        <w:t>caput</w:t>
      </w:r>
      <w:r w:rsidRPr="008B2BBA">
        <w:rPr>
          <w:rFonts w:ascii="Book Antiqua" w:eastAsia="Times New Roman" w:hAnsi="Book Antiqua" w:cs="Arial"/>
          <w:color w:val="000000"/>
          <w:sz w:val="19"/>
          <w:szCs w:val="19"/>
          <w:lang w:eastAsia="pt-BR"/>
        </w:rPr>
        <w:t> deste artigo fica ampliado para 3 (três) anos.   </w:t>
      </w:r>
      <w:hyperlink r:id="rId22" w:anchor="art2" w:history="1">
        <w:r w:rsidRPr="008B2BBA">
          <w:rPr>
            <w:rFonts w:ascii="Book Antiqua" w:eastAsia="Times New Roman" w:hAnsi="Book Antiqua" w:cs="Arial"/>
            <w:color w:val="0000FF"/>
            <w:sz w:val="19"/>
            <w:szCs w:val="19"/>
            <w:u w:val="single"/>
            <w:lang w:eastAsia="pt-BR"/>
          </w:rPr>
          <w:t>(Redação dada pela Lei nº 14.183, de 2021)</w:t>
        </w:r>
      </w:hyperlink>
    </w:p>
    <w:p w14:paraId="0AA2CB46" w14:textId="77777777" w:rsidR="008B2BBA" w:rsidRPr="008B2BBA" w:rsidRDefault="008B2BBA" w:rsidP="008B2BBA">
      <w:pPr>
        <w:spacing w:before="225" w:after="225" w:line="240" w:lineRule="auto"/>
        <w:ind w:firstLine="570"/>
        <w:jc w:val="both"/>
        <w:rPr>
          <w:rFonts w:ascii="Book Antiqua" w:eastAsia="Times New Roman" w:hAnsi="Book Antiqua" w:cs="Times New Roman"/>
          <w:color w:val="000000"/>
          <w:sz w:val="19"/>
          <w:szCs w:val="19"/>
          <w:lang w:eastAsia="pt-BR"/>
        </w:rPr>
      </w:pPr>
      <w:r w:rsidRPr="008B2BBA">
        <w:rPr>
          <w:rFonts w:ascii="Book Antiqua" w:eastAsia="Times New Roman" w:hAnsi="Book Antiqua" w:cs="Arial"/>
          <w:color w:val="000000"/>
          <w:sz w:val="19"/>
          <w:szCs w:val="19"/>
          <w:lang w:eastAsia="pt-BR"/>
        </w:rPr>
        <w:t>Art. 3º A isenção será reconhecida pela Secretaria Especial da Receita Federal do Brasil, mediante prévia verificação de que o adquirente preenche os requisitos previstos nesta Lei.    </w:t>
      </w:r>
      <w:hyperlink r:id="rId23" w:anchor="art2" w:history="1">
        <w:r w:rsidRPr="008B2BBA">
          <w:rPr>
            <w:rFonts w:ascii="Book Antiqua" w:eastAsia="Times New Roman" w:hAnsi="Book Antiqua" w:cs="Arial"/>
            <w:color w:val="0000FF"/>
            <w:sz w:val="19"/>
            <w:szCs w:val="19"/>
            <w:u w:val="single"/>
            <w:lang w:eastAsia="pt-BR"/>
          </w:rPr>
          <w:t>(Redação dada pela Lei nº 14.183, de 2021)</w:t>
        </w:r>
      </w:hyperlink>
    </w:p>
    <w:p w14:paraId="0D35C0F9" w14:textId="77777777"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t>        Art. 4</w:t>
      </w:r>
      <w:r w:rsidRPr="00EF631D">
        <w:rPr>
          <w:rFonts w:ascii="Book Antiqua" w:eastAsia="Times New Roman" w:hAnsi="Book Antiqua" w:cs="Arial"/>
          <w:color w:val="000000"/>
          <w:sz w:val="19"/>
          <w:szCs w:val="19"/>
          <w:u w:val="single"/>
          <w:vertAlign w:val="superscript"/>
          <w:lang w:eastAsia="pt-BR"/>
        </w:rPr>
        <w:t>o</w:t>
      </w:r>
      <w:r w:rsidRPr="00EF631D">
        <w:rPr>
          <w:rFonts w:ascii="Book Antiqua" w:eastAsia="Times New Roman" w:hAnsi="Book Antiqua" w:cs="Arial"/>
          <w:color w:val="000000"/>
          <w:sz w:val="19"/>
          <w:szCs w:val="19"/>
          <w:lang w:eastAsia="pt-BR"/>
        </w:rPr>
        <w:t>  Fica assegurada a manutenção do crédito do Imposto sobre Produtos Industrializados - IPI relativo: </w:t>
      </w:r>
      <w:hyperlink r:id="rId24" w:anchor="art1" w:history="1">
        <w:r w:rsidRPr="00EF631D">
          <w:rPr>
            <w:rFonts w:ascii="Book Antiqua" w:eastAsia="Times New Roman" w:hAnsi="Book Antiqua" w:cs="Arial"/>
            <w:color w:val="0000FF"/>
            <w:sz w:val="19"/>
            <w:szCs w:val="19"/>
            <w:u w:val="single"/>
            <w:lang w:eastAsia="pt-BR"/>
          </w:rPr>
          <w:t>(Redação dada pela Lei nº 12.113, de 2009).</w:t>
        </w:r>
      </w:hyperlink>
    </w:p>
    <w:p w14:paraId="6238D504" w14:textId="77777777" w:rsidR="00EF631D" w:rsidRPr="00EF631D" w:rsidRDefault="00EF631D" w:rsidP="00EF631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EF631D">
        <w:rPr>
          <w:rFonts w:ascii="Book Antiqua" w:eastAsia="Times New Roman" w:hAnsi="Book Antiqua" w:cs="Arial"/>
          <w:color w:val="000000"/>
          <w:sz w:val="19"/>
          <w:szCs w:val="19"/>
          <w:lang w:eastAsia="pt-BR"/>
        </w:rPr>
        <w:t>        I - às matérias-primas, aos produtos intermediários e ao material de embalagem efetivamente utilizados na industrialização dos produtos referidos nesta Lei; e        </w:t>
      </w:r>
      <w:hyperlink r:id="rId25" w:anchor="art1" w:history="1">
        <w:r w:rsidRPr="00EF631D">
          <w:rPr>
            <w:rFonts w:ascii="Book Antiqua" w:eastAsia="Times New Roman" w:hAnsi="Book Antiqua" w:cs="Arial"/>
            <w:color w:val="0000FF"/>
            <w:sz w:val="19"/>
            <w:szCs w:val="19"/>
            <w:u w:val="single"/>
            <w:lang w:eastAsia="pt-BR"/>
          </w:rPr>
          <w:t>(Incluído pela Lei nº 12.113, de 2009).</w:t>
        </w:r>
      </w:hyperlink>
    </w:p>
    <w:p w14:paraId="3950DC03" w14:textId="77777777"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t>        II - ao imposto pago no desembaraço aduaneiro referente a automóvel de passageiros originário e procedente de países integrantes do Mercado Comum do Sul - MERCOSUL, saído do estabelecimento importador de pessoa jurídica fabricante de automóveis da posição 87.03 da Tabela de Incidência do Imposto sobre Produtos Industrializados - TIPI com a isenção de que trata o art. 1</w:t>
      </w:r>
      <w:r w:rsidRPr="00EF631D">
        <w:rPr>
          <w:rFonts w:ascii="Book Antiqua" w:eastAsia="Times New Roman" w:hAnsi="Book Antiqua" w:cs="Arial"/>
          <w:color w:val="000000"/>
          <w:sz w:val="19"/>
          <w:szCs w:val="19"/>
          <w:u w:val="single"/>
          <w:vertAlign w:val="superscript"/>
          <w:lang w:eastAsia="pt-BR"/>
        </w:rPr>
        <w:t>o</w:t>
      </w:r>
      <w:r w:rsidRPr="00EF631D">
        <w:rPr>
          <w:rFonts w:ascii="Book Antiqua" w:eastAsia="Times New Roman" w:hAnsi="Book Antiqua" w:cs="Arial"/>
          <w:color w:val="000000"/>
          <w:sz w:val="19"/>
          <w:szCs w:val="19"/>
          <w:lang w:eastAsia="pt-BR"/>
        </w:rPr>
        <w:t>.        </w:t>
      </w:r>
      <w:hyperlink r:id="rId26" w:anchor="art1" w:history="1">
        <w:r w:rsidRPr="00EF631D">
          <w:rPr>
            <w:rFonts w:ascii="Book Antiqua" w:eastAsia="Times New Roman" w:hAnsi="Book Antiqua" w:cs="Arial"/>
            <w:color w:val="0000FF"/>
            <w:sz w:val="19"/>
            <w:szCs w:val="19"/>
            <w:u w:val="single"/>
            <w:lang w:eastAsia="pt-BR"/>
          </w:rPr>
          <w:t>(Incluído pela Lei nº 12.113, de 2009).</w:t>
        </w:r>
      </w:hyperlink>
    </w:p>
    <w:p w14:paraId="6E152598" w14:textId="0525A67B" w:rsidR="00EF631D" w:rsidRDefault="00EF631D" w:rsidP="00EF631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EF631D">
        <w:rPr>
          <w:rFonts w:ascii="Book Antiqua" w:eastAsia="Times New Roman" w:hAnsi="Book Antiqua" w:cs="Arial"/>
          <w:color w:val="000000"/>
          <w:sz w:val="19"/>
          <w:szCs w:val="19"/>
          <w:lang w:eastAsia="pt-BR"/>
        </w:rPr>
        <w:t>        Art. 5º O imposto incidirá normalmente sobre quaisquer acessórios opcionais que não sejam equipamentos originais do veículo adquirido.</w:t>
      </w:r>
    </w:p>
    <w:p w14:paraId="10708298" w14:textId="18DE0A3E" w:rsidR="00D00454" w:rsidRPr="00D00454" w:rsidRDefault="00D00454" w:rsidP="00D00454">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D00454">
        <w:rPr>
          <w:rFonts w:ascii="Book Antiqua" w:hAnsi="Book Antiqua" w:cs="Arial"/>
          <w:color w:val="000000"/>
          <w:sz w:val="19"/>
          <w:szCs w:val="19"/>
          <w:shd w:val="clear" w:color="auto" w:fill="FFFFFF"/>
        </w:rPr>
        <w:t>Parágrafo único. (VETADO).    </w:t>
      </w:r>
      <w:hyperlink r:id="rId27" w:anchor="art3" w:history="1">
        <w:r w:rsidRPr="00D00454">
          <w:rPr>
            <w:rFonts w:ascii="Book Antiqua" w:hAnsi="Book Antiqua" w:cs="Arial"/>
            <w:color w:val="0000FF"/>
            <w:sz w:val="19"/>
            <w:szCs w:val="19"/>
            <w:u w:val="single"/>
            <w:shd w:val="clear" w:color="auto" w:fill="FFFFFF"/>
          </w:rPr>
          <w:t>(Incluído pela Lei nº 14.287, de 2021)</w:t>
        </w:r>
      </w:hyperlink>
    </w:p>
    <w:p w14:paraId="51A6A2E2" w14:textId="1096B7FB" w:rsidR="008B2BBA" w:rsidRPr="008B2BBA" w:rsidRDefault="008B2BBA" w:rsidP="008B2BBA">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8B2BBA">
        <w:rPr>
          <w:rFonts w:ascii="Book Antiqua" w:hAnsi="Book Antiqua" w:cs="Arial"/>
          <w:color w:val="000000"/>
          <w:sz w:val="19"/>
          <w:szCs w:val="19"/>
          <w:shd w:val="clear" w:color="auto" w:fill="FFFFFF"/>
        </w:rPr>
        <w:t>Art. 6º A alienação do veículo adquirido nos termos desta Lei que ocorrer no período de 2 (dois) anos, contado da data de sua aquisição, a pessoas que não satisfaçam as condições e os requisitos estabelecidos para a fruição da isenção acarretará o pagamento pelo alienante do tributo dispensado, atualizado na forma prevista na legislação tributária.     </w:t>
      </w:r>
      <w:hyperlink r:id="rId28" w:anchor="art2" w:history="1">
        <w:r w:rsidRPr="008B2BBA">
          <w:rPr>
            <w:rFonts w:ascii="Book Antiqua" w:hAnsi="Book Antiqua" w:cs="Arial"/>
            <w:color w:val="0000FF"/>
            <w:sz w:val="19"/>
            <w:szCs w:val="19"/>
            <w:u w:val="single"/>
            <w:shd w:val="clear" w:color="auto" w:fill="FFFFFF"/>
          </w:rPr>
          <w:t>(Redação dada pela Lei nº 14.183, de 2021)</w:t>
        </w:r>
      </w:hyperlink>
    </w:p>
    <w:p w14:paraId="6C213DF3" w14:textId="77777777"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t>        Parágrafo único. A inobservância do disposto neste artigo sujeita ainda o alienante ao pagamento de multa e juros moratórios previstos na legislação em vigor para a hipótese de fraude ou falta de pagamento do imposto devido.</w:t>
      </w:r>
    </w:p>
    <w:p w14:paraId="525273EF" w14:textId="77777777"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t>        Art. 7º No caso de falecimento ou incapacitação do motorista profissional alcançado pelos incisos I e II do art. 1º desta lei, sem que tenha efetivamente adquirido veículo profissional, o direito será transferido ao cônjuge, ou ao herdeiro designado por esse ou pelo juízo, desde que seja motorista profissional habilitado e destine o veículo ao serviço de táxi.</w:t>
      </w:r>
    </w:p>
    <w:p w14:paraId="40367DF4" w14:textId="77777777"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t>        Art. 8º Ficam convalidados os atos praticados com base na </w:t>
      </w:r>
      <w:hyperlink r:id="rId29" w:history="1">
        <w:r w:rsidRPr="00EF631D">
          <w:rPr>
            <w:rFonts w:ascii="Book Antiqua" w:eastAsia="Times New Roman" w:hAnsi="Book Antiqua" w:cs="Arial"/>
            <w:color w:val="0000FF"/>
            <w:sz w:val="19"/>
            <w:szCs w:val="19"/>
            <w:u w:val="single"/>
            <w:lang w:eastAsia="pt-BR"/>
          </w:rPr>
          <w:t>Medida Provisória nº 790, de 29 de dezembro de 1994</w:t>
        </w:r>
      </w:hyperlink>
      <w:r w:rsidRPr="00EF631D">
        <w:rPr>
          <w:rFonts w:ascii="Book Antiqua" w:eastAsia="Times New Roman" w:hAnsi="Book Antiqua" w:cs="Arial"/>
          <w:color w:val="000000"/>
          <w:sz w:val="19"/>
          <w:szCs w:val="19"/>
          <w:lang w:eastAsia="pt-BR"/>
        </w:rPr>
        <w:t>.</w:t>
      </w:r>
    </w:p>
    <w:p w14:paraId="058AC339" w14:textId="77777777"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Times New Roman"/>
          <w:color w:val="000000"/>
          <w:sz w:val="19"/>
          <w:szCs w:val="19"/>
          <w:lang w:eastAsia="pt-BR"/>
        </w:rPr>
        <w:t>        </w:t>
      </w:r>
      <w:bookmarkStart w:id="0" w:name="art9"/>
      <w:bookmarkEnd w:id="0"/>
      <w:r w:rsidRPr="00EF631D">
        <w:rPr>
          <w:rFonts w:ascii="Book Antiqua" w:eastAsia="Times New Roman" w:hAnsi="Book Antiqua" w:cs="Arial"/>
          <w:color w:val="000000"/>
          <w:sz w:val="19"/>
          <w:szCs w:val="19"/>
          <w:lang w:eastAsia="pt-BR"/>
        </w:rPr>
        <w:t>Art. 9º Esta Lei entra em vigor na data de sua publicação, vigorando até 31 de dezembro de 1995.  </w:t>
      </w:r>
      <w:hyperlink r:id="rId30" w:anchor="art126" w:history="1">
        <w:r w:rsidRPr="00EF631D">
          <w:rPr>
            <w:rFonts w:ascii="Book Antiqua" w:eastAsia="Times New Roman" w:hAnsi="Book Antiqua" w:cs="Arial"/>
            <w:color w:val="0000FF"/>
            <w:sz w:val="19"/>
            <w:szCs w:val="19"/>
            <w:u w:val="single"/>
            <w:lang w:eastAsia="pt-BR"/>
          </w:rPr>
          <w:t>(Prorrogação de vigência Lei nº 13.146, de 2015)</w:t>
        </w:r>
      </w:hyperlink>
    </w:p>
    <w:p w14:paraId="3770236C" w14:textId="77777777" w:rsidR="00EF631D" w:rsidRPr="00EF631D" w:rsidRDefault="00EF631D" w:rsidP="00EF631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lastRenderedPageBreak/>
        <w:t>        </w:t>
      </w:r>
      <w:bookmarkStart w:id="1" w:name="art10"/>
      <w:bookmarkEnd w:id="1"/>
      <w:r w:rsidRPr="00EF631D">
        <w:rPr>
          <w:rFonts w:ascii="Book Antiqua" w:eastAsia="Times New Roman" w:hAnsi="Book Antiqua" w:cs="Arial"/>
          <w:color w:val="000000"/>
          <w:sz w:val="19"/>
          <w:szCs w:val="19"/>
          <w:lang w:eastAsia="pt-BR"/>
        </w:rPr>
        <w:t>Art. 10. Revogam-se as </w:t>
      </w:r>
      <w:hyperlink r:id="rId31" w:history="1">
        <w:r w:rsidRPr="00EF631D">
          <w:rPr>
            <w:rFonts w:ascii="Book Antiqua" w:eastAsia="Times New Roman" w:hAnsi="Book Antiqua" w:cs="Arial"/>
            <w:color w:val="0000FF"/>
            <w:sz w:val="19"/>
            <w:szCs w:val="19"/>
            <w:u w:val="single"/>
            <w:lang w:eastAsia="pt-BR"/>
          </w:rPr>
          <w:t xml:space="preserve">Leis </w:t>
        </w:r>
        <w:proofErr w:type="spellStart"/>
        <w:r w:rsidRPr="00EF631D">
          <w:rPr>
            <w:rFonts w:ascii="Book Antiqua" w:eastAsia="Times New Roman" w:hAnsi="Book Antiqua" w:cs="Arial"/>
            <w:color w:val="0000FF"/>
            <w:sz w:val="19"/>
            <w:szCs w:val="19"/>
            <w:u w:val="single"/>
            <w:lang w:eastAsia="pt-BR"/>
          </w:rPr>
          <w:t>nºs</w:t>
        </w:r>
        <w:proofErr w:type="spellEnd"/>
        <w:r w:rsidRPr="00EF631D">
          <w:rPr>
            <w:rFonts w:ascii="Book Antiqua" w:eastAsia="Times New Roman" w:hAnsi="Book Antiqua" w:cs="Arial"/>
            <w:color w:val="0000FF"/>
            <w:sz w:val="19"/>
            <w:szCs w:val="19"/>
            <w:u w:val="single"/>
            <w:lang w:eastAsia="pt-BR"/>
          </w:rPr>
          <w:t xml:space="preserve"> 8.199, de 1991</w:t>
        </w:r>
      </w:hyperlink>
      <w:r w:rsidRPr="00EF631D">
        <w:rPr>
          <w:rFonts w:ascii="Book Antiqua" w:eastAsia="Times New Roman" w:hAnsi="Book Antiqua" w:cs="Arial"/>
          <w:color w:val="000000"/>
          <w:sz w:val="19"/>
          <w:szCs w:val="19"/>
          <w:lang w:eastAsia="pt-BR"/>
        </w:rPr>
        <w:t>, e </w:t>
      </w:r>
      <w:hyperlink r:id="rId32" w:history="1">
        <w:r w:rsidRPr="00EF631D">
          <w:rPr>
            <w:rFonts w:ascii="Book Antiqua" w:eastAsia="Times New Roman" w:hAnsi="Book Antiqua" w:cs="Arial"/>
            <w:color w:val="0000FF"/>
            <w:sz w:val="19"/>
            <w:szCs w:val="19"/>
            <w:u w:val="single"/>
            <w:lang w:eastAsia="pt-BR"/>
          </w:rPr>
          <w:t>8.843, de 1994.</w:t>
        </w:r>
      </w:hyperlink>
    </w:p>
    <w:p w14:paraId="640BA52C" w14:textId="77777777" w:rsidR="00EF631D" w:rsidRPr="00EF631D" w:rsidRDefault="00EF631D" w:rsidP="00EF6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t>Senado Federal, 24 de fevereiro de 1995; 174º da Independência e 107º da República.</w:t>
      </w:r>
    </w:p>
    <w:p w14:paraId="2DCC7901" w14:textId="77777777" w:rsidR="00EF631D" w:rsidRPr="00EF631D" w:rsidRDefault="00EF631D" w:rsidP="00EF631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000000"/>
          <w:sz w:val="19"/>
          <w:szCs w:val="19"/>
          <w:lang w:eastAsia="pt-BR"/>
        </w:rPr>
        <w:t>SENADOR JOSÉ SARNEY</w:t>
      </w:r>
      <w:r w:rsidRPr="00EF631D">
        <w:rPr>
          <w:rFonts w:ascii="Book Antiqua" w:eastAsia="Times New Roman" w:hAnsi="Book Antiqua" w:cs="Arial"/>
          <w:color w:val="000000"/>
          <w:sz w:val="19"/>
          <w:szCs w:val="19"/>
          <w:lang w:eastAsia="pt-BR"/>
        </w:rPr>
        <w:br/>
        <w:t>Presidente</w:t>
      </w:r>
    </w:p>
    <w:p w14:paraId="184AE40C" w14:textId="77777777" w:rsidR="00EF631D" w:rsidRPr="00EF631D" w:rsidRDefault="00EF631D" w:rsidP="00EF631D">
      <w:pPr>
        <w:spacing w:before="100" w:beforeAutospacing="1" w:after="100" w:afterAutospacing="1" w:line="240" w:lineRule="auto"/>
        <w:rPr>
          <w:rFonts w:ascii="Book Antiqua" w:eastAsia="Times New Roman" w:hAnsi="Book Antiqua" w:cs="Times New Roman"/>
          <w:color w:val="000000"/>
          <w:sz w:val="19"/>
          <w:szCs w:val="19"/>
          <w:lang w:eastAsia="pt-BR"/>
        </w:rPr>
      </w:pPr>
      <w:r w:rsidRPr="00EF631D">
        <w:rPr>
          <w:rFonts w:ascii="Book Antiqua" w:eastAsia="Times New Roman" w:hAnsi="Book Antiqua" w:cs="Arial"/>
          <w:color w:val="FF0000"/>
          <w:sz w:val="19"/>
          <w:szCs w:val="19"/>
          <w:lang w:eastAsia="pt-BR"/>
        </w:rPr>
        <w:t>Este texto não substitui o publicado no DOU de 25.2.1995 - edição extra</w:t>
      </w:r>
    </w:p>
    <w:p w14:paraId="184DE80B" w14:textId="77777777" w:rsidR="00CA420F" w:rsidRPr="00EF631D" w:rsidRDefault="00CA420F" w:rsidP="00EF631D">
      <w:pPr>
        <w:spacing w:before="100" w:beforeAutospacing="1" w:after="100" w:afterAutospacing="1" w:line="240" w:lineRule="auto"/>
        <w:rPr>
          <w:rFonts w:ascii="Book Antiqua" w:hAnsi="Book Antiqua"/>
          <w:sz w:val="19"/>
          <w:szCs w:val="19"/>
        </w:rPr>
      </w:pPr>
    </w:p>
    <w:sectPr w:rsidR="00CA420F" w:rsidRPr="00EF631D" w:rsidSect="009A2F11">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0F"/>
    <w:rsid w:val="002A64CD"/>
    <w:rsid w:val="004831C2"/>
    <w:rsid w:val="008B2BBA"/>
    <w:rsid w:val="009A2F11"/>
    <w:rsid w:val="00CA420F"/>
    <w:rsid w:val="00D00454"/>
    <w:rsid w:val="00D80A9B"/>
    <w:rsid w:val="00EF63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0DE64"/>
  <w15:chartTrackingRefBased/>
  <w15:docId w15:val="{452889A9-3D7C-4F00-97F4-657339998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B2BBA"/>
    <w:rPr>
      <w:color w:val="0563C1" w:themeColor="hyperlink"/>
      <w:u w:val="single"/>
    </w:rPr>
  </w:style>
  <w:style w:type="character" w:styleId="MenoPendente">
    <w:name w:val="Unresolved Mention"/>
    <w:basedOn w:val="Fontepargpadro"/>
    <w:uiPriority w:val="99"/>
    <w:semiHidden/>
    <w:unhideWhenUsed/>
    <w:rsid w:val="008B2B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26486">
      <w:bodyDiv w:val="1"/>
      <w:marLeft w:val="0"/>
      <w:marRight w:val="0"/>
      <w:marTop w:val="0"/>
      <w:marBottom w:val="0"/>
      <w:divBdr>
        <w:top w:val="none" w:sz="0" w:space="0" w:color="auto"/>
        <w:left w:val="none" w:sz="0" w:space="0" w:color="auto"/>
        <w:bottom w:val="none" w:sz="0" w:space="0" w:color="auto"/>
        <w:right w:val="none" w:sz="0" w:space="0" w:color="auto"/>
      </w:divBdr>
    </w:div>
    <w:div w:id="503130614">
      <w:bodyDiv w:val="1"/>
      <w:marLeft w:val="0"/>
      <w:marRight w:val="0"/>
      <w:marTop w:val="0"/>
      <w:marBottom w:val="0"/>
      <w:divBdr>
        <w:top w:val="none" w:sz="0" w:space="0" w:color="auto"/>
        <w:left w:val="none" w:sz="0" w:space="0" w:color="auto"/>
        <w:bottom w:val="none" w:sz="0" w:space="0" w:color="auto"/>
        <w:right w:val="none" w:sz="0" w:space="0" w:color="auto"/>
      </w:divBdr>
    </w:div>
    <w:div w:id="1356467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2003/L10.690.htm" TargetMode="External"/><Relationship Id="rId13" Type="http://schemas.openxmlformats.org/officeDocument/2006/relationships/hyperlink" Target="http://www.planalto.gov.br/ccivil_03/_Ato2019-2022/2021/Lei/L14287.htm" TargetMode="External"/><Relationship Id="rId18" Type="http://schemas.openxmlformats.org/officeDocument/2006/relationships/hyperlink" Target="http://www.planalto.gov.br/ccivil_03/leis/2003/L10.690.htm" TargetMode="External"/><Relationship Id="rId26" Type="http://schemas.openxmlformats.org/officeDocument/2006/relationships/hyperlink" Target="http://www.planalto.gov.br/ccivil_03/_Ato2007-2010/2009/Lei/L12113.htm" TargetMode="External"/><Relationship Id="rId3" Type="http://schemas.openxmlformats.org/officeDocument/2006/relationships/webSettings" Target="webSettings.xml"/><Relationship Id="rId21" Type="http://schemas.openxmlformats.org/officeDocument/2006/relationships/hyperlink" Target="http://www.planalto.gov.br/ccivil_03/_Ato2004-2006/2005/Lei/L11196.htm" TargetMode="External"/><Relationship Id="rId34" Type="http://schemas.openxmlformats.org/officeDocument/2006/relationships/theme" Target="theme/theme1.xml"/><Relationship Id="rId7" Type="http://schemas.openxmlformats.org/officeDocument/2006/relationships/hyperlink" Target="http://www.planalto.gov.br/ccivil_03/_Ato2019-2022/2021/Lei/L14287.htm" TargetMode="External"/><Relationship Id="rId12" Type="http://schemas.openxmlformats.org/officeDocument/2006/relationships/hyperlink" Target="http://www.planalto.gov.br/ccivil_03/_Ato2019-2022/2021/Lei/L14287.htm" TargetMode="External"/><Relationship Id="rId17" Type="http://schemas.openxmlformats.org/officeDocument/2006/relationships/hyperlink" Target="http://www.planalto.gov.br/ccivil_03/_Ato2019-2022/2021/Lei/L14287.htm" TargetMode="External"/><Relationship Id="rId25" Type="http://schemas.openxmlformats.org/officeDocument/2006/relationships/hyperlink" Target="http://www.planalto.gov.br/ccivil_03/_Ato2007-2010/2009/Lei/L12113.htm"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planalto.gov.br/ccivil_03/_Ato2019-2022/2021/Lei/L14287.htm" TargetMode="External"/><Relationship Id="rId20" Type="http://schemas.openxmlformats.org/officeDocument/2006/relationships/hyperlink" Target="http://www.planalto.gov.br/ccivil_03/_Ato2019-2022/2021/Lei/L14287.htm" TargetMode="External"/><Relationship Id="rId29" Type="http://schemas.openxmlformats.org/officeDocument/2006/relationships/hyperlink" Target="http://www.planalto.gov.br/ccivil_03/MPV/1990-1995/790.htm" TargetMode="External"/><Relationship Id="rId1" Type="http://schemas.openxmlformats.org/officeDocument/2006/relationships/styles" Target="styles.xml"/><Relationship Id="rId6" Type="http://schemas.openxmlformats.org/officeDocument/2006/relationships/hyperlink" Target="http://www.planalto.gov.br/ccivil_03/leis/L9317.htm" TargetMode="External"/><Relationship Id="rId11" Type="http://schemas.openxmlformats.org/officeDocument/2006/relationships/hyperlink" Target="http://www.planalto.gov.br/ccivil_03/_Ato2015-2018/2015/Lei/L13146.htm" TargetMode="External"/><Relationship Id="rId24" Type="http://schemas.openxmlformats.org/officeDocument/2006/relationships/hyperlink" Target="http://www.planalto.gov.br/ccivil_03/_Ato2007-2010/2009/Lei/L12113.htm" TargetMode="External"/><Relationship Id="rId32" Type="http://schemas.openxmlformats.org/officeDocument/2006/relationships/hyperlink" Target="http://www.planalto.gov.br/ccivil_03/leis/1989_1994/L8843.htm" TargetMode="External"/><Relationship Id="rId5" Type="http://schemas.openxmlformats.org/officeDocument/2006/relationships/hyperlink" Target="http://www.planalto.gov.br/ccivil_03/_Ato2015-2018/2018/Lei/L13755.htm" TargetMode="External"/><Relationship Id="rId15" Type="http://schemas.openxmlformats.org/officeDocument/2006/relationships/hyperlink" Target="http://www.planalto.gov.br/ccivil_03/leis/2003/L10.690.htm" TargetMode="External"/><Relationship Id="rId23" Type="http://schemas.openxmlformats.org/officeDocument/2006/relationships/hyperlink" Target="http://www.planalto.gov.br/ccivil_03/_Ato2019-2022/2021/Lei/L14183.htm" TargetMode="External"/><Relationship Id="rId28" Type="http://schemas.openxmlformats.org/officeDocument/2006/relationships/hyperlink" Target="http://www.planalto.gov.br/ccivil_03/_Ato2019-2022/2021/Lei/L14183.htm" TargetMode="External"/><Relationship Id="rId10" Type="http://schemas.openxmlformats.org/officeDocument/2006/relationships/hyperlink" Target="http://www.planalto.gov.br/ccivil_03/_Ato2019-2022/2021/Lei/L14287.htm" TargetMode="External"/><Relationship Id="rId19" Type="http://schemas.openxmlformats.org/officeDocument/2006/relationships/hyperlink" Target="http://www.planalto.gov.br/ccivil_03/leis/2003/L10.754.htm" TargetMode="External"/><Relationship Id="rId31" Type="http://schemas.openxmlformats.org/officeDocument/2006/relationships/hyperlink" Target="http://www.planalto.gov.br/ccivil_03/leis/1989_1994/L8199.htm" TargetMode="External"/><Relationship Id="rId4" Type="http://schemas.openxmlformats.org/officeDocument/2006/relationships/hyperlink" Target="http://www.planalto.gov.br/ccivil_03/_Ato2019-2022/2021/Lei/L14287.htm" TargetMode="External"/><Relationship Id="rId9" Type="http://schemas.openxmlformats.org/officeDocument/2006/relationships/hyperlink" Target="http://www.planalto.gov.br/ccivil_03/_Ato2015-2018/2015/Lei/L13146.htm" TargetMode="External"/><Relationship Id="rId14" Type="http://schemas.openxmlformats.org/officeDocument/2006/relationships/hyperlink" Target="http://www.planalto.gov.br/ccivil_03/_Ato2019-2022/2021/Lei/L14287.htm" TargetMode="External"/><Relationship Id="rId22" Type="http://schemas.openxmlformats.org/officeDocument/2006/relationships/hyperlink" Target="http://www.planalto.gov.br/ccivil_03/_Ato2019-2022/2021/Lei/L14183.htm" TargetMode="External"/><Relationship Id="rId27" Type="http://schemas.openxmlformats.org/officeDocument/2006/relationships/hyperlink" Target="http://www.planalto.gov.br/ccivil_03/_Ato2019-2022/2021/Lei/L14287.htm" TargetMode="External"/><Relationship Id="rId30" Type="http://schemas.openxmlformats.org/officeDocument/2006/relationships/hyperlink" Target="http://www.planalto.gov.br/ccivil_03/_Ato2015-2018/2015/Lei/L1314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1635</Words>
  <Characters>8835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9</cp:revision>
  <dcterms:created xsi:type="dcterms:W3CDTF">2021-01-28T16:35:00Z</dcterms:created>
  <dcterms:modified xsi:type="dcterms:W3CDTF">2022-01-01T20:28:00Z</dcterms:modified>
</cp:coreProperties>
</file>