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3663C" w14:textId="77777777" w:rsidR="00B552E5" w:rsidRPr="00146F8F" w:rsidRDefault="00B552E5" w:rsidP="00B552E5">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146F8F">
        <w:rPr>
          <w:rFonts w:ascii="Tahoma" w:eastAsia="Times New Roman" w:hAnsi="Tahoma" w:cs="Tahoma"/>
          <w:color w:val="333333"/>
          <w:sz w:val="19"/>
          <w:szCs w:val="19"/>
          <w:shd w:val="clear" w:color="auto" w:fill="FFFFFF"/>
          <w:lang w:eastAsia="pt-BR"/>
        </w:rPr>
        <w:t>﻿</w:t>
      </w:r>
      <w:r w:rsidRPr="00146F8F">
        <w:rPr>
          <w:rFonts w:ascii="Book Antiqua" w:eastAsia="Times New Roman" w:hAnsi="Book Antiqua" w:cs="Tahoma"/>
          <w:b/>
          <w:bCs/>
          <w:color w:val="FF0000"/>
          <w:sz w:val="19"/>
          <w:szCs w:val="19"/>
          <w:highlight w:val="yellow"/>
          <w:shd w:val="clear" w:color="auto" w:fill="FFFFFF"/>
          <w:lang w:eastAsia="pt-BR"/>
        </w:rPr>
        <w:t>(Atualização em 20/12/2022: questões de concurso)</w:t>
      </w:r>
    </w:p>
    <w:p w14:paraId="62A20B24" w14:textId="77777777" w:rsidR="00146F8F" w:rsidRPr="00146F8F" w:rsidRDefault="00146F8F" w:rsidP="00146F8F">
      <w:pPr>
        <w:shd w:val="clear" w:color="auto" w:fill="FFFFFF"/>
        <w:spacing w:before="100" w:beforeAutospacing="1" w:after="100" w:afterAutospacing="1" w:line="240" w:lineRule="auto"/>
        <w:jc w:val="center"/>
        <w:outlineLvl w:val="1"/>
        <w:rPr>
          <w:rFonts w:ascii="Book Antiqua" w:eastAsia="Times New Roman" w:hAnsi="Book Antiqua" w:cs="Lucida Sans Unicode"/>
          <w:b/>
          <w:bCs/>
          <w:color w:val="333333"/>
          <w:sz w:val="19"/>
          <w:szCs w:val="19"/>
          <w:lang w:eastAsia="pt-BR"/>
        </w:rPr>
      </w:pPr>
      <w:r w:rsidRPr="00146F8F">
        <w:rPr>
          <w:rFonts w:ascii="Book Antiqua" w:eastAsia="Times New Roman" w:hAnsi="Book Antiqua" w:cs="Lucida Sans Unicode"/>
          <w:b/>
          <w:bCs/>
          <w:color w:val="333333"/>
          <w:sz w:val="19"/>
          <w:szCs w:val="19"/>
          <w:lang w:eastAsia="pt-BR"/>
        </w:rPr>
        <w:t>Senado Federal</w:t>
      </w:r>
    </w:p>
    <w:p w14:paraId="7D924389" w14:textId="77777777" w:rsidR="00146F8F" w:rsidRPr="00146F8F" w:rsidRDefault="00146F8F" w:rsidP="00146F8F">
      <w:pPr>
        <w:shd w:val="clear" w:color="auto" w:fill="FFFFFF"/>
        <w:spacing w:before="100" w:beforeAutospacing="1" w:after="100" w:afterAutospacing="1" w:line="240" w:lineRule="auto"/>
        <w:jc w:val="center"/>
        <w:outlineLvl w:val="2"/>
        <w:rPr>
          <w:rFonts w:ascii="Book Antiqua" w:eastAsia="Times New Roman" w:hAnsi="Book Antiqua" w:cs="Lucida Sans Unicode"/>
          <w:color w:val="333333"/>
          <w:sz w:val="19"/>
          <w:szCs w:val="19"/>
          <w:lang w:eastAsia="pt-BR"/>
        </w:rPr>
      </w:pPr>
      <w:r w:rsidRPr="00146F8F">
        <w:rPr>
          <w:rFonts w:ascii="Book Antiqua" w:eastAsia="Times New Roman" w:hAnsi="Book Antiqua" w:cs="Lucida Sans Unicode"/>
          <w:color w:val="333333"/>
          <w:sz w:val="19"/>
          <w:szCs w:val="19"/>
          <w:lang w:eastAsia="pt-BR"/>
        </w:rPr>
        <w:t>Secretaria-Geral da Mesa</w:t>
      </w:r>
    </w:p>
    <w:p w14:paraId="6F35C857" w14:textId="77777777" w:rsidR="00146F8F" w:rsidRPr="00146F8F" w:rsidRDefault="00146F8F" w:rsidP="00146F8F">
      <w:pPr>
        <w:shd w:val="clear" w:color="auto" w:fill="FFFFFF"/>
        <w:spacing w:before="100" w:beforeAutospacing="1" w:after="100" w:afterAutospacing="1" w:line="240" w:lineRule="auto"/>
        <w:jc w:val="center"/>
        <w:outlineLvl w:val="3"/>
        <w:rPr>
          <w:rFonts w:ascii="Book Antiqua" w:eastAsia="Times New Roman" w:hAnsi="Book Antiqua" w:cs="Lucida Sans Unicode"/>
          <w:color w:val="333333"/>
          <w:sz w:val="19"/>
          <w:szCs w:val="19"/>
          <w:lang w:eastAsia="pt-BR"/>
        </w:rPr>
      </w:pPr>
      <w:r w:rsidRPr="00146F8F">
        <w:rPr>
          <w:rFonts w:ascii="Book Antiqua" w:eastAsia="Times New Roman" w:hAnsi="Book Antiqua" w:cs="Lucida Sans Unicode"/>
          <w:color w:val="333333"/>
          <w:sz w:val="19"/>
          <w:szCs w:val="19"/>
          <w:lang w:eastAsia="pt-BR"/>
        </w:rPr>
        <w:t>Secretaria de Informação Legislativa</w:t>
      </w:r>
    </w:p>
    <w:p w14:paraId="7D53AF42" w14:textId="77777777" w:rsidR="00146F8F" w:rsidRPr="00146F8F" w:rsidRDefault="00146F8F" w:rsidP="00146F8F">
      <w:pPr>
        <w:shd w:val="clear" w:color="auto" w:fill="FEE5E2"/>
        <w:spacing w:before="100" w:beforeAutospacing="1" w:after="100" w:afterAutospacing="1" w:line="240" w:lineRule="auto"/>
        <w:jc w:val="center"/>
        <w:rPr>
          <w:rFonts w:ascii="Book Antiqua" w:eastAsia="Times New Roman" w:hAnsi="Book Antiqua" w:cs="Lucida Sans Unicode"/>
          <w:color w:val="B50303"/>
          <w:sz w:val="19"/>
          <w:szCs w:val="19"/>
          <w:lang w:eastAsia="pt-BR"/>
        </w:rPr>
      </w:pPr>
      <w:r w:rsidRPr="00146F8F">
        <w:rPr>
          <w:rFonts w:ascii="Book Antiqua" w:eastAsia="Times New Roman" w:hAnsi="Book Antiqua" w:cs="Lucida Sans Unicode"/>
          <w:color w:val="B50303"/>
          <w:sz w:val="19"/>
          <w:szCs w:val="19"/>
          <w:lang w:eastAsia="pt-BR"/>
        </w:rPr>
        <w:t>Este texto não substitui o original publicado no Diário Oficial.</w:t>
      </w:r>
    </w:p>
    <w:p w14:paraId="15EACB11" w14:textId="77777777" w:rsidR="00146F8F" w:rsidRPr="00146F8F" w:rsidRDefault="00146F8F" w:rsidP="00146F8F">
      <w:pPr>
        <w:shd w:val="clear" w:color="auto" w:fill="FFFFFF"/>
        <w:spacing w:before="100" w:beforeAutospacing="1" w:after="100" w:afterAutospacing="1" w:line="240" w:lineRule="auto"/>
        <w:ind w:firstLine="567"/>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Faço saber que eu, Ramez Tebet, Presidente, nos termos do art. 3º da Resolução nº 3, de 2002, determino a republicação da Resolução nº 43, de 2001, com o seu texto consolidado.</w:t>
      </w:r>
    </w:p>
    <w:p w14:paraId="6B7D0F82"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RESOLUÇÃO Nº 43, DE 2001 (*) (**)</w:t>
      </w:r>
    </w:p>
    <w:p w14:paraId="37C8E13E" w14:textId="77777777" w:rsidR="00146F8F" w:rsidRPr="00146F8F" w:rsidRDefault="00146F8F" w:rsidP="00146F8F">
      <w:pPr>
        <w:shd w:val="clear" w:color="auto" w:fill="FFFFFF"/>
        <w:spacing w:before="100" w:beforeAutospacing="1" w:after="100" w:afterAutospacing="1" w:line="240" w:lineRule="auto"/>
        <w:ind w:left="3969"/>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i/>
          <w:iCs/>
          <w:color w:val="333333"/>
          <w:sz w:val="19"/>
          <w:szCs w:val="19"/>
          <w:lang w:eastAsia="pt-BR"/>
        </w:rPr>
        <w:t>Dispõe sobre as operações de crédito interno e externo dos Estados, do Distrito Federal e dos Municípios, inclusive concessão de garantias, seus limites e condições de autorização, e dá outras providências.</w:t>
      </w:r>
    </w:p>
    <w:p w14:paraId="3075DA78" w14:textId="77777777" w:rsidR="00146F8F" w:rsidRPr="00146F8F" w:rsidRDefault="00146F8F" w:rsidP="00146F8F">
      <w:pPr>
        <w:shd w:val="clear" w:color="auto" w:fill="FFFFFF"/>
        <w:spacing w:before="100" w:beforeAutospacing="1" w:after="100" w:afterAutospacing="1" w:line="240" w:lineRule="auto"/>
        <w:ind w:firstLine="567"/>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O</w:t>
      </w:r>
      <w:r w:rsidRPr="00146F8F">
        <w:rPr>
          <w:rFonts w:ascii="Book Antiqua" w:eastAsia="Times New Roman" w:hAnsi="Book Antiqua" w:cs="Arial"/>
          <w:b/>
          <w:bCs/>
          <w:color w:val="333333"/>
          <w:sz w:val="19"/>
          <w:szCs w:val="19"/>
          <w:lang w:eastAsia="pt-BR"/>
        </w:rPr>
        <w:t> SENADO FEDERAL </w:t>
      </w:r>
      <w:r w:rsidRPr="00146F8F">
        <w:rPr>
          <w:rFonts w:ascii="Book Antiqua" w:eastAsia="Times New Roman" w:hAnsi="Book Antiqua" w:cs="Arial"/>
          <w:color w:val="333333"/>
          <w:sz w:val="19"/>
          <w:szCs w:val="19"/>
          <w:lang w:eastAsia="pt-BR"/>
        </w:rPr>
        <w:t>RESOLVE:</w:t>
      </w:r>
    </w:p>
    <w:p w14:paraId="344B0A5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1º Subordinam-se às normas estabelecidas nesta Resolução as operações de crédito interno e externo dos Estados, do Distrito Federal e dos Municípios, inclusive a concessão de garantia.</w:t>
      </w:r>
    </w:p>
    <w:p w14:paraId="3DD919F4"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CAPÍTULO I</w:t>
      </w:r>
    </w:p>
    <w:p w14:paraId="4CC577C3"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i/>
          <w:iCs/>
          <w:caps/>
          <w:color w:val="333333"/>
          <w:sz w:val="19"/>
          <w:szCs w:val="19"/>
          <w:lang w:eastAsia="pt-BR"/>
        </w:rPr>
        <w:t>DAS DEFINIÇÕES</w:t>
      </w:r>
    </w:p>
    <w:p w14:paraId="4E9050A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highlight w:val="magenta"/>
          <w:lang w:eastAsia="pt-BR"/>
        </w:rPr>
        <w:t>Art. 2º</w:t>
      </w:r>
      <w:r w:rsidRPr="00146F8F">
        <w:rPr>
          <w:rFonts w:ascii="Book Antiqua" w:eastAsia="Times New Roman" w:hAnsi="Book Antiqua" w:cs="Arial"/>
          <w:color w:val="333333"/>
          <w:sz w:val="19"/>
          <w:szCs w:val="19"/>
          <w:lang w:eastAsia="pt-BR"/>
        </w:rPr>
        <w:t xml:space="preserve"> Considera-se, para os fins desta Resolução, as seguintes definições:</w:t>
      </w:r>
    </w:p>
    <w:p w14:paraId="1173D8B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Estado, Distrito Federal e Município: as respectivas administrações diretas, os fundos, as autarquias, as fundações e as empresas estatais dependentes;</w:t>
      </w:r>
    </w:p>
    <w:p w14:paraId="244D8C1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empresa estatal dependente: empresa controlada pelo Estado, pelo Distrito Federal ou pelo Município, que tenha, no exercício anterior, recebido recursos financeiros de seu controlador, destinados ao pagamento de despesas com pessoal, de custeio em geral ou de capital, excluídos, neste último caso, aqueles provenientes de aumento de participação acionária, e tenha, no exercício corrente, autorização orçamentária para recebimento de recursos financeiros com idêntica finalidade;</w:t>
      </w:r>
    </w:p>
    <w:p w14:paraId="4E05381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dívida pública consolidada: montante total, apurado sem duplicidade, das obrigações financeiras, inclusive as decorrentes de emissão de títulos, do Estado, do Distrito Federal ou do Município, assumidas em virtude de leis, contratos, convênios ou tratados e da realização de operações de crédito para amortização em prazo superior a 12 (doze) meses, dos precatórios judiciais emitidos a partir de 5 de maio de 2000 e não pagos durante a execução do orçamento em que houverem sido incluídos, e das operações de crédito, que, embora de prazo inferior a 12 (doze) meses, tenham constado como receitas no orçamento;</w:t>
      </w:r>
    </w:p>
    <w:p w14:paraId="3946628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dívida pública mobiliária: dívida pública representada por títulos emitidos pelos Estados, pelo Distrito Federal ou pelos Municípios; e</w:t>
      </w:r>
    </w:p>
    <w:p w14:paraId="5C3E1B59" w14:textId="45EC3483"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b/>
          <w:bCs/>
          <w:color w:val="333333"/>
          <w:sz w:val="19"/>
          <w:szCs w:val="19"/>
          <w:u w:val="single"/>
          <w:lang w:eastAsia="pt-BR"/>
        </w:rPr>
      </w:pPr>
      <w:r w:rsidRPr="00146F8F">
        <w:rPr>
          <w:rFonts w:ascii="Book Antiqua" w:eastAsia="Times New Roman" w:hAnsi="Book Antiqua" w:cs="Arial"/>
          <w:b/>
          <w:bCs/>
          <w:color w:val="333333"/>
          <w:sz w:val="19"/>
          <w:szCs w:val="19"/>
          <w:lang w:eastAsia="pt-BR"/>
        </w:rPr>
        <w:t>V - dívida consolidada líquida: dívida consolidada deduzidas as disponibilidades de caixa, as aplicações financeiras e os demais haveres financeiros</w:t>
      </w:r>
      <w:r w:rsidRPr="00146F8F">
        <w:rPr>
          <w:rFonts w:ascii="Book Antiqua" w:eastAsia="Times New Roman" w:hAnsi="Book Antiqua" w:cs="Arial"/>
          <w:color w:val="333333"/>
          <w:sz w:val="18"/>
          <w:szCs w:val="18"/>
          <w:lang w:eastAsia="pt-BR"/>
        </w:rPr>
        <w:t>.</w:t>
      </w:r>
      <w:r w:rsidRPr="00146F8F">
        <w:rPr>
          <w:rFonts w:ascii="Book Antiqua" w:eastAsia="Times New Roman" w:hAnsi="Book Antiqua" w:cs="Arial"/>
          <w:color w:val="333333"/>
          <w:sz w:val="18"/>
          <w:szCs w:val="18"/>
          <w:lang w:eastAsia="pt-BR"/>
        </w:rPr>
        <w:t xml:space="preserve"> </w:t>
      </w:r>
      <w:r w:rsidRPr="00146F8F">
        <w:rPr>
          <w:rFonts w:ascii="Book Antiqua" w:eastAsia="Times New Roman" w:hAnsi="Book Antiqua" w:cs="Arial"/>
          <w:b/>
          <w:bCs/>
          <w:color w:val="FF0000"/>
          <w:sz w:val="18"/>
          <w:szCs w:val="18"/>
          <w:u w:val="single"/>
          <w:lang w:eastAsia="pt-BR"/>
        </w:rPr>
        <w:t>(PGDF-2013)</w:t>
      </w:r>
      <w:r w:rsidRPr="00146F8F">
        <w:rPr>
          <w:rFonts w:ascii="Book Antiqua" w:eastAsia="Times New Roman" w:hAnsi="Book Antiqua" w:cs="Arial"/>
          <w:b/>
          <w:bCs/>
          <w:color w:val="FF0000"/>
          <w:sz w:val="18"/>
          <w:szCs w:val="18"/>
          <w:lang w:eastAsia="pt-BR"/>
        </w:rPr>
        <w:t xml:space="preserve"> </w:t>
      </w:r>
      <w:r w:rsidRPr="00146F8F">
        <w:rPr>
          <w:rFonts w:ascii="Book Antiqua" w:eastAsia="Times New Roman" w:hAnsi="Book Antiqua" w:cs="Arial"/>
          <w:b/>
          <w:bCs/>
          <w:color w:val="FF0000"/>
          <w:sz w:val="18"/>
          <w:szCs w:val="18"/>
          <w:u w:val="single"/>
          <w:lang w:eastAsia="pt-BR"/>
        </w:rPr>
        <w:t>(PGEPB-2021)</w:t>
      </w:r>
    </w:p>
    <w:p w14:paraId="55AC046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 A dívida pública consolidada não inclui as obrigações existentes entre as administrações diretas dos Estados, do Distrito Federal ou dos Municípios e seus respectivos fundos, autarquias, fundações e empresas estatais dependentes, ou entre estes. </w:t>
      </w:r>
      <w:r w:rsidRPr="00146F8F">
        <w:rPr>
          <w:rFonts w:ascii="Book Antiqua" w:eastAsia="Times New Roman" w:hAnsi="Book Antiqua" w:cs="Arial"/>
          <w:i/>
          <w:iCs/>
          <w:color w:val="333333"/>
          <w:sz w:val="19"/>
          <w:szCs w:val="19"/>
          <w:u w:val="single"/>
          <w:lang w:eastAsia="pt-BR"/>
        </w:rPr>
        <w:t>(Renumerado do parágrafo único pela Resolução n.º 15, de 2018)</w:t>
      </w:r>
    </w:p>
    <w:p w14:paraId="4332439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2º Compreendem-se no inciso I do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os consórcios públicos dos quais os entes da Federação participem, observadas as seguintes vedações: </w:t>
      </w:r>
      <w:r w:rsidRPr="00146F8F">
        <w:rPr>
          <w:rFonts w:ascii="Book Antiqua" w:eastAsia="Times New Roman" w:hAnsi="Book Antiqua" w:cs="Arial"/>
          <w:i/>
          <w:iCs/>
          <w:color w:val="333333"/>
          <w:sz w:val="19"/>
          <w:szCs w:val="19"/>
          <w:u w:val="single"/>
          <w:lang w:eastAsia="pt-BR"/>
        </w:rPr>
        <w:t>(Incluído pela Resolução n.º 15, de 2018)</w:t>
      </w:r>
    </w:p>
    <w:p w14:paraId="7A5856C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o consórcio público não deve ter como objetivo único a contratação de operações de crédito; </w:t>
      </w:r>
      <w:r w:rsidRPr="00146F8F">
        <w:rPr>
          <w:rFonts w:ascii="Book Antiqua" w:eastAsia="Times New Roman" w:hAnsi="Book Antiqua" w:cs="Arial"/>
          <w:i/>
          <w:iCs/>
          <w:color w:val="333333"/>
          <w:sz w:val="19"/>
          <w:szCs w:val="19"/>
          <w:u w:val="single"/>
          <w:lang w:eastAsia="pt-BR"/>
        </w:rPr>
        <w:t>(Incluído pela Resolução n.º 15, de 2018)</w:t>
      </w:r>
    </w:p>
    <w:p w14:paraId="2A0585A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 União não deve figurar como consorciada. </w:t>
      </w:r>
      <w:r w:rsidRPr="00146F8F">
        <w:rPr>
          <w:rFonts w:ascii="Book Antiqua" w:eastAsia="Times New Roman" w:hAnsi="Book Antiqua" w:cs="Arial"/>
          <w:i/>
          <w:iCs/>
          <w:color w:val="333333"/>
          <w:sz w:val="19"/>
          <w:szCs w:val="19"/>
          <w:u w:val="single"/>
          <w:lang w:eastAsia="pt-BR"/>
        </w:rPr>
        <w:t>(Incluído pela Resolução n.º 15, de 2018)</w:t>
      </w:r>
    </w:p>
    <w:p w14:paraId="30E5399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3º Constitui operação de crédito, para os efeitos desta Resolução, os compromissos assumidos com credores situados no País ou no exterior, em razão de mútuo, abertura de crédito, emissão e aceite de título, aquisição financiada de bens, recebimento antecipado de valores provenientes da venda a termo de bens e serviços, arrendamento mercantil e outras operações assemelhadas, inclusive com o uso de derivativos financeiros.</w:t>
      </w:r>
    </w:p>
    <w:p w14:paraId="64DF8BE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Equiparam-se a operações de crédito: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(Renumerado do parágrafo único pela Resolução n.º 19, de 2003)</w:t>
      </w:r>
    </w:p>
    <w:p w14:paraId="6F08122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recebimento antecipado de valores de empresa em que o Poder Público detenha, direta ou indiretamente, a maioria do capital social com direito a voto, salvo lucros e dividendos, na forma da legislação;</w:t>
      </w:r>
    </w:p>
    <w:p w14:paraId="23AC990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assunção direta de compromisso, confissão de dívida ou operação assemelhada, com fornecedor de bens, mercadorias ou serviços, mediante emissão, aceite ou aval de títulos de crédito;</w:t>
      </w:r>
    </w:p>
    <w:p w14:paraId="2F77E3A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assunção de obrigação, sem autorização orçamentária, com fornecedores para pagamento </w:t>
      </w:r>
      <w:r w:rsidRPr="00146F8F">
        <w:rPr>
          <w:rFonts w:ascii="Book Antiqua" w:eastAsia="Times New Roman" w:hAnsi="Book Antiqua" w:cs="Arial"/>
          <w:b/>
          <w:bCs/>
          <w:color w:val="333333"/>
          <w:sz w:val="19"/>
          <w:szCs w:val="19"/>
          <w:lang w:eastAsia="pt-BR"/>
        </w:rPr>
        <w:t>a posteriori</w:t>
      </w:r>
      <w:r w:rsidRPr="00146F8F">
        <w:rPr>
          <w:rFonts w:ascii="Book Antiqua" w:eastAsia="Times New Roman" w:hAnsi="Book Antiqua" w:cs="Arial"/>
          <w:color w:val="333333"/>
          <w:sz w:val="19"/>
          <w:szCs w:val="19"/>
          <w:lang w:eastAsia="pt-BR"/>
        </w:rPr>
        <w:t> de bens e serviços.</w:t>
      </w:r>
    </w:p>
    <w:p w14:paraId="25667C4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Não se equiparam a operações de crédito: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19, de 2003)</w:t>
      </w:r>
    </w:p>
    <w:p w14:paraId="67B98E9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assunção de obrigação entre pessoas jurídicas integrantes do mesmo Estado, Distrito Federal ou Município, nos termos da definição constante do inciso I do art. 2º desta Resolução;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19, de 2003)</w:t>
      </w:r>
    </w:p>
    <w:p w14:paraId="54A14EC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parcelamento de débitos preexistentes junto a instituições não-financeiras, desde que não impliquem elevação do montante da dívida consolidada líquida.</w:t>
      </w:r>
      <w:r w:rsidRPr="00146F8F">
        <w:rPr>
          <w:rFonts w:ascii="Book Antiqua" w:eastAsia="Times New Roman" w:hAnsi="Book Antiqua" w:cs="Arial"/>
          <w:i/>
          <w:iCs/>
          <w:color w:val="333333"/>
          <w:sz w:val="19"/>
          <w:szCs w:val="19"/>
          <w:u w:val="single"/>
          <w:lang w:eastAsia="pt-BR"/>
        </w:rPr>
        <w:t> (Incluído pela Resolução n.º 19, de 2003)</w:t>
      </w:r>
    </w:p>
    <w:p w14:paraId="4B57895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4º Entende-se por receita corrente líquida, para os efeitos desta Resolução, o somatório das receitas tributárias, de contribuições, patrimoniais, industriais, agropecuárias, de serviços, transferências correntes e outras receitas também correntes, deduzidos:</w:t>
      </w:r>
    </w:p>
    <w:p w14:paraId="783CF47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nos Estados, as parcelas entregues aos Municípios por determinação constitucional;</w:t>
      </w:r>
    </w:p>
    <w:p w14:paraId="557C8BD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nos Estados e nos Municípios, a contribuição dos servidores para o custeio do seu sistema de previdência e assistência social e as receitas provenientes da compensação financeira citada no § 9º do art. 201 da Constituição Federal.</w:t>
      </w:r>
    </w:p>
    <w:p w14:paraId="260CCF7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Serão computados no cálculo da receita corrente líquida os valores pagos e recebidos em decorrência da Lei Complementar nº 87, de 13 de setembro de 1996, e do Fundo previsto pelo art. 60 do Ato das Disposições Constitucionais Transitórias.</w:t>
      </w:r>
    </w:p>
    <w:p w14:paraId="5480738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Não serão considerados na receita corrente líquida do Distrito Federal e dos Estados do Amapá e de Roraima os recursos recebidos da União para atendimento das despesas com pessoal, na forma dos incisos XIII e XIV do art. 21 da Constituição Federal e do art. 31 da Emenda Constitucional nº 19, de 1998.</w:t>
      </w:r>
    </w:p>
    <w:p w14:paraId="5EDC033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A receita corrente líquida será apurada somando-se as receitas arrecadadas no mês em referência e nos 11 (onze) meses anteriores, excluídas as duplicidades.</w:t>
      </w:r>
    </w:p>
    <w:p w14:paraId="13BCCF8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4º A análise das propostas de operações de crédito será realizada tomando-se por base a receita corrente líquida divulgada conforme a periodicidade definida na Lei Complementar n° 101, de 4 de maio de 2000. </w:t>
      </w:r>
      <w:r w:rsidRPr="00146F8F">
        <w:rPr>
          <w:rFonts w:ascii="Book Antiqua" w:eastAsia="Times New Roman" w:hAnsi="Book Antiqua" w:cs="Arial"/>
          <w:i/>
          <w:iCs/>
          <w:color w:val="333333"/>
          <w:sz w:val="19"/>
          <w:szCs w:val="19"/>
          <w:u w:val="single"/>
          <w:lang w:eastAsia="pt-BR"/>
        </w:rPr>
        <w:t>(Redação dada pela Resolução n.º 10, de 2010)</w:t>
      </w:r>
    </w:p>
    <w:p w14:paraId="4D720C9D"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CAPÍTULO II</w:t>
      </w:r>
    </w:p>
    <w:p w14:paraId="2B5AC112"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i/>
          <w:iCs/>
          <w:caps/>
          <w:color w:val="333333"/>
          <w:sz w:val="19"/>
          <w:szCs w:val="19"/>
          <w:lang w:eastAsia="pt-BR"/>
        </w:rPr>
        <w:t>DAS VEDAÇÕES</w:t>
      </w:r>
    </w:p>
    <w:p w14:paraId="53ADA7C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b/>
          <w:bCs/>
          <w:color w:val="333333"/>
          <w:sz w:val="19"/>
          <w:szCs w:val="19"/>
          <w:lang w:eastAsia="pt-BR"/>
        </w:rPr>
      </w:pPr>
      <w:r w:rsidRPr="00146F8F">
        <w:rPr>
          <w:rFonts w:ascii="Book Antiqua" w:eastAsia="Times New Roman" w:hAnsi="Book Antiqua" w:cs="Arial"/>
          <w:b/>
          <w:bCs/>
          <w:color w:val="333333"/>
          <w:sz w:val="19"/>
          <w:szCs w:val="19"/>
          <w:highlight w:val="magenta"/>
          <w:lang w:eastAsia="pt-BR"/>
        </w:rPr>
        <w:t>Art. 5º</w:t>
      </w:r>
      <w:r w:rsidRPr="00146F8F">
        <w:rPr>
          <w:rFonts w:ascii="Book Antiqua" w:eastAsia="Times New Roman" w:hAnsi="Book Antiqua" w:cs="Arial"/>
          <w:color w:val="333333"/>
          <w:sz w:val="19"/>
          <w:szCs w:val="19"/>
          <w:lang w:eastAsia="pt-BR"/>
        </w:rPr>
        <w:t xml:space="preserve"> </w:t>
      </w:r>
      <w:r w:rsidRPr="00146F8F">
        <w:rPr>
          <w:rFonts w:ascii="Book Antiqua" w:eastAsia="Times New Roman" w:hAnsi="Book Antiqua" w:cs="Arial"/>
          <w:b/>
          <w:bCs/>
          <w:color w:val="333333"/>
          <w:sz w:val="19"/>
          <w:szCs w:val="19"/>
          <w:lang w:eastAsia="pt-BR"/>
        </w:rPr>
        <w:t>É vedado aos Estados, ao Distrito Federal e aos Municípios:</w:t>
      </w:r>
    </w:p>
    <w:p w14:paraId="480B62A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recebimento antecipado de valores de empresa em que o Poder Público detenha, direta ou indiretamente, a maioria do capital social com direito a voto, salvo lucros e dividendos, na forma da legislação;</w:t>
      </w:r>
    </w:p>
    <w:p w14:paraId="77D3775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assunção direta de compromisso, confissão de dívida ou operação assemelhada, com fornecedor de bens, mercadorias ou serviços, mediante emissão, aceite ou aval de títulos de crédito, não se aplicando esta vedação a empresas estatais dependentes;</w:t>
      </w:r>
    </w:p>
    <w:p w14:paraId="0695BE3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assunção de obrigação, sem autorização orçamentária, com fornecedores para pagamento </w:t>
      </w:r>
      <w:r w:rsidRPr="00146F8F">
        <w:rPr>
          <w:rFonts w:ascii="Book Antiqua" w:eastAsia="Times New Roman" w:hAnsi="Book Antiqua" w:cs="Arial"/>
          <w:b/>
          <w:bCs/>
          <w:color w:val="333333"/>
          <w:sz w:val="19"/>
          <w:szCs w:val="19"/>
          <w:lang w:eastAsia="pt-BR"/>
        </w:rPr>
        <w:t>a posteriori</w:t>
      </w:r>
      <w:r w:rsidRPr="00146F8F">
        <w:rPr>
          <w:rFonts w:ascii="Book Antiqua" w:eastAsia="Times New Roman" w:hAnsi="Book Antiqua" w:cs="Arial"/>
          <w:color w:val="333333"/>
          <w:sz w:val="19"/>
          <w:szCs w:val="19"/>
          <w:lang w:eastAsia="pt-BR"/>
        </w:rPr>
        <w:t> de bens e serviços;</w:t>
      </w:r>
    </w:p>
    <w:p w14:paraId="2E1262A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realizar operação de crédito que represente violação dos acordos de refinanciamento ou dos programas de acompanhamento e transparência fiscal firmados com a União; </w:t>
      </w:r>
      <w:r w:rsidRPr="00146F8F">
        <w:rPr>
          <w:rFonts w:ascii="Book Antiqua" w:eastAsia="Times New Roman" w:hAnsi="Book Antiqua" w:cs="Arial"/>
          <w:i/>
          <w:iCs/>
          <w:color w:val="333333"/>
          <w:sz w:val="19"/>
          <w:szCs w:val="19"/>
          <w:u w:val="single"/>
          <w:lang w:eastAsia="pt-BR"/>
        </w:rPr>
        <w:t>(Redação dada pela Resolução n.º 15, de 2021)</w:t>
      </w:r>
    </w:p>
    <w:p w14:paraId="125F095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 - conceder qualquer subsídio ou isenção, redução da base de cálculo, concessão de crédito presumido, incentivos, anistias, remissão, reduções de alíquotas e quaisquer outros benefícios tributários, fiscais ou financeiros, não autorizados na forma de lei específica, estadual ou municipal, que regule exclusivamente as matérias retro enumeradas ou o correspondente tributo ou contribuição.</w:t>
      </w:r>
    </w:p>
    <w:p w14:paraId="62F7222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VI - em relação aos créditos decorrentes do direito dos Estados, dos Municípios e do Distrito Federal, de participação governamental obrigatória, nas modalidades de royalties, participações especiais e compensações financeiras, no resultado da exploração de petróleo e gás natural, de recursos hídricos para fins de energia elétrica e de outros recursos minerais no respectivo território, plataforma continental ou zona econômica exclusiva:</w:t>
      </w:r>
    </w:p>
    <w:p w14:paraId="3DE7200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a) ceder direitos relativos a período posterior ao do mandato do chefe do Poder Executivo, exceto para capitalização de Fundos de Previdência ou para amortização extraordinária de dívidas com a União;</w:t>
      </w:r>
    </w:p>
    <w:p w14:paraId="66C51DF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b) dar em garantia ou captar recursos a título de adiantamento ou antecipação, cujas obrigações contratuais respectivas ultrapassem o mandato do chefe do Poder Executivo.</w:t>
      </w:r>
    </w:p>
    <w:p w14:paraId="271D5E30" w14:textId="322D56CE"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VII - em relação aos créditos inscritos em dívida ativa</w:t>
      </w:r>
      <w:r w:rsidRPr="00146F8F">
        <w:rPr>
          <w:rFonts w:ascii="Book Antiqua" w:eastAsia="Times New Roman" w:hAnsi="Book Antiqua" w:cs="Arial"/>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17, de 2015)</w:t>
      </w:r>
      <w:r>
        <w:rPr>
          <w:rFonts w:ascii="Book Antiqua" w:eastAsia="Times New Roman" w:hAnsi="Book Antiqua" w:cs="Arial"/>
          <w:i/>
          <w:iCs/>
          <w:color w:val="333333"/>
          <w:sz w:val="19"/>
          <w:szCs w:val="19"/>
          <w:lang w:eastAsia="pt-BR"/>
        </w:rPr>
        <w:t xml:space="preserve"> </w:t>
      </w:r>
      <w:r w:rsidRPr="00146F8F">
        <w:rPr>
          <w:rFonts w:ascii="Book Antiqua" w:eastAsia="Times New Roman" w:hAnsi="Book Antiqua" w:cs="Arial"/>
          <w:b/>
          <w:bCs/>
          <w:color w:val="FF0000"/>
          <w:sz w:val="18"/>
          <w:szCs w:val="18"/>
          <w:u w:val="single"/>
          <w:lang w:eastAsia="pt-BR"/>
        </w:rPr>
        <w:t>(PGE</w:t>
      </w:r>
      <w:r>
        <w:rPr>
          <w:rFonts w:ascii="Book Antiqua" w:eastAsia="Times New Roman" w:hAnsi="Book Antiqua" w:cs="Arial"/>
          <w:b/>
          <w:bCs/>
          <w:color w:val="FF0000"/>
          <w:sz w:val="18"/>
          <w:szCs w:val="18"/>
          <w:u w:val="single"/>
          <w:lang w:eastAsia="pt-BR"/>
        </w:rPr>
        <w:t>AM-2022</w:t>
      </w:r>
      <w:r w:rsidRPr="00146F8F">
        <w:rPr>
          <w:rFonts w:ascii="Book Antiqua" w:eastAsia="Times New Roman" w:hAnsi="Book Antiqua" w:cs="Arial"/>
          <w:b/>
          <w:bCs/>
          <w:color w:val="FF0000"/>
          <w:sz w:val="18"/>
          <w:szCs w:val="18"/>
          <w:u w:val="single"/>
          <w:lang w:eastAsia="pt-BR"/>
        </w:rPr>
        <w:t>)</w:t>
      </w:r>
    </w:p>
    <w:p w14:paraId="2CB30D76" w14:textId="31D633FA"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 ceder o fluxo de recebimentos relativos aos direitos creditórios da dívida ativa de forma não definitiva ou com cláusula revogatória</w:t>
      </w:r>
      <w:r w:rsidRPr="00146F8F">
        <w:rPr>
          <w:rFonts w:ascii="Book Antiqua" w:eastAsia="Times New Roman" w:hAnsi="Book Antiqua" w:cs="Arial"/>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17, de 2015)</w:t>
      </w:r>
      <w:r>
        <w:rPr>
          <w:rFonts w:ascii="Book Antiqua" w:eastAsia="Times New Roman" w:hAnsi="Book Antiqua" w:cs="Arial"/>
          <w:i/>
          <w:iCs/>
          <w:color w:val="333333"/>
          <w:sz w:val="19"/>
          <w:szCs w:val="19"/>
          <w:lang w:eastAsia="pt-BR"/>
        </w:rPr>
        <w:t xml:space="preserve"> </w:t>
      </w:r>
      <w:r w:rsidRPr="00146F8F">
        <w:rPr>
          <w:rFonts w:ascii="Book Antiqua" w:eastAsia="Times New Roman" w:hAnsi="Book Antiqua" w:cs="Arial"/>
          <w:b/>
          <w:bCs/>
          <w:color w:val="FF0000"/>
          <w:sz w:val="18"/>
          <w:szCs w:val="18"/>
          <w:u w:val="single"/>
          <w:lang w:eastAsia="pt-BR"/>
        </w:rPr>
        <w:t>(PGE</w:t>
      </w:r>
      <w:r>
        <w:rPr>
          <w:rFonts w:ascii="Book Antiqua" w:eastAsia="Times New Roman" w:hAnsi="Book Antiqua" w:cs="Arial"/>
          <w:b/>
          <w:bCs/>
          <w:color w:val="FF0000"/>
          <w:sz w:val="18"/>
          <w:szCs w:val="18"/>
          <w:u w:val="single"/>
          <w:lang w:eastAsia="pt-BR"/>
        </w:rPr>
        <w:t>AM-2022</w:t>
      </w:r>
      <w:r w:rsidRPr="00146F8F">
        <w:rPr>
          <w:rFonts w:ascii="Book Antiqua" w:eastAsia="Times New Roman" w:hAnsi="Book Antiqua" w:cs="Arial"/>
          <w:b/>
          <w:bCs/>
          <w:color w:val="FF0000"/>
          <w:sz w:val="18"/>
          <w:szCs w:val="18"/>
          <w:u w:val="single"/>
          <w:lang w:eastAsia="pt-BR"/>
        </w:rPr>
        <w:t>)</w:t>
      </w:r>
    </w:p>
    <w:tbl>
      <w:tblPr>
        <w:tblStyle w:val="Tabelacomgrade"/>
        <w:tblW w:w="0" w:type="auto"/>
        <w:tblLook w:val="04A0" w:firstRow="1" w:lastRow="0" w:firstColumn="1" w:lastColumn="0" w:noHBand="0" w:noVBand="1"/>
      </w:tblPr>
      <w:tblGrid>
        <w:gridCol w:w="8494"/>
      </w:tblGrid>
      <w:tr w:rsidR="00146F8F" w14:paraId="6B4CA25E" w14:textId="77777777" w:rsidTr="00146F8F">
        <w:tc>
          <w:tcPr>
            <w:tcW w:w="8494" w:type="dxa"/>
            <w:shd w:val="clear" w:color="auto" w:fill="CCFFFF"/>
          </w:tcPr>
          <w:p w14:paraId="11DE6862" w14:textId="77777777" w:rsidR="00146F8F" w:rsidRDefault="00146F8F" w:rsidP="00146F8F">
            <w:pPr>
              <w:spacing w:before="100" w:beforeAutospacing="1" w:after="100" w:afterAutospacing="1"/>
              <w:jc w:val="both"/>
              <w:rPr>
                <w:rFonts w:ascii="Book Antiqua" w:eastAsia="Times New Roman" w:hAnsi="Book Antiqua" w:cs="Arial"/>
                <w:b/>
                <w:bCs/>
                <w:color w:val="333333"/>
                <w:sz w:val="19"/>
                <w:szCs w:val="19"/>
                <w:lang w:eastAsia="pt-BR"/>
              </w:rPr>
            </w:pPr>
            <w:r>
              <w:rPr>
                <w:rFonts w:ascii="Book Antiqua" w:eastAsia="Times New Roman" w:hAnsi="Book Antiqua" w:cs="Arial"/>
                <w:b/>
                <w:bCs/>
                <w:color w:val="333333"/>
                <w:sz w:val="19"/>
                <w:szCs w:val="19"/>
                <w:lang w:eastAsia="pt-BR"/>
              </w:rPr>
              <w:t>(</w:t>
            </w:r>
            <w:r w:rsidRPr="00146F8F">
              <w:rPr>
                <w:rFonts w:ascii="Book Antiqua" w:eastAsia="Times New Roman" w:hAnsi="Book Antiqua" w:cs="Arial"/>
                <w:b/>
                <w:bCs/>
                <w:color w:val="333333"/>
                <w:sz w:val="19"/>
                <w:szCs w:val="19"/>
                <w:highlight w:val="yellow"/>
                <w:lang w:eastAsia="pt-BR"/>
              </w:rPr>
              <w:t>PGEAM-2022-FCC</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146F8F">
              <w:rPr>
                <w:rFonts w:ascii="Book Antiqua" w:eastAsia="Times New Roman" w:hAnsi="Book Antiqua" w:cs="Arial"/>
                <w:color w:val="333333"/>
                <w:sz w:val="19"/>
                <w:szCs w:val="19"/>
                <w:lang w:eastAsia="pt-BR"/>
              </w:rPr>
              <w:t>Considere que o Estado pretenda realizar operação de securitização de seus parcelamentos tributários, alienando tais créditos a fundo de investimento em direito creditório, na forma da regulamentação do mercado de capitais. Objetiva, com isso, o recebimento antecipado de tais valores para fazer frente a despesas correntes e também para cumprir programa de investimentos em setores prioritários. De acordo com as disposições da Lei de Responsabilidade Fiscal (Lei Complementar federal nº 101/2000) e Resolução nº 43, do Senado Federal, a operação pretendida</w:t>
            </w:r>
            <w:r>
              <w:rPr>
                <w:rFonts w:ascii="Book Antiqua" w:eastAsia="Times New Roman" w:hAnsi="Book Antiqua" w:cs="Arial"/>
                <w:color w:val="333333"/>
                <w:sz w:val="19"/>
                <w:szCs w:val="19"/>
                <w:lang w:eastAsia="pt-BR"/>
              </w:rPr>
              <w:t xml:space="preserve"> </w:t>
            </w:r>
            <w:r w:rsidRPr="00146F8F">
              <w:rPr>
                <w:rFonts w:ascii="Book Antiqua" w:eastAsia="Times New Roman" w:hAnsi="Book Antiqua" w:cs="Arial"/>
                <w:color w:val="333333"/>
                <w:sz w:val="19"/>
                <w:szCs w:val="19"/>
                <w:lang w:eastAsia="pt-BR"/>
              </w:rPr>
              <w:t>deverá consistir em cessão definitiva dos direitos sobre os créditos inscritos em dívida ativa, vedada a previsão de cláusula revogatória.</w:t>
            </w:r>
            <w:r>
              <w:rPr>
                <w:rFonts w:ascii="Book Antiqua" w:eastAsia="Times New Roman" w:hAnsi="Book Antiqua" w:cs="Arial"/>
                <w:color w:val="333333"/>
                <w:sz w:val="19"/>
                <w:szCs w:val="19"/>
                <w:lang w:eastAsia="pt-BR"/>
              </w:rPr>
              <w:t xml:space="preserve"> </w:t>
            </w:r>
            <w:r>
              <w:rPr>
                <w:rFonts w:ascii="Book Antiqua" w:eastAsia="Times New Roman" w:hAnsi="Book Antiqua" w:cs="Arial"/>
                <w:b/>
                <w:bCs/>
                <w:color w:val="333333"/>
                <w:sz w:val="19"/>
                <w:szCs w:val="19"/>
                <w:lang w:eastAsia="pt-BR"/>
              </w:rPr>
              <w:t>BL: art. 5º, VII, “a”, Res. 43/01 do Senado.</w:t>
            </w:r>
          </w:p>
          <w:p w14:paraId="22B3EB0A" w14:textId="2F810254" w:rsidR="00146F8F" w:rsidRPr="00146F8F" w:rsidRDefault="00146F8F" w:rsidP="00146F8F">
            <w:pPr>
              <w:spacing w:before="100" w:beforeAutospacing="1" w:after="100" w:afterAutospacing="1"/>
              <w:jc w:val="both"/>
              <w:rPr>
                <w:rFonts w:ascii="Book Antiqua" w:eastAsia="Times New Roman" w:hAnsi="Book Antiqua" w:cs="Arial"/>
                <w:color w:val="333333"/>
                <w:sz w:val="19"/>
                <w:szCs w:val="19"/>
                <w:lang w:eastAsia="pt-BR"/>
              </w:rPr>
            </w:pPr>
            <w:r w:rsidRPr="00146F8F">
              <w:rPr>
                <w:rFonts w:ascii="Book Antiqua" w:eastAsia="Times New Roman" w:hAnsi="Book Antiqua" w:cs="Arial"/>
                <w:b/>
                <w:bCs/>
                <w:i/>
                <w:iCs/>
                <w:color w:val="FF0000"/>
                <w:sz w:val="19"/>
                <w:szCs w:val="19"/>
                <w:lang w:eastAsia="pt-BR"/>
              </w:rPr>
              <w:lastRenderedPageBreak/>
              <w:t>##</w:t>
            </w:r>
            <w:r w:rsidRPr="00146F8F">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333333"/>
                <w:sz w:val="19"/>
                <w:szCs w:val="19"/>
                <w:lang w:eastAsia="pt-BR"/>
              </w:rPr>
              <w:t>: Desse modo</w:t>
            </w:r>
            <w:r w:rsidRPr="00146F8F">
              <w:rPr>
                <w:rFonts w:ascii="Book Antiqua" w:eastAsia="Times New Roman" w:hAnsi="Book Antiqua" w:cs="Arial"/>
                <w:color w:val="333333"/>
                <w:sz w:val="19"/>
                <w:szCs w:val="19"/>
                <w:lang w:eastAsia="pt-BR"/>
              </w:rPr>
              <w:t>, no caso apresentado o Estado não poderia realizar operação de securitização de seus parcelamentos tributários, alienando tais créditos a fundo de investimento em direito creditório, na forma da regulamentação do mercado de capitais, pois, segundo a Resolução nº 43, do Senado Federal, a operação pretendida deverá consistir em cessão definitiva dos direitos sobre os créditos inscritos em dívida ativa, vedada a previsão de cláusula revogatória.</w:t>
            </w:r>
          </w:p>
        </w:tc>
      </w:tr>
    </w:tbl>
    <w:p w14:paraId="6C184048" w14:textId="0194D50A"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b) ceder o fluxo de recebimentos relativos aos direitos creditórios da dívida ativa com assunção, pelo Estado, pelo Distrito Federal ou pelo Município, perante o cessionário, de responsabilidade pelo efetivo pagamento a cargo do contribuinte ou de qualquer outra espécie de compromisso financeiro que possa, nos termos da Lei Complementar nº 101, de 4 de maio de 2000, caracterizar operação de crédito. </w:t>
      </w:r>
      <w:r w:rsidRPr="00146F8F">
        <w:rPr>
          <w:rFonts w:ascii="Book Antiqua" w:eastAsia="Times New Roman" w:hAnsi="Book Antiqua" w:cs="Arial"/>
          <w:i/>
          <w:iCs/>
          <w:color w:val="333333"/>
          <w:sz w:val="19"/>
          <w:szCs w:val="19"/>
          <w:u w:val="single"/>
          <w:lang w:eastAsia="pt-BR"/>
        </w:rPr>
        <w:t>(Redação dada pela Resolução n.º 17, de 2015)</w:t>
      </w:r>
    </w:p>
    <w:p w14:paraId="7966F0E1" w14:textId="3953CCB9"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c) </w:t>
      </w:r>
      <w:r w:rsidRPr="00146F8F">
        <w:rPr>
          <w:rFonts w:ascii="Book Antiqua" w:eastAsia="Times New Roman" w:hAnsi="Book Antiqua" w:cs="Arial"/>
          <w:i/>
          <w:iCs/>
          <w:color w:val="333333"/>
          <w:sz w:val="19"/>
          <w:szCs w:val="19"/>
          <w:u w:val="single"/>
          <w:lang w:eastAsia="pt-BR"/>
        </w:rPr>
        <w:t>(Revogado pela Resolução n.º 17, de 2015)</w:t>
      </w:r>
    </w:p>
    <w:p w14:paraId="7D33E92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Constatando-se infração ao disposto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e enquanto não promovido o cancelamento ou amortização total do débito, as dívidas serão consideradas vencidas para efeito do cômputo dos limites dos arts. 6º e 7º e a entidade mutuária ficará impedida de realizar operação sujeita a esta Resolução.</w:t>
      </w:r>
    </w:p>
    <w:p w14:paraId="4BDE014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Qualquer receita proveniente da antecipação de receitas de royalties será exclusiva para capitalização de Fundos de Previdência ou para amortização extraordinária de dívidas com a União. </w:t>
      </w:r>
      <w:r w:rsidRPr="00146F8F">
        <w:rPr>
          <w:rFonts w:ascii="Book Antiqua" w:eastAsia="Times New Roman" w:hAnsi="Book Antiqua" w:cs="Arial"/>
          <w:i/>
          <w:iCs/>
          <w:color w:val="333333"/>
          <w:sz w:val="19"/>
          <w:szCs w:val="19"/>
          <w:u w:val="single"/>
          <w:lang w:eastAsia="pt-BR"/>
        </w:rPr>
        <w:t>(Redação dada pela Resolução n.º 17, de 2015)</w:t>
      </w:r>
    </w:p>
    <w:p w14:paraId="1EE37B6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Nas operações a que se refere o inciso VI, serão observadas as normas e competências da Previdência Social relativas à formação de Fundos de Previdência Social. </w:t>
      </w:r>
      <w:r w:rsidRPr="00146F8F">
        <w:rPr>
          <w:rFonts w:ascii="Book Antiqua" w:eastAsia="Times New Roman" w:hAnsi="Book Antiqua" w:cs="Arial"/>
          <w:i/>
          <w:iCs/>
          <w:color w:val="333333"/>
          <w:sz w:val="19"/>
          <w:szCs w:val="19"/>
          <w:u w:val="single"/>
          <w:lang w:eastAsia="pt-BR"/>
        </w:rPr>
        <w:t>(Redação dada pela Resolução n.º 17, de 2015)</w:t>
      </w:r>
    </w:p>
    <w:p w14:paraId="1801CEE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Excepcionalmente, os Estados, o Distrito Federal e os Municípios que sofreram redução nas receitas de que trata o inciso VI, inclusive de participações especiais, poderão contratar operações financeiras no limite das perdas apuradas entre a média recebida nos exercícios de 2013 e 2014 e a projeção para os anos de 2015 e 2016, dando em garantia os </w:t>
      </w:r>
      <w:r w:rsidRPr="00146F8F">
        <w:rPr>
          <w:rFonts w:ascii="Book Antiqua" w:eastAsia="Times New Roman" w:hAnsi="Book Antiqua" w:cs="Arial"/>
          <w:b/>
          <w:bCs/>
          <w:color w:val="333333"/>
          <w:sz w:val="19"/>
          <w:szCs w:val="19"/>
          <w:lang w:eastAsia="pt-BR"/>
        </w:rPr>
        <w:t>royalties </w:t>
      </w:r>
      <w:r w:rsidRPr="00146F8F">
        <w:rPr>
          <w:rFonts w:ascii="Book Antiqua" w:eastAsia="Times New Roman" w:hAnsi="Book Antiqua" w:cs="Arial"/>
          <w:color w:val="333333"/>
          <w:sz w:val="19"/>
          <w:szCs w:val="19"/>
          <w:lang w:eastAsia="pt-BR"/>
        </w:rPr>
        <w:t>a serem recebidos, contanto que o pagamento por tal contratação não comprometa mais de 10% (dez por cento) do valor total projetado em consequência da exploração dos mesmos recursos, por ano, sem a observância do disposto nas alíneas do referido inciso e no § 2º, bem como dos limites de que trata o art. 7º, ressaltando que a aplicação da totalidade do recurso observará a legislação aplicável a cada fonte de receita.</w:t>
      </w:r>
      <w:r w:rsidRPr="00146F8F">
        <w:rPr>
          <w:rFonts w:ascii="Book Antiqua" w:eastAsia="Times New Roman" w:hAnsi="Book Antiqua" w:cs="Arial"/>
          <w:i/>
          <w:iCs/>
          <w:color w:val="333333"/>
          <w:sz w:val="19"/>
          <w:szCs w:val="19"/>
          <w:u w:val="single"/>
          <w:lang w:eastAsia="pt-BR"/>
        </w:rPr>
        <w:t> (Incluído pela Resolução n.º 2, de 2015)</w:t>
      </w:r>
    </w:p>
    <w:p w14:paraId="186B150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5º Para os fins do disposto no § 4º, considera-se perda a diferença entre a média aritmética do total dos recursos recebidos nos exercícios de 2013 e 2014 pelo respectivo ente federado e a previsão para os anos de 2015 e 2016, com base nos dados e projeções dos órgãos competentes. </w:t>
      </w:r>
      <w:r w:rsidRPr="00146F8F">
        <w:rPr>
          <w:rFonts w:ascii="Book Antiqua" w:eastAsia="Times New Roman" w:hAnsi="Book Antiqua" w:cs="Arial"/>
          <w:i/>
          <w:iCs/>
          <w:color w:val="333333"/>
          <w:sz w:val="19"/>
          <w:szCs w:val="19"/>
          <w:u w:val="single"/>
          <w:lang w:eastAsia="pt-BR"/>
        </w:rPr>
        <w:t>(Incluído pela Resolução n.º 2, de 2015)</w:t>
      </w:r>
    </w:p>
    <w:p w14:paraId="5F12DF0C"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CAPÍTULO III</w:t>
      </w:r>
    </w:p>
    <w:p w14:paraId="7203B4F6"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i/>
          <w:iCs/>
          <w:caps/>
          <w:color w:val="333333"/>
          <w:sz w:val="19"/>
          <w:szCs w:val="19"/>
          <w:lang w:eastAsia="pt-BR"/>
        </w:rPr>
        <w:t>DOS LIMITES E CONDIÇÕES PARA A REALIZAÇÃO DE OPERAÇÕES DE CRÉDITO</w:t>
      </w:r>
    </w:p>
    <w:p w14:paraId="134226E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6º O cumprimento do limite a que se refere o inciso III do art. 167 da Constituição Federal deverá ser comprovado mediante apuração das operações de crédito e das despesas de capital conforme os critérios definidos no art. 32, § 3, da Lei Complementar nº 101, de 4 de maio de 2000.</w:t>
      </w:r>
    </w:p>
    <w:p w14:paraId="6BDAFDD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Para fins do disposto neste artigo, verificar-se-ão, separadamente, o exercício anterior e o exercício corrente, tomando-se por base:</w:t>
      </w:r>
    </w:p>
    <w:p w14:paraId="4B48714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no exercício anterior, as receitas de operações de crédito nele realizadas e as despesas de capital nele executadas; e</w:t>
      </w:r>
    </w:p>
    <w:p w14:paraId="352F754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II - no exercício corrente, as receitas de operação de crédito e as despesas de capital constantes da lei orçamentária.</w:t>
      </w:r>
    </w:p>
    <w:p w14:paraId="78B4257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Não serão computados como despesas de capital, para os fins deste artigo:</w:t>
      </w:r>
    </w:p>
    <w:p w14:paraId="320E81A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o montante referente às despesas realizadas, ou constantes da lei orçamentária, conforme o caso, em cumprimento da devolução a que se refere o art. 33 da Lei Complementar nº 101, de 2000;</w:t>
      </w:r>
    </w:p>
    <w:p w14:paraId="718FBBE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as despesas realizadas e as previstas que representem empréstimo ou financiamento a contribuinte, com o intuito de promover incentivo fiscal, tendo por base tributo de competência do ente da Federação, se resultar a diminuição, direta ou indireta, do ônus deste; e</w:t>
      </w:r>
    </w:p>
    <w:p w14:paraId="3228728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as despesas realizadas e as previstas que representem inversões financeiras na forma de participação acionária em empresas que não sejam controladas, direta ou indiretamente, pelos entes da Federação ou pela União.</w:t>
      </w:r>
    </w:p>
    <w:p w14:paraId="54BE3DD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O empréstimo ou financiamento a que se refere o inciso II do § 2, se concedido por instituição financeira controlada pelo ente da Federação, terá seu valor deduzido das despesas de capital.</w:t>
      </w:r>
    </w:p>
    <w:p w14:paraId="2157660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As operações de antecipação de receitas orçamentárias não serão computadas para os fins deste artigo, desde que liquidadas no mesmo exercício em que forem contratadas.</w:t>
      </w:r>
    </w:p>
    <w:p w14:paraId="30F1FD3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5º Para efeito do disposto neste artigo, entende-se por operação de crédito realizada em um exercício o montante de liberação contratualmente previsto para o mesmo exercício.</w:t>
      </w:r>
    </w:p>
    <w:p w14:paraId="4E8C560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6º Nas operações de crédito com liberação prevista para mais de um exercício financeiro, o limite computado a cada ano levará em consideração apenas a parcela a ser nele liberada.</w:t>
      </w:r>
    </w:p>
    <w:p w14:paraId="78CC96E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7º As operações de crédito interno e externo dos Estados, do Distrito Federal, dos Municípios observarão, ainda, os seguintes limites:</w:t>
      </w:r>
    </w:p>
    <w:p w14:paraId="5BC6897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o montante global das operações realizadas em um exercício financeiro não poderá ser superior a 16% (dezesseis por cento) da receita corrente líquida, definida no art. 4;</w:t>
      </w:r>
    </w:p>
    <w:p w14:paraId="6A93866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o comprometimento anual com amortizações, juros e demais encargos da dívida consolidada, inclusive relativos a valores a desembolsar de operações de crédito já contratadas e a contratar, não poderá exceder a 11,5% (onze inteiros e cinco décimos por cento) da receita corrente líquida;</w:t>
      </w:r>
    </w:p>
    <w:p w14:paraId="3897C26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o montante da dívida consolidada não poderá exceder o teto estabelecido pelo Senado Federal, conforme o disposto pela Resolução que fixa o limite global para o montante da dívida consolidada dos Estados, do Distrito Federal e dos Municípios.</w:t>
      </w:r>
    </w:p>
    <w:p w14:paraId="310AEBD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 limite de que trata o inciso I, para o caso de operações de crédito com liberação prevista para mais de um exercício, será calculado levando em consideração o cronograma anual de ingresso, projetando-se a receita corrente líquida de acordo com os critérios estabelecidos no § 6º deste artigo.</w:t>
      </w:r>
    </w:p>
    <w:p w14:paraId="0B05CCC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O disposto neste artigo não se aplica às operações de concessão de garantias e de antecipação de receita orçamentária, cujos limites são definidos pelos arts. 9º e 10, respectivamente.</w:t>
      </w:r>
    </w:p>
    <w:p w14:paraId="712F9E7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São excluídas dos limites de que trata o </w:t>
      </w:r>
      <w:r w:rsidRPr="00146F8F">
        <w:rPr>
          <w:rFonts w:ascii="Book Antiqua" w:eastAsia="Times New Roman" w:hAnsi="Book Antiqua" w:cs="Arial"/>
          <w:b/>
          <w:bCs/>
          <w:i/>
          <w:iCs/>
          <w:color w:val="333333"/>
          <w:sz w:val="19"/>
          <w:szCs w:val="19"/>
          <w:lang w:eastAsia="pt-BR"/>
        </w:rPr>
        <w:t>caput</w:t>
      </w:r>
      <w:r w:rsidRPr="00146F8F">
        <w:rPr>
          <w:rFonts w:ascii="Book Antiqua" w:eastAsia="Times New Roman" w:hAnsi="Book Antiqua" w:cs="Arial"/>
          <w:color w:val="333333"/>
          <w:sz w:val="19"/>
          <w:szCs w:val="19"/>
          <w:lang w:eastAsia="pt-BR"/>
        </w:rPr>
        <w:t> as seguintes modalidades de operações de crédito: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19, de 2003)</w:t>
      </w:r>
    </w:p>
    <w:p w14:paraId="4ADE143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contratadas pelos Estados e pelos Municípios com a União, organismos multilaterais de crédito ou instituições oficiais federais de crédito ou de fomento, com a finalidade de financiar projetos de investimento para a melhoria da administração das receitas e da gestão fiscal, financeira e patrimonial, no âmbito de programa proposto pelo Poder Executivo Federal;</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19, de 2003)</w:t>
      </w:r>
    </w:p>
    <w:p w14:paraId="44BA609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II - contratadas no âmbito do Programa Nacional de Iluminação Pública Eficiente - Reluz, estabelecido com base na Lei nº 9.991, de 24 de julho de 2000. </w:t>
      </w:r>
      <w:r w:rsidRPr="00146F8F">
        <w:rPr>
          <w:rFonts w:ascii="Book Antiqua" w:eastAsia="Times New Roman" w:hAnsi="Book Antiqua" w:cs="Arial"/>
          <w:i/>
          <w:iCs/>
          <w:color w:val="333333"/>
          <w:sz w:val="19"/>
          <w:szCs w:val="19"/>
          <w:u w:val="single"/>
          <w:lang w:eastAsia="pt-BR"/>
        </w:rPr>
        <w:t>(Incluído pela Resolução n.º 19, de 2003)</w:t>
      </w:r>
    </w:p>
    <w:p w14:paraId="3D1950A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contratadas diretamente com o Banco Nacional de Desenvolvimento Econômico e Social (BNDES), ou com seus agentes financeiros credenciados, no âmbito do programa de empréstimo aos Estados e ao Distrito Federal de que trata o art. 9-N da Resolução nº 2.827, de 30 de março de 2001, do Conselho Monetário Nacional (CMN), e suas alterações. </w:t>
      </w:r>
      <w:r w:rsidRPr="00146F8F">
        <w:rPr>
          <w:rFonts w:ascii="Book Antiqua" w:eastAsia="Times New Roman" w:hAnsi="Book Antiqua" w:cs="Arial"/>
          <w:i/>
          <w:iCs/>
          <w:color w:val="333333"/>
          <w:sz w:val="19"/>
          <w:szCs w:val="19"/>
          <w:u w:val="single"/>
          <w:lang w:eastAsia="pt-BR"/>
        </w:rPr>
        <w:t>(Incluído pela Resolução n.º 29, de 2009)</w:t>
      </w:r>
    </w:p>
    <w:p w14:paraId="0F3927C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destinadas ao financiamento de infraestrutura para a realização da Copa do Mundo FIFA 2014 e dos Jogos Olímpicos e Paraolímpicos de 2016, autorizadas pelo Conselho Monetário Nacional (CMN). </w:t>
      </w:r>
      <w:r w:rsidRPr="00146F8F">
        <w:rPr>
          <w:rFonts w:ascii="Book Antiqua" w:eastAsia="Times New Roman" w:hAnsi="Book Antiqua" w:cs="Arial"/>
          <w:i/>
          <w:iCs/>
          <w:color w:val="333333"/>
          <w:sz w:val="19"/>
          <w:szCs w:val="19"/>
          <w:u w:val="single"/>
          <w:lang w:eastAsia="pt-BR"/>
        </w:rPr>
        <w:t>(Incluído pela Resolução n.º 45, de 2010)</w:t>
      </w:r>
    </w:p>
    <w:p w14:paraId="1DEAA9C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Para efeitos de atendimento ao disposto no inciso II do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o cálculo do comprometimento anual com amortizações e encargos será feito pela média anual da relação entre o comprometimento previsto e a receita corrente líquida projetada ano a ano, considerando-se, alternativamente, o que for mais benéfico: </w:t>
      </w:r>
      <w:r w:rsidRPr="00146F8F">
        <w:rPr>
          <w:rFonts w:ascii="Book Antiqua" w:eastAsia="Times New Roman" w:hAnsi="Book Antiqua" w:cs="Arial"/>
          <w:i/>
          <w:iCs/>
          <w:color w:val="333333"/>
          <w:sz w:val="19"/>
          <w:szCs w:val="19"/>
          <w:u w:val="single"/>
          <w:lang w:eastAsia="pt-BR"/>
        </w:rPr>
        <w:t>(Redação dada pela Resolução n.º 36, de 2009)</w:t>
      </w:r>
    </w:p>
    <w:p w14:paraId="4E807E7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todos os exercícios financeiros em que houver pagamentos previstos da operação pretendida; ou </w:t>
      </w:r>
      <w:r w:rsidRPr="00146F8F">
        <w:rPr>
          <w:rFonts w:ascii="Book Antiqua" w:eastAsia="Times New Roman" w:hAnsi="Book Antiqua" w:cs="Arial"/>
          <w:i/>
          <w:iCs/>
          <w:color w:val="333333"/>
          <w:sz w:val="19"/>
          <w:szCs w:val="19"/>
          <w:u w:val="single"/>
          <w:lang w:eastAsia="pt-BR"/>
        </w:rPr>
        <w:t>(Incluído pela Resolução n.º 36, de 2009)</w:t>
      </w:r>
    </w:p>
    <w:p w14:paraId="327FFA5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os exercícios financeiros em que houver pagamentos até 31 de dezembro de 2027. </w:t>
      </w:r>
      <w:r w:rsidRPr="00146F8F">
        <w:rPr>
          <w:rFonts w:ascii="Book Antiqua" w:eastAsia="Times New Roman" w:hAnsi="Book Antiqua" w:cs="Arial"/>
          <w:i/>
          <w:iCs/>
          <w:color w:val="333333"/>
          <w:sz w:val="19"/>
          <w:szCs w:val="19"/>
          <w:u w:val="single"/>
          <w:lang w:eastAsia="pt-BR"/>
        </w:rPr>
        <w:t>(Incluído pela Resolução n.º 36, de 2009)</w:t>
      </w:r>
    </w:p>
    <w:p w14:paraId="72B3990B" w14:textId="5EE1BA5C"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xml:space="preserve">§ 5º </w:t>
      </w:r>
      <w:r w:rsidRPr="00146F8F">
        <w:rPr>
          <w:rFonts w:ascii="Book Antiqua" w:eastAsia="Times New Roman" w:hAnsi="Book Antiqua" w:cs="Arial"/>
          <w:i/>
          <w:iCs/>
          <w:color w:val="333333"/>
          <w:sz w:val="19"/>
          <w:szCs w:val="19"/>
          <w:u w:val="single"/>
          <w:lang w:eastAsia="pt-BR"/>
        </w:rPr>
        <w:t>(Revogado pela Resolução n.º 45, de 2010)</w:t>
      </w:r>
    </w:p>
    <w:p w14:paraId="6F03391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6º Para os efeitos deste artigo, a receita corrente líquida será projetada mediante a aplicação de fator de atualização a ser divulgado pelo Ministério da Fazenda, sobre a receita corrente líquida do período de 12 (doze) meses findos no mês de referência.</w:t>
      </w:r>
    </w:p>
    <w:p w14:paraId="69B268E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7º O disposto neste artigo não se aplica às operações de reestruturação e recomposição do principal de dívidas.</w:t>
      </w:r>
    </w:p>
    <w:p w14:paraId="7C6EF9E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8º O disposto no inciso II do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não se aplica às operações de crédito que, na data da publicação desta Resolução estejam previstas nos Programas de Ajuste dos Estados, estabelecidos nos termos da Lei nº 9.496, de 11 de setembro de 1997, e, no caso dos Municípios, nos contratos de refinanciamento de suas respectivas dívidas com a União, ou aquelas que, limitadas ao montante global previsto, vierem a substituí-las.</w:t>
      </w:r>
    </w:p>
    <w:p w14:paraId="4876BFA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9º Os projetos de implantação de infraestrutura de que trata o inciso IV do § 3º deste artigo continuarão a gozar de excepcionalidade, em relação aos limites de endividamento, até sua plena execução, ainda que excluídos da matriz de responsabilidade da Copa do Mundo Fifa 2014 e venham a ser financiados por outras fontes alternativas de financiamento, desde que a execução das obras seja iniciada até 30 de junho de 2014. </w:t>
      </w:r>
      <w:r w:rsidRPr="00146F8F">
        <w:rPr>
          <w:rFonts w:ascii="Book Antiqua" w:eastAsia="Times New Roman" w:hAnsi="Book Antiqua" w:cs="Arial"/>
          <w:i/>
          <w:iCs/>
          <w:color w:val="333333"/>
          <w:sz w:val="19"/>
          <w:szCs w:val="19"/>
          <w:u w:val="single"/>
          <w:lang w:eastAsia="pt-BR"/>
        </w:rPr>
        <w:t>(Incluído pela Resolução n.º 10, de 2013)</w:t>
      </w:r>
    </w:p>
    <w:p w14:paraId="0EA4544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8º (Revogado)</w:t>
      </w:r>
    </w:p>
    <w:p w14:paraId="5140CD2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9º O saldo global das garantias concedidas pelos Estados, pelo Distrito Federal e pelos Municípios não poderá exceder a 22% (vinte e dois por cento) da receita corrente líquida, calculada na forma do art. 4.</w:t>
      </w:r>
    </w:p>
    <w:p w14:paraId="3E0B29F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limite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poderá ser elevado para 32% (trinta e dois por cento) da receita corrente líquida, desde que, cumulativamente, quando aplicável, o garantidor:</w:t>
      </w:r>
    </w:p>
    <w:p w14:paraId="4D557F3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não tenha sido chamado a honrar, nos últimos 24 (vinte e quatro) meses, a contar do mês da análise, quaisquer garantias anteriormente prestadas;</w:t>
      </w:r>
    </w:p>
    <w:p w14:paraId="63FE00F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esteja cumprindo o limite da dívida consolidada líquida, definido na Resolução nº 40, de 2001, do Senado Federal;</w:t>
      </w:r>
    </w:p>
    <w:p w14:paraId="22783FC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III - esteja cumprindo os limites de despesa com pessoal previstos na Lei Complementar nº 101, de 2000;</w:t>
      </w:r>
    </w:p>
    <w:p w14:paraId="7A34722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esteja cumprindo o Programa de Ajuste Fiscal acordado com a União, nos termos da Lei nº 9.496, de 1997.(NR)</w:t>
      </w:r>
    </w:p>
    <w:p w14:paraId="490C952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10. O saldo devedor das operações de crédito por antecipação de receita orçamentária não poderá exceder, no exercício em que estiver sendo apurado, a 7% (sete por cento) da receita corrente líquida, definida no art. 4, observado o disposto nos arts. 14 e 15.</w:t>
      </w:r>
    </w:p>
    <w:p w14:paraId="1B44DDA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11. Até 31 de dezembro de 2020, os Estados, o Distrito Federal e os Municípios somente poderão emitir títulos da dívida pública no montante necessário ao refinanciamento do principal devidamente atualizado de suas obrigações, representadas por essa espécie de títulos. </w:t>
      </w:r>
      <w:r w:rsidRPr="00146F8F">
        <w:rPr>
          <w:rFonts w:ascii="Book Antiqua" w:eastAsia="Times New Roman" w:hAnsi="Book Antiqua" w:cs="Arial"/>
          <w:i/>
          <w:iCs/>
          <w:color w:val="333333"/>
          <w:sz w:val="19"/>
          <w:szCs w:val="19"/>
          <w:u w:val="single"/>
          <w:lang w:eastAsia="pt-BR"/>
        </w:rPr>
        <w:t>(Redação dada pela Resolução n.º 29, de 2009)</w:t>
      </w:r>
    </w:p>
    <w:p w14:paraId="3BF7EF8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12. Para efeito do disposto no art. 11 será observado o seguinte:</w:t>
      </w:r>
    </w:p>
    <w:p w14:paraId="31AC6D0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é definido o percentual mínimo de 5% (cinco por cento) para o resgate dos títulos da dívida pública dos Estados, do Distrito Federal e dos Municípios em seu vencimento, refinanciando-se no máximo 95% (noventa e cinco por cento) do montante vincendo;</w:t>
      </w:r>
    </w:p>
    <w:p w14:paraId="3EDE6ED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o Estado, o Distrito Federal ou o Município cujo dispêndio anual, definido no inciso II do art. 7, seja inferior a 11,5% (onze inteiros e cinco décimos por cento) da receita corrente líquida deve promover resgate adicional aos 5% (cinco por cento), estabelecidos no inciso I, em valor suficiente para que o dispêndio anual atinja 11,5% (onze inteiros e cinco décimos por cento) da receita corrente líquida;</w:t>
      </w:r>
    </w:p>
    <w:p w14:paraId="76501AA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em caso excepcional, devidamente justificado, os Estados, o Distrito Federal e os Municípios poderão pleitear ao Senado Federal, por intermédio do Ministério da Fazenda, autorização para o não cumprimento dos limites fixados nos arts. 6º e 7, exclusivamente para fins de refinanciamento de títulos da dívida pública.</w:t>
      </w:r>
    </w:p>
    <w:p w14:paraId="7A1A867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disposto neste artigo não se aplica aos títulos da dívida pública emitidos com vistas a atender à liquidação de precatórios judiciais pendentes de pagamento, objeto do parágrafo único do art. 33 do Ato das Disposições Constitucionais Transitórias.</w:t>
      </w:r>
    </w:p>
    <w:p w14:paraId="66A5D70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13. A dívida mobiliária dos Estados e do Distrito Federal, objeto de refinanciamento ao amparo da Lei nº 9.496, de 1997, e a dos Municípios poderá ser paga em até 360 (trezentas e sessenta) prestações mensais e sucessivas, nos termos dos contratos firmados entre a União e a respectiva unidade federada.</w:t>
      </w:r>
    </w:p>
    <w:p w14:paraId="0337FAB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A obtenção do refinanciamento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para os títulos públicos emitidos para o pagamento de precatórios judiciais é condicionada à comprovação, pelo Estado ou pelo Município emissor, da regularidade da emissão, mediante apresentação de certidão a ser expedida pelo Tribunal de Contas a que esteja jurisdicionado, acompanhada de toda a documentação necessária, comprovando a existência dos precatórios em 5 de outubro de 1988 e seu enquadramento no art. 33 do Ato das Disposições Constitucionais Transitórias, bem como a efetiva utilização dos recursos captados em emissões similares, anteriormente autorizadas pelo Senado Federal, no pagamento dos precatórios definidos pelo citado dispositivo constitucional.</w:t>
      </w:r>
    </w:p>
    <w:p w14:paraId="159B2FE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Os títulos públicos emitidos para pagamento de precatórios judiciais, nos termos do art. 33 do Ato das Disposições Constitucionais Transitórias, e que não cumprirem o disposto no § 1, somente poderão ser refinanciados para pagamento em 120 (cento e vinte) parcelas iguais e sucessivas.</w:t>
      </w:r>
    </w:p>
    <w:p w14:paraId="7D8890F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O refinanciamento de títulos públicos emitidos após 13 de dezembro de 1995, para pagamento de precatórios judiciais, nos termos do art. 33 do Ato das Disposições Constitucionais Transitórias, excluídos os não negociados, têm prazo de refinanciamento limitado a até 120 (cento e vinte) parcelas mensais, iguais e sucessivas, nos termos do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deste artigo, desde que os Estados e os Municípios emissores comprovem que tomaram as providências judiciais cabíveis, visando o ressarcimento dos valores referentes a deságios concedidos e "taxas de sucesso" pagas.</w:t>
      </w:r>
    </w:p>
    <w:p w14:paraId="7B2D8C5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4º Até que haja pronunciamento final da Justiça sobre a validade dos títulos a que se refere o § 3, a União deverá depositar os valores correspondentes aos seus refinanciamentos em depósito judicial vinculado, a partir da data do respectivo vencimento, em nome do Estado ou do Município emissor.(NR)</w:t>
      </w:r>
    </w:p>
    <w:p w14:paraId="1D6D221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14. A operação de crédito por antecipação de receita orçamentária deve cumprir as seguintes condições:</w:t>
      </w:r>
    </w:p>
    <w:p w14:paraId="7EC1D9B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realizar-se somente a partir do décimo dia do início do exercício;</w:t>
      </w:r>
    </w:p>
    <w:p w14:paraId="6DCB44D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ser liquidada, com juros e outros encargos incidentes, até o dia 10 (dez) de dezembro de cada ano;</w:t>
      </w:r>
    </w:p>
    <w:p w14:paraId="2A1D890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não será autorizada se forem cobrados outros encargos que não a taxa de juros da operação, obrigatoriamente prefixada ou indexada à taxa básica financeira, ou à que vier a esta substituir;</w:t>
      </w:r>
    </w:p>
    <w:p w14:paraId="4A1FD5E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será vedada enquanto existir operação anterior da mesma natureza não integralmente resgatada.</w:t>
      </w:r>
    </w:p>
    <w:p w14:paraId="6C114C5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15. É vedada a contratação de operação de crédito nos 120 (cento e vinte) dias anteriores ao final do mandato do Chefe do Poder Executivo do Estado, do Distrito Federal ou do Município. </w:t>
      </w:r>
      <w:r w:rsidRPr="00146F8F">
        <w:rPr>
          <w:rFonts w:ascii="Book Antiqua" w:eastAsia="Times New Roman" w:hAnsi="Book Antiqua" w:cs="Arial"/>
          <w:i/>
          <w:iCs/>
          <w:color w:val="333333"/>
          <w:sz w:val="19"/>
          <w:szCs w:val="19"/>
          <w:u w:val="single"/>
          <w:lang w:eastAsia="pt-BR"/>
        </w:rPr>
        <w:t>(Redação dada pela Resolução n.º 32, de 2006)</w:t>
      </w:r>
    </w:p>
    <w:p w14:paraId="6EAA55C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Excetuam-se da vedação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deste artigo: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40, de 2006)</w:t>
      </w:r>
    </w:p>
    <w:p w14:paraId="17A9D21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o refinanciamento da dívida mobiliária;</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40, de 2006)</w:t>
      </w:r>
    </w:p>
    <w:p w14:paraId="68ECAC1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as operações de crédito autorizadas pelo Senado Federal ou pelo Ministério da Fazenda, em nome do Senado Federal, no âmbito desta Resolução, até 120 (cento e vinte) dias antes do final do mandato do Chefe do Poder Executivo; </w:t>
      </w:r>
      <w:r w:rsidRPr="00146F8F">
        <w:rPr>
          <w:rFonts w:ascii="Book Antiqua" w:eastAsia="Times New Roman" w:hAnsi="Book Antiqua" w:cs="Arial"/>
          <w:i/>
          <w:iCs/>
          <w:color w:val="333333"/>
          <w:sz w:val="19"/>
          <w:szCs w:val="19"/>
          <w:u w:val="single"/>
          <w:lang w:eastAsia="pt-BR"/>
        </w:rPr>
        <w:t>(Incluído pela Resolução n.º 40, de 2006)</w:t>
      </w:r>
    </w:p>
    <w:p w14:paraId="5A93E1D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as operações de crédito destinadas ao financiamento de infraestrutura para a realização da Copa do Mundo FIFA 2014 e dos Jogos Olímpicos e Paraolímpicos de 2016, autorizadas pelo CMN. </w:t>
      </w:r>
      <w:r w:rsidRPr="00146F8F">
        <w:rPr>
          <w:rFonts w:ascii="Book Antiqua" w:eastAsia="Times New Roman" w:hAnsi="Book Antiqua" w:cs="Arial"/>
          <w:i/>
          <w:iCs/>
          <w:color w:val="333333"/>
          <w:sz w:val="19"/>
          <w:szCs w:val="19"/>
          <w:u w:val="single"/>
          <w:lang w:eastAsia="pt-BR"/>
        </w:rPr>
        <w:t>(Incluído pela Resolução n.º 45, de 2010)</w:t>
      </w:r>
    </w:p>
    <w:p w14:paraId="764C31B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No caso de operações por antecipação de receita orçamentária, a contratação é vedada no último ano de exercício do mandato do chefe do Poder Executivo.(NR)</w:t>
      </w:r>
    </w:p>
    <w:p w14:paraId="1992EB6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16. É vedada a contratação de operação de crédito por tomador que esteja inadimplente com instituições integrantes do sistema financeiro nacional, exceto quando a operação de crédito se vincular à regularização do débito contraído junto à própria instituição concedente. </w:t>
      </w:r>
      <w:r w:rsidRPr="00146F8F">
        <w:rPr>
          <w:rFonts w:ascii="Book Antiqua" w:eastAsia="Times New Roman" w:hAnsi="Book Antiqua" w:cs="Arial"/>
          <w:i/>
          <w:iCs/>
          <w:color w:val="333333"/>
          <w:sz w:val="19"/>
          <w:szCs w:val="19"/>
          <w:u w:val="single"/>
          <w:lang w:eastAsia="pt-BR"/>
        </w:rPr>
        <w:t>(Redação dada pela Resolução n.º 19, de 2011)</w:t>
      </w:r>
    </w:p>
    <w:p w14:paraId="345CA03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Para efeito da análise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deste artigo, a verificação da adimplência será efetuada pelo número de registro no Cadastro Nacional da Pessoa Jurídica (CNPJ) que represente a pessoa jurídica do mutuário ou tomador da operação de crédito. </w:t>
      </w:r>
      <w:r w:rsidRPr="00146F8F">
        <w:rPr>
          <w:rFonts w:ascii="Book Antiqua" w:eastAsia="Times New Roman" w:hAnsi="Book Antiqua" w:cs="Arial"/>
          <w:i/>
          <w:iCs/>
          <w:color w:val="333333"/>
          <w:sz w:val="19"/>
          <w:szCs w:val="19"/>
          <w:u w:val="single"/>
          <w:lang w:eastAsia="pt-BR"/>
        </w:rPr>
        <w:t>(Redação dada pela Resolução n.º 10, de 2010)</w:t>
      </w:r>
    </w:p>
    <w:p w14:paraId="607B056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17. É vedada a contratação de operação de crédito em que seja prestada garantia ao Estado, ao Distrito Federal ou ao Município por instituição financeira por ele controlada.</w:t>
      </w:r>
    </w:p>
    <w:p w14:paraId="6A8ABBF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18. A concessão de garantia, pelos Estados, pelo Distrito Federal e pelos Municípios, a operações de crédito interno e externo exigirá:</w:t>
      </w:r>
    </w:p>
    <w:p w14:paraId="675B0A5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o oferecimento de contragarantias, em valor igual ou superior ao da garantia a ser concedida;</w:t>
      </w:r>
    </w:p>
    <w:p w14:paraId="2AA88A3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II - a adimplência do tomador relativamente a suas obrigações para com o garantidor e as entidades por ele controladas.</w:t>
      </w:r>
    </w:p>
    <w:p w14:paraId="1ECC2FD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Consideram-se inadimplentes os tomadores com dívidas vencidas por prazo igual ou superior a 30 (trinta) dias e não renegociadas.</w:t>
      </w:r>
    </w:p>
    <w:p w14:paraId="1A52F66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A comprovação do disposto no inciso II será feita por meio de certidão do Tribunal de Contas a que esteja jurisdicionado o garantidor ou, alternativamente, mediante declaração fornecida pelo Estado, Distrito Federal ou Município que estiver concedendo a garantia, diretamente ou por meio do agente financeiro que estiver operacionalizando a concessão da garantia.</w:t>
      </w:r>
    </w:p>
    <w:p w14:paraId="7BC2F3C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Não será exigida contragarantia de órgãos e entidades que integrem o próprio Estado, o Distrito Federal, ou o Município, conforme definido no art. 2º desta Resolução.</w:t>
      </w:r>
    </w:p>
    <w:p w14:paraId="010FF66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O Estado, o Distrito Federal ou o Município que tiver dívida honrada pela União ou por Estado, em decorrência de garantia prestada em operação de crédito, não poderá contratar novas operações de crédito até a total liquidação da mencionada dívida.</w:t>
      </w:r>
    </w:p>
    <w:p w14:paraId="5C6BF1A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5º Excetua-se da vedação a que se refere o § 4, o refinanciamento da dívida mobiliária.(NR)</w:t>
      </w:r>
    </w:p>
    <w:p w14:paraId="34219A2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19. As leis que autorizem os Estados, o Distrito Federal e os Municípios a emitir títulos da dívida pública deverão conter dispositivos garantindo que:</w:t>
      </w:r>
    </w:p>
    <w:p w14:paraId="0822FE3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a dívida resultante de títulos vencidos e não resgatados será atualizada pelos mesmos critérios de correção e remuneração dos títulos que a geraram;</w:t>
      </w:r>
    </w:p>
    <w:p w14:paraId="417E709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os títulos guardem equivalência com os títulos federais, tenham poder liberatório para fins de pagamento de tributos, e seus prazos de resgate não sejam inferiores a 6 (seis) meses, contados da data de sua emissão.</w:t>
      </w:r>
    </w:p>
    <w:p w14:paraId="2AB26C6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20. Os contratos relativos a operações de crédito externo não podem conter qualquer cláusula:</w:t>
      </w:r>
    </w:p>
    <w:p w14:paraId="19F5AEE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de natureza política;</w:t>
      </w:r>
    </w:p>
    <w:p w14:paraId="01443EB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atentatória à soberania nacional e à ordem pública;</w:t>
      </w:r>
    </w:p>
    <w:p w14:paraId="3227E2E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contrária à Constituição e às leis brasileiras; e</w:t>
      </w:r>
    </w:p>
    <w:p w14:paraId="3F3896A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que implique compensação automática de débitos e créditos.</w:t>
      </w:r>
    </w:p>
    <w:p w14:paraId="78F7743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20-A. Para os consórcios públicos, os limites e as condições para a realização de operações de crédito de que trata este Capítulo deverão ser atendidos individualmente por cada ente da Federação consorciado. </w:t>
      </w:r>
      <w:r w:rsidRPr="00146F8F">
        <w:rPr>
          <w:rFonts w:ascii="Book Antiqua" w:eastAsia="Times New Roman" w:hAnsi="Book Antiqua" w:cs="Arial"/>
          <w:i/>
          <w:iCs/>
          <w:color w:val="333333"/>
          <w:sz w:val="19"/>
          <w:szCs w:val="19"/>
          <w:u w:val="single"/>
          <w:lang w:eastAsia="pt-BR"/>
        </w:rPr>
        <w:t>(Incluído pela Resolução n.º 15, de 2018)</w:t>
      </w:r>
    </w:p>
    <w:p w14:paraId="4833574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Para a avaliação dos limites e das condições individuais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o consórcio público deverá, no momento da proposta de contratação de operação de crédito, eleger uma das seguintes formas de apropriação do valor total da operação entre os consorciados: </w:t>
      </w:r>
      <w:r w:rsidRPr="00146F8F">
        <w:rPr>
          <w:rFonts w:ascii="Book Antiqua" w:eastAsia="Times New Roman" w:hAnsi="Book Antiqua" w:cs="Arial"/>
          <w:i/>
          <w:iCs/>
          <w:color w:val="333333"/>
          <w:sz w:val="19"/>
          <w:szCs w:val="19"/>
          <w:u w:val="single"/>
          <w:lang w:eastAsia="pt-BR"/>
        </w:rPr>
        <w:t>(Incluído pela Resolução n.º 15, de 2018)</w:t>
      </w:r>
    </w:p>
    <w:p w14:paraId="74A7EFD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a quota-parte do ente da Federação no contrato de rateio vigente no momento da contratação da operação de crédito; ou </w:t>
      </w:r>
      <w:r w:rsidRPr="00146F8F">
        <w:rPr>
          <w:rFonts w:ascii="Book Antiqua" w:eastAsia="Times New Roman" w:hAnsi="Book Antiqua" w:cs="Arial"/>
          <w:i/>
          <w:iCs/>
          <w:color w:val="333333"/>
          <w:sz w:val="19"/>
          <w:szCs w:val="19"/>
          <w:u w:val="single"/>
          <w:lang w:eastAsia="pt-BR"/>
        </w:rPr>
        <w:t>(Incluído pela Resolução n.º 15, de 2018)</w:t>
      </w:r>
    </w:p>
    <w:p w14:paraId="69AA16E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 quota de investimentos decorrentes da operação de crédito que o consórcio público planejou para cada ente da Federação consorciado, admitida inclusive a hipótese de que um ou mais consorciados não tenham quota em determinada operação. </w:t>
      </w:r>
      <w:r w:rsidRPr="00146F8F">
        <w:rPr>
          <w:rFonts w:ascii="Book Antiqua" w:eastAsia="Times New Roman" w:hAnsi="Book Antiqua" w:cs="Arial"/>
          <w:i/>
          <w:iCs/>
          <w:color w:val="333333"/>
          <w:sz w:val="19"/>
          <w:szCs w:val="19"/>
          <w:u w:val="single"/>
          <w:lang w:eastAsia="pt-BR"/>
        </w:rPr>
        <w:t>(Incluído pela Resolução n.º 15, de 2018)</w:t>
      </w:r>
    </w:p>
    <w:p w14:paraId="3D3C79B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2º Quando a operação de crédito exigir garantias e contragarantias para sua realização, ambas deverão ser oferecidas pelos entes da Federação consorciados de forma proporcional à apropriação do valor total da operação definida nos termos do § 1º. </w:t>
      </w:r>
      <w:r w:rsidRPr="00146F8F">
        <w:rPr>
          <w:rFonts w:ascii="Book Antiqua" w:eastAsia="Times New Roman" w:hAnsi="Book Antiqua" w:cs="Arial"/>
          <w:i/>
          <w:iCs/>
          <w:color w:val="333333"/>
          <w:sz w:val="19"/>
          <w:szCs w:val="19"/>
          <w:u w:val="single"/>
          <w:lang w:eastAsia="pt-BR"/>
        </w:rPr>
        <w:t>(Incluído pela Resolução n.º 15, de 2018)</w:t>
      </w:r>
    </w:p>
    <w:p w14:paraId="5415983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20-B. A alteração do contrato de consórcio público, com a retirada ou a exclusão de um ou mais entes da Federação, implica: </w:t>
      </w:r>
      <w:r w:rsidRPr="00146F8F">
        <w:rPr>
          <w:rFonts w:ascii="Book Antiqua" w:eastAsia="Times New Roman" w:hAnsi="Book Antiqua" w:cs="Arial"/>
          <w:i/>
          <w:iCs/>
          <w:color w:val="333333"/>
          <w:sz w:val="19"/>
          <w:szCs w:val="19"/>
          <w:u w:val="single"/>
          <w:lang w:eastAsia="pt-BR"/>
        </w:rPr>
        <w:t>(Incluído pela Resolução n.º 15, de 2018)</w:t>
      </w:r>
    </w:p>
    <w:p w14:paraId="5B7CC40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no caso da exclusão de ente da Federação do consórcio público prevista no § 5º do art. 8º da Lei nº 11.107, de 6 de abril de 2005, a execução imediata de garantias e contragarantias daquele ente da Federação, com proporcional redução das obrigações do consórcio junto ao credor; </w:t>
      </w:r>
      <w:r w:rsidRPr="00146F8F">
        <w:rPr>
          <w:rFonts w:ascii="Book Antiqua" w:eastAsia="Times New Roman" w:hAnsi="Book Antiqua" w:cs="Arial"/>
          <w:i/>
          <w:iCs/>
          <w:color w:val="333333"/>
          <w:sz w:val="19"/>
          <w:szCs w:val="19"/>
          <w:u w:val="single"/>
          <w:lang w:eastAsia="pt-BR"/>
        </w:rPr>
        <w:t>(Incluído pela Resolução n.º 15, de 2018)</w:t>
      </w:r>
    </w:p>
    <w:p w14:paraId="5C782E4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no caso da retirada do ente da Federação do consórcio público prevista no art. 11 da Lei nº 11.107, de 6 de abril de 2005, a manutenção das obrigações decorrentes da operação de crédito, devendo o ente da Federação optar, no ato de sua saída, pela: </w:t>
      </w:r>
      <w:r w:rsidRPr="00146F8F">
        <w:rPr>
          <w:rFonts w:ascii="Book Antiqua" w:eastAsia="Times New Roman" w:hAnsi="Book Antiqua" w:cs="Arial"/>
          <w:i/>
          <w:iCs/>
          <w:color w:val="333333"/>
          <w:sz w:val="19"/>
          <w:szCs w:val="19"/>
          <w:u w:val="single"/>
          <w:lang w:eastAsia="pt-BR"/>
        </w:rPr>
        <w:t>(Incluído pela Resolução n.º 15, de 2018)</w:t>
      </w:r>
    </w:p>
    <w:p w14:paraId="09946AC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a) manutenção dos respectivos pagamentos ao consórcio; ou </w:t>
      </w:r>
      <w:r w:rsidRPr="00146F8F">
        <w:rPr>
          <w:rFonts w:ascii="Book Antiqua" w:eastAsia="Times New Roman" w:hAnsi="Book Antiqua" w:cs="Arial"/>
          <w:i/>
          <w:iCs/>
          <w:color w:val="333333"/>
          <w:sz w:val="19"/>
          <w:szCs w:val="19"/>
          <w:u w:val="single"/>
          <w:lang w:eastAsia="pt-BR"/>
        </w:rPr>
        <w:t>(Incluído pela Resolução n.º 15, de 2018)</w:t>
      </w:r>
    </w:p>
    <w:p w14:paraId="1DD1405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b) execução das garantias e das contragarantias com proporcional redução das obrigações do consórcio junto ao credor. </w:t>
      </w:r>
      <w:r w:rsidRPr="00146F8F">
        <w:rPr>
          <w:rFonts w:ascii="Book Antiqua" w:eastAsia="Times New Roman" w:hAnsi="Book Antiqua" w:cs="Arial"/>
          <w:i/>
          <w:iCs/>
          <w:color w:val="333333"/>
          <w:sz w:val="19"/>
          <w:szCs w:val="19"/>
          <w:u w:val="single"/>
          <w:lang w:eastAsia="pt-BR"/>
        </w:rPr>
        <w:t>(Incluído pela Resolução n.º 15, de 2018)</w:t>
      </w:r>
    </w:p>
    <w:p w14:paraId="7F9E209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A retirada ou a exclusão de ente da Federação do consórcio público deverá ser comunicada ao ofertante de garantias e contragarantias e ao credor em até 5 (cinco) dias úteis após o ato formal que oficialize a alteração do contrato de consórcio público. </w:t>
      </w:r>
      <w:r w:rsidRPr="00146F8F">
        <w:rPr>
          <w:rFonts w:ascii="Book Antiqua" w:eastAsia="Times New Roman" w:hAnsi="Book Antiqua" w:cs="Arial"/>
          <w:i/>
          <w:iCs/>
          <w:color w:val="333333"/>
          <w:sz w:val="19"/>
          <w:szCs w:val="19"/>
          <w:u w:val="single"/>
          <w:lang w:eastAsia="pt-BR"/>
        </w:rPr>
        <w:t>(Incluído pela Resolução n.º 15, de 2018)</w:t>
      </w:r>
    </w:p>
    <w:p w14:paraId="705562F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Os entes consorciados, isolados ou em conjunto, bem como o consórcio público, são partes legítimas para realizar as comunicações a que se refere o § 1º. </w:t>
      </w:r>
      <w:r w:rsidRPr="00146F8F">
        <w:rPr>
          <w:rFonts w:ascii="Book Antiqua" w:eastAsia="Times New Roman" w:hAnsi="Book Antiqua" w:cs="Arial"/>
          <w:i/>
          <w:iCs/>
          <w:color w:val="333333"/>
          <w:sz w:val="19"/>
          <w:szCs w:val="19"/>
          <w:u w:val="single"/>
          <w:lang w:eastAsia="pt-BR"/>
        </w:rPr>
        <w:t>(Incluído pela Resolução n.º 15, de 2018)</w:t>
      </w:r>
    </w:p>
    <w:p w14:paraId="16C3D38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Caso ente da Federação se retire do consórcio público e fique inadimplente com os pagamentos previstos na alínea "a" do inciso II do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executar-se-ão as garantias e as contragarantias imediatamente. </w:t>
      </w:r>
      <w:r w:rsidRPr="00146F8F">
        <w:rPr>
          <w:rFonts w:ascii="Book Antiqua" w:eastAsia="Times New Roman" w:hAnsi="Book Antiqua" w:cs="Arial"/>
          <w:i/>
          <w:iCs/>
          <w:color w:val="333333"/>
          <w:sz w:val="19"/>
          <w:szCs w:val="19"/>
          <w:u w:val="single"/>
          <w:lang w:eastAsia="pt-BR"/>
        </w:rPr>
        <w:t>(Incluído pela Resolução n.º 15, de 2018)</w:t>
      </w:r>
    </w:p>
    <w:p w14:paraId="7197153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Mediante previsão do contrato de consórcio público, a suspensão de ente da Federação do consórcio público prevista no § 5º do art. 8º da Lei nº 11.107, de 6 de abril de 2005, poderá ser equiparada à retirada do ente para a manutenção das obrigações a que se refere o inciso II do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deste artigo. </w:t>
      </w:r>
      <w:r w:rsidRPr="00146F8F">
        <w:rPr>
          <w:rFonts w:ascii="Book Antiqua" w:eastAsia="Times New Roman" w:hAnsi="Book Antiqua" w:cs="Arial"/>
          <w:i/>
          <w:iCs/>
          <w:color w:val="333333"/>
          <w:sz w:val="19"/>
          <w:szCs w:val="19"/>
          <w:u w:val="single"/>
          <w:lang w:eastAsia="pt-BR"/>
        </w:rPr>
        <w:t>(Incluído pela Resolução n.º 15, de 2018)</w:t>
      </w:r>
    </w:p>
    <w:p w14:paraId="4C15049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20-C. A extinção do contrato de consórcio público não altera as responsabilidades financeiras, os limites a que se refere o art. 6º ou as garantias e as contragarantias oferecidas em decorrência de operação de crédito contratada na vigência do contrato de consórcio público. </w:t>
      </w:r>
      <w:r w:rsidRPr="00146F8F">
        <w:rPr>
          <w:rFonts w:ascii="Book Antiqua" w:eastAsia="Times New Roman" w:hAnsi="Book Antiqua" w:cs="Arial"/>
          <w:i/>
          <w:iCs/>
          <w:color w:val="333333"/>
          <w:sz w:val="19"/>
          <w:szCs w:val="19"/>
          <w:u w:val="single"/>
          <w:lang w:eastAsia="pt-BR"/>
        </w:rPr>
        <w:t>(Incluído pela Resolução n.º 15, de 2018)</w:t>
      </w:r>
    </w:p>
    <w:p w14:paraId="5D5EF92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Até que haja decisão que indique os responsáveis por cada obrigação, os entes consorciados responderão solidariamente pelas obrigações remanescentes, garantido o direito de regresso em face dos entes que tenham se apropriado de investimentos decorrentes de operação de crédito de forma superior ao ônus assumido até o momento da extinção do contrato de consórcio público. </w:t>
      </w:r>
      <w:r w:rsidRPr="00146F8F">
        <w:rPr>
          <w:rFonts w:ascii="Book Antiqua" w:eastAsia="Times New Roman" w:hAnsi="Book Antiqua" w:cs="Arial"/>
          <w:i/>
          <w:iCs/>
          <w:color w:val="333333"/>
          <w:sz w:val="19"/>
          <w:szCs w:val="19"/>
          <w:u w:val="single"/>
          <w:lang w:eastAsia="pt-BR"/>
        </w:rPr>
        <w:t>(Incluído pela Resolução n.º 15, de 2018)</w:t>
      </w:r>
    </w:p>
    <w:p w14:paraId="1F88A875"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CAPÍTULO IV</w:t>
      </w:r>
    </w:p>
    <w:p w14:paraId="58B343D4"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i/>
          <w:iCs/>
          <w:caps/>
          <w:color w:val="333333"/>
          <w:sz w:val="19"/>
          <w:szCs w:val="19"/>
          <w:lang w:eastAsia="pt-BR"/>
        </w:rPr>
        <w:t>DOS PLEITOS PARA A REALIZAÇÃO DE OPERAÇÕES DE CRÉDITO</w:t>
      </w:r>
    </w:p>
    <w:p w14:paraId="167D682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21. Os Estados, o Distrito Federal e os Municípios encaminharão ao Ministério da Fazenda os pedidos de verificação de limites e condições para a realização das operações de crédito de que trata esta Resolução, com a proposta do financiamento ou empréstimo e instruídos com: </w:t>
      </w:r>
      <w:r w:rsidRPr="00146F8F">
        <w:rPr>
          <w:rFonts w:ascii="Book Antiqua" w:eastAsia="Times New Roman" w:hAnsi="Book Antiqua" w:cs="Arial"/>
          <w:i/>
          <w:iCs/>
          <w:color w:val="333333"/>
          <w:sz w:val="19"/>
          <w:szCs w:val="19"/>
          <w:u w:val="single"/>
          <w:lang w:eastAsia="pt-BR"/>
        </w:rPr>
        <w:t>(Redação dada pela Resolução n.º 10, de 2010)</w:t>
      </w:r>
    </w:p>
    <w:p w14:paraId="6412072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I - pedido do chefe do Poder Executivo, acompanhado de pareceres técnicos e jurídicos, demonstrando a relação custo-benefício, o interesse econômico e social da operação e o cumprimento dos limites e condições estabelecidos por esta Resolução;</w:t>
      </w:r>
    </w:p>
    <w:p w14:paraId="22A9FCC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autorização legislativa para a realização da operação;</w:t>
      </w:r>
    </w:p>
    <w:p w14:paraId="13A0B38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declaração do Chefe do Poder Executivo, na forma exigida pelo Ministério da Fazenda, atestando a inclusão no orçamento vigente dos recursos provenientes da operação pleiteada, exceto no caso de operações por antecipação de receita orçamentária, ou, no caso em que o primeiro desembolso não se realize no ano da análise, declaração de inclusão no Projeto de Lei Orçamentária Anual (PLOA) do exercício subsequente, e desde que a autorização legislativa de que trata o inciso II tenha sido efetivada por meio de lei específica; </w:t>
      </w:r>
      <w:r w:rsidRPr="00146F8F">
        <w:rPr>
          <w:rFonts w:ascii="Book Antiqua" w:eastAsia="Times New Roman" w:hAnsi="Book Antiqua" w:cs="Arial"/>
          <w:i/>
          <w:iCs/>
          <w:color w:val="333333"/>
          <w:sz w:val="19"/>
          <w:szCs w:val="19"/>
          <w:u w:val="single"/>
          <w:lang w:eastAsia="pt-BR"/>
        </w:rPr>
        <w:t>(Redação dada pela Resolução n.º 19, de 2011)</w:t>
      </w:r>
    </w:p>
    <w:p w14:paraId="1713C49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certidão expedida pelo Tribunal de Contas competente atestando:</w:t>
      </w:r>
    </w:p>
    <w:p w14:paraId="6C69B57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a) em relação às contas do último exercício analisado, o cumprimento do disposto no § 2º do art. 12; no art. 23; no art. 33; no art. 37; no art. 52; no § 2º do art. 55; e no art. 70, todos da Lei Complementar nº 101, de 2000;</w:t>
      </w:r>
    </w:p>
    <w:p w14:paraId="2E6268B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b) em relação às contas dos exercícios ainda não analisados, e, quando pertinente, do exercício em curso, o cumprimento das exigências estabelecidas no § 2º do art. 12; no art. 23; no art. 52; no § 2º do art. 55; e no art. 70, todos da Lei Complementar nº 101, de 2000, de acordo com as informações constantes nos relatórios resumidos da execução orçamentária e nos de gestão fiscal;</w:t>
      </w:r>
    </w:p>
    <w:p w14:paraId="10575AC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c) a certidão deverá ser acompanhada de declaração do chefe do Poder Executivo de que as contas ainda não analisadas estão em conformidade com o disposto na alínea a;</w:t>
      </w:r>
    </w:p>
    <w:p w14:paraId="0242E75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 - declaração do chefe do Poder Executivo atestando o atendimento do inciso III do art. 5;</w:t>
      </w:r>
    </w:p>
    <w:p w14:paraId="5BB1433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VI - comprovação da Secretaria do Tesouro Nacional quanto ao adimplemento com a União relativo aos financiamentos e refinanciamentos por ela concedidos, bem como às garantias a operações de crédito, que tenham sido, eventualmente, honradas;</w:t>
      </w:r>
    </w:p>
    <w:p w14:paraId="3A6CED6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VII - no caso específico de operações de Municípios com garantia de Estados, certidão emitida pela Secretaria responsável pela administração financeira do garantidor, que ateste a adimplência do tomador do crédito perante o Estado e as entidades por ele controladas, bem como a inexistência de débito decorrente de garantia a operação de crédito que tenha sido, eventualmente, honrada;</w:t>
      </w:r>
    </w:p>
    <w:p w14:paraId="7FDB5C8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VIII - certidões que atestem a regularidade junto ao Programa de Integração Social (PIS), ao Programa de Formação do Patrimônio do Servidor Público (Pasep), ao Fundo de Investimento Social (Finsocial), à Contribuição Social para o Financiamento da Seguridade Social (Cofins), ao Instituto Nacional do Seguro Social (INSS) e ao Fundo de Garantia do Tempo de Serviço (FGTS) e, quando couber, na forma regulamentada pelo Ministério da Previdência e Assistência Social, o cumprimento da Lei nº 9.717, de 27 de novembro de 1998.</w:t>
      </w:r>
    </w:p>
    <w:p w14:paraId="1D79B36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IX - cronogramas de dispêndio com as dívidas interna e externa e com a operação a ser realizada;</w:t>
      </w:r>
    </w:p>
    <w:p w14:paraId="60E398A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X - relação de todas as dívidas, com seus valores atualizados, inclusive daqueles vencidos e não pagos, assinada pelo chefe do Poder Executivo e pelo Secretário de Governo responsável pela administração financeira;</w:t>
      </w:r>
    </w:p>
    <w:p w14:paraId="45B4E29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XI - Relatórios Resumidos da Execução Orçamentária (RREO), assinados pelo Chefe do Poder Executivo e pelo Secretário de Governo responsável pela administração financeira, para fins de cálculo dos limites de que trata esta Resolução;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10, de 2010)</w:t>
      </w:r>
    </w:p>
    <w:p w14:paraId="4764CC1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XII - comprovação do encaminhamento das contas ao Poder Executivo da União, para fins da consolidação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do art. 51 da Lei Complementar nº 101, de 2000;</w:t>
      </w:r>
    </w:p>
    <w:p w14:paraId="00F73C8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XIII - comprovação das publicações a que se referem os arts. 52 e 55, § 2, da Lei Complementar nº 101, de 2000;</w:t>
      </w:r>
    </w:p>
    <w:p w14:paraId="186A3EB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XIV - Quadro demonstrativo da Receita e Despesa, segundo as Categorias Econômicas, integrante da lei de orçamento do exercício em curso, conforme inciso II do § 1º do art. 2º da Lei nº 4.320, de 17 de março de 1964, para fins de apuração do limite de que trata o art. 6º;</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10, de 2010)</w:t>
      </w:r>
    </w:p>
    <w:p w14:paraId="3EF4ED6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XV - cronograma estimativo de liberações das operações de crédito contratadas e a contratar;</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10, de 2010)</w:t>
      </w:r>
    </w:p>
    <w:p w14:paraId="554459D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XVI - cronograma estimativo de desembolso e reembolso da operação a ser contratada. </w:t>
      </w:r>
      <w:r w:rsidRPr="00146F8F">
        <w:rPr>
          <w:rFonts w:ascii="Book Antiqua" w:eastAsia="Times New Roman" w:hAnsi="Book Antiqua" w:cs="Arial"/>
          <w:i/>
          <w:iCs/>
          <w:color w:val="333333"/>
          <w:sz w:val="19"/>
          <w:szCs w:val="19"/>
          <w:u w:val="single"/>
          <w:lang w:eastAsia="pt-BR"/>
        </w:rPr>
        <w:t>(Incluído pela Resolução n.º 10, de 2010)</w:t>
      </w:r>
    </w:p>
    <w:p w14:paraId="3A385E2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 disposto neste artigo não se aplica às operações de antecipação de receita orçamentária, que serão reguladas pelo art. 22.</w:t>
      </w:r>
    </w:p>
    <w:p w14:paraId="1F8018F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Dispensa-se a exigência de apresentação de documento especificado no inciso VIII, quando a operação de crédito se vincular à regularização do referido débito.</w:t>
      </w:r>
    </w:p>
    <w:p w14:paraId="1049A02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Os processos relativos às operações de crédito ao amparo das Resoluções nº 47, de 2000, e nº 17, de 2001, ambas do Senado Federal, serão instruídas apenas com os documentos especificados nos incisos II, III, IV e XIII.</w:t>
      </w:r>
    </w:p>
    <w:p w14:paraId="7392DB4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A apresentação dos documentos especificados nos incisos IX, X e XI poderá ser dispensada, a critério do Ministério da Fazenda, desde que o órgão já disponha das informações contidas naqueles documentos em seus bancos de dados.(NR)</w:t>
      </w:r>
    </w:p>
    <w:p w14:paraId="5F7DD45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5º As certidões exigidas no inciso VIII devem referir-se ao número de registro no Cadastro Nacional da Pessoa Jurídica (CNPJ) que represente a pessoa jurídica do mutuário ou tomador da operação de crédito.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10, de 2010)</w:t>
      </w:r>
    </w:p>
    <w:p w14:paraId="79477B0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6º As operações equiparadas a operações de crédito nos termos do art. 29, § 1º, da Lei Complementar nº 101, de 2000, realizadas mediante reconhecimento ou confissão de dívidas perante instituição não financeira, bem como a assunção de obrigações decorrentes de sucessão de entidade extinta ou liquidada, com instituição financeira ou não financeira, desde que tenham sido autorizadas por lei específica, não se sujeitam ao processo de verificação de limites e condições de que trata esta Resolução. </w:t>
      </w:r>
      <w:r w:rsidRPr="00146F8F">
        <w:rPr>
          <w:rFonts w:ascii="Book Antiqua" w:eastAsia="Times New Roman" w:hAnsi="Book Antiqua" w:cs="Arial"/>
          <w:i/>
          <w:iCs/>
          <w:color w:val="333333"/>
          <w:sz w:val="19"/>
          <w:szCs w:val="19"/>
          <w:u w:val="single"/>
          <w:lang w:eastAsia="pt-BR"/>
        </w:rPr>
        <w:t>(Incluído pela Resolução n.º 10, de 2010)</w:t>
      </w:r>
    </w:p>
    <w:p w14:paraId="46476D3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22. Os pedidos de autorização para a contratação de operações de crédito por antecipação de receita orçamentária pelos Estados, pelo Distrito Federal e pelos Municípios serão instruídos com:</w:t>
      </w:r>
    </w:p>
    <w:p w14:paraId="3D35E7A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documentação prevista nos incisos I, II, IV a VIII e XI a XIII do art. 21;</w:t>
      </w:r>
    </w:p>
    <w:p w14:paraId="58055B4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solicitação da instituição financeira que tenha apresentado, ao Estado, ao Distrito Federal ou ao Município, proposta firme de operação de crédito, contendo cronograma de reembolso, montante, prazo, juros e garantias; e</w:t>
      </w:r>
    </w:p>
    <w:p w14:paraId="608C33B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documento, assinado pelo chefe do Poder Executivo, discriminando as condições da operação proposta pela instituição financeira e contendo declaração de concordância com as mesmas.</w:t>
      </w:r>
    </w:p>
    <w:p w14:paraId="7DA9142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23. Os pedidos de autorização para a realização de operações de crédito interno ou externo de interesse dos Estados, do Distrito Federal e dos Municípios, que envolvam aval ou garantia da União deverão conter:</w:t>
      </w:r>
    </w:p>
    <w:p w14:paraId="5A75FA3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exposição de motivos do Ministro da Fazenda, da qual conste a classificação da situação financeira do pleiteante, em conformidade com a norma do Ministério da Fazenda que dispõe sobre a capacidade de pagamento dos Estados, do Distrito Federal e dos Municípios;</w:t>
      </w:r>
    </w:p>
    <w:p w14:paraId="7B0E2F0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II - pareceres da Procuradoria-Geral da Fazenda Nacional e da Secretaria do Tesouro Nacional, do Ministério da Fazenda, em conformidade com os procedimentos estabelecidos pela legislação que regula a matéria;</w:t>
      </w:r>
    </w:p>
    <w:p w14:paraId="6A2E3DA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documentação de que trata o art. 21; e</w:t>
      </w:r>
    </w:p>
    <w:p w14:paraId="0B015A6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No caso de operações de crédito destinadas ao financiamento de etapas complementares ou subseqüentes dos respectivos projetos, o pleiteante deverá apresentar ao Senado Federal o demonstrativo físico-financeiro dos desembolsos ocorridos, comparando-o com o cumprimento das metas apresentadas ao Senado Federal por ocasião da solicitação do financiamento do projeto.</w:t>
      </w:r>
    </w:p>
    <w:p w14:paraId="4DF54C7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No caso de operações de crédito externas, a documentação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deverá ser encaminhada ao Senado Federal por meio de mensagem do Presidente da República. </w:t>
      </w:r>
      <w:r w:rsidRPr="00146F8F">
        <w:rPr>
          <w:rFonts w:ascii="Book Antiqua" w:eastAsia="Times New Roman" w:hAnsi="Book Antiqua" w:cs="Arial"/>
          <w:i/>
          <w:iCs/>
          <w:color w:val="333333"/>
          <w:sz w:val="19"/>
          <w:szCs w:val="19"/>
          <w:u w:val="single"/>
          <w:lang w:eastAsia="pt-BR"/>
        </w:rPr>
        <w:t>(Renumerado do parágrafo único pela Resolução n.º 5, de 2014)</w:t>
      </w:r>
    </w:p>
    <w:p w14:paraId="5682B25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Integrarão o processado dos pedidos de autorização de que tratam este artigo e os arts. 22 e 29 desta Resolução, e ficarão à disposição dos integrantes das Comissões envolvidas na sua apreciação na respectiva Secretaria e em meio eletrônico, todos os documentos integrantes do processo de apreciação e emissão de parecer por parte do Poder Executivo, inclusive todos os pareceres e relatórios técnicos que embasaram as manifestações finais dos diferentes órgãos intervenientes. </w:t>
      </w:r>
      <w:r w:rsidRPr="00146F8F">
        <w:rPr>
          <w:rFonts w:ascii="Book Antiqua" w:eastAsia="Times New Roman" w:hAnsi="Book Antiqua" w:cs="Arial"/>
          <w:i/>
          <w:iCs/>
          <w:color w:val="333333"/>
          <w:sz w:val="19"/>
          <w:szCs w:val="19"/>
          <w:u w:val="single"/>
          <w:lang w:eastAsia="pt-BR"/>
        </w:rPr>
        <w:t>(Incluído pela Resolução n.º 5, de 2014)</w:t>
      </w:r>
    </w:p>
    <w:p w14:paraId="2935CAD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24. A constatação de irregularidades na instrução de processos de verificação de limites e condições regidos por esta Resolução, no âmbito do Ministério da Fazenda, e a constatação de irregularidades na instrução de processos de autorização regidos por esta Resolução, no âmbito do Senado Federal, implicará a devolução do pleito à origem, sem prejuízo das eventuais cominações legais aos infratores. </w:t>
      </w:r>
      <w:r w:rsidRPr="00146F8F">
        <w:rPr>
          <w:rFonts w:ascii="Book Antiqua" w:eastAsia="Times New Roman" w:hAnsi="Book Antiqua" w:cs="Arial"/>
          <w:i/>
          <w:iCs/>
          <w:color w:val="333333"/>
          <w:sz w:val="19"/>
          <w:szCs w:val="19"/>
          <w:u w:val="single"/>
          <w:lang w:eastAsia="pt-BR"/>
        </w:rPr>
        <w:t>(Redação dada pela Resolução n.º 19, de 2011) (Vide art. 3º da Resolução n.º 19, de 2003)</w:t>
      </w:r>
    </w:p>
    <w:p w14:paraId="0FB345C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A devolução de que trata este artigo deverá ser comunicada ao Poder Legislativo local e ao Tribunal de Contas a que estiver jurisdicionado o pleiteante.</w:t>
      </w:r>
    </w:p>
    <w:p w14:paraId="6B892C4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Caso a irregularidade seja constatada pelo Ministério da Fazenda, este deverá informar, também, ao Senado Federal.</w:t>
      </w:r>
    </w:p>
    <w:p w14:paraId="0873733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A Comissão de Assuntos Econômicos ou o Plenário do Senado Federal poderão realizar diligências junto aos pleiteantes, no sentido de dirimir dúvidas e obter esclarecimentos.</w:t>
      </w:r>
    </w:p>
    <w:p w14:paraId="59B8F9D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Em se constatando a existência de operação de crédito nos termos do disposto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contratada junto a instituição financeira ou não financeira dentro dos limites e condições estabelecidos por esta Resolução, pelo Ministério da Fazenda, a realização de nova operação de crédito pelo Estado, pelo Distrito Federal ou pelo Município é condicionada à regularização da operação. </w:t>
      </w:r>
      <w:r w:rsidRPr="00146F8F">
        <w:rPr>
          <w:rFonts w:ascii="Book Antiqua" w:eastAsia="Times New Roman" w:hAnsi="Book Antiqua" w:cs="Arial"/>
          <w:i/>
          <w:iCs/>
          <w:color w:val="333333"/>
          <w:sz w:val="19"/>
          <w:szCs w:val="19"/>
          <w:u w:val="single"/>
          <w:lang w:eastAsia="pt-BR"/>
        </w:rPr>
        <w:t>(Redação dada pela Resolução n.º 19, de 2011)</w:t>
      </w:r>
    </w:p>
    <w:p w14:paraId="28556F9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5º A solicitação da regularização a que se refere o § 4º deve ser encaminhada ao Ministério da Fazenda, aplicando-se nesse caso as mesmas exigências feitas por esta Resolução aos pleitos regulares.</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19, de 2003)</w:t>
      </w:r>
    </w:p>
    <w:p w14:paraId="70A5EBE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6º A verificação dos limites e condições das operações em processo de regularização a que se refere o § 4º terá como data de referência aquela em que for protocolado o pedido de regularização.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19, de 2003)</w:t>
      </w:r>
    </w:p>
    <w:p w14:paraId="28591CF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7º A conclusão do processo de regularização de que tratam os §§ 4º e 6º será encaminhada pelo Ministério da Fazenda ao Poder Legislativo local e ao Tribunal de Contas a que estiver jurisdicionado o pleiteante. </w:t>
      </w:r>
      <w:r w:rsidRPr="00146F8F">
        <w:rPr>
          <w:rFonts w:ascii="Book Antiqua" w:eastAsia="Times New Roman" w:hAnsi="Book Antiqua" w:cs="Arial"/>
          <w:i/>
          <w:iCs/>
          <w:color w:val="333333"/>
          <w:sz w:val="19"/>
          <w:szCs w:val="19"/>
          <w:u w:val="single"/>
          <w:lang w:eastAsia="pt-BR"/>
        </w:rPr>
        <w:t>(Incluído pela Resolução n.º 19, de 2003)</w:t>
      </w:r>
    </w:p>
    <w:p w14:paraId="7DBA2F2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25. O encaminhamento dos pleitos pelo Ministério da Fazenda ao Senado Federal deve ser feito no prazo máximo de 30 (trinta) dias úteis, contado do recebimento da documentação completa exigida por esta Resolução.</w:t>
      </w:r>
    </w:p>
    <w:p w14:paraId="6AAF3D0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Caso o Ministério da Fazenda constate que a documentação recebida não é suficiente para sua análise, solicitará a complementação dos documentos e informações, fluindo igual prazo a partir do cumprimento das exigências.</w:t>
      </w:r>
    </w:p>
    <w:p w14:paraId="5FC47A2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2º Não atendidas as exigências no prazo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deste artigo, o pleito deverá ser indeferido.</w:t>
      </w:r>
    </w:p>
    <w:p w14:paraId="0F8DF5E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26. Os Estados, o Distrito Federal, os Municípios, caso tenham dívidas referentes a operações de crédito ou parcelamento de débitos relativos às contribuições sociais de que tratam os arts. 195 e 239 da Constituição Federal e ao Fundo de Garantia do Tempo de Serviço - FGTS, deverão remeter, quando solicitado, ao Ministério da Fazenda:</w:t>
      </w:r>
    </w:p>
    <w:p w14:paraId="541F049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informações sobre o montante das dívidas flutuante e consolidada, interna e externa;</w:t>
      </w:r>
    </w:p>
    <w:p w14:paraId="4501049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cronogramas de pagamento de amortizações, juros e demais encargos das referidas dívidas, inclusive os parcelamentos de débitos relativos às contribuições sociais de que tratam os arts. 195 e 239 da Constituição Federal e ao Fundo de Garantia do Tempo de Serviço - FGTS, com especificação das parcelas vencidas e não pagas; e</w:t>
      </w:r>
    </w:p>
    <w:p w14:paraId="531A74A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balancetes mensais e síntese da execução orçamentária.</w:t>
      </w:r>
    </w:p>
    <w:p w14:paraId="38FA8D1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descumprimento do disposto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implicará a paralisação da análise de novos pleitos da espécie pelo Ministério da Fazenda.</w:t>
      </w:r>
    </w:p>
    <w:p w14:paraId="7F03F52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27. Os Estados, o Distrito Federal e os Municípios deverão encaminhar ao Ministério da Fazenda, na forma e periodicidade a ser definida em instrução específica daquele Órgão, as informações necessárias para o acompanhamento das operações de crédito aprovadas nos termos desta Resolução e para a constituição do registro eletrônico centralizado e atualizado das dívidas públicas interna e externa, conforme previsto nos arts. 31 e 32 da Lei Complementar nº 101, de 2000.</w:t>
      </w:r>
    </w:p>
    <w:p w14:paraId="55E01F9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descumprimento do disposto neste artigo implicará a paralisação da análise de novos pleitos da espécie pelo Ministério da Fazenda.</w:t>
      </w:r>
    </w:p>
    <w:p w14:paraId="122A03C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28. São sujeitas a autorização específica do Senado Federal, as seguintes modalidades de operações:</w:t>
      </w:r>
    </w:p>
    <w:p w14:paraId="70DFF48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de crédito externo;</w:t>
      </w:r>
    </w:p>
    <w:p w14:paraId="5AB40BC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decorrentes de convênios para aquisição de bens e serviços no exterior;</w:t>
      </w:r>
    </w:p>
    <w:p w14:paraId="4835729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de emissão de títulos da dívida pública;</w:t>
      </w:r>
    </w:p>
    <w:p w14:paraId="4579F0C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de emissão de debêntures ou assunção de obrigações por entidades controladas pelos Estados, pelo Distrito Federal e pelos Municípios que não exerçam atividade produtiva ou não possuam fonte própria de receitas.</w:t>
      </w:r>
    </w:p>
    <w:p w14:paraId="72161D8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Senado Federal devolverá ao Ministério da Fazenda, para as providências cabíveis, o pedido de autorização para contratação de operação de crédito cuja documentação esteja em desacordo com o disposto nesta Resolução.</w:t>
      </w:r>
    </w:p>
    <w:p w14:paraId="55771F0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29. Os pleitos referentes a operações de crédito sujeitas a autorização específica do Senado Federal serão encaminhados pelo Ministério da Fazenda ao Senado Federal quando atenderem aos requisitos mínimos definidos no art. 32, acompanhados de parecer técnico que contenha, obrigatoriamente, os seguintes pontos:</w:t>
      </w:r>
    </w:p>
    <w:p w14:paraId="55EE33D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demonstrativo do cumprimento dos requisitos mínimos definidos no art. 32;</w:t>
      </w:r>
    </w:p>
    <w:p w14:paraId="3B004D8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informações que permitam avaliar o custo financeiro da operação de crédito; e</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10, de 2010)</w:t>
      </w:r>
    </w:p>
    <w:p w14:paraId="15AA76E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demonstrativo do perfil de endividamento da entidade pública solicitante, antes e depois da realização da operação.</w:t>
      </w:r>
    </w:p>
    <w:p w14:paraId="6BC4D3A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1º O parecer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incluirá, obrigatoriamente, manifestação favorável ou contrária em relação ao cumprimento dos limites e condições de que trata o art. 32 da Lei Complementar nº 101, de 2000, e as Resoluções do Senado Federal. </w:t>
      </w:r>
      <w:r w:rsidRPr="00146F8F">
        <w:rPr>
          <w:rFonts w:ascii="Book Antiqua" w:eastAsia="Times New Roman" w:hAnsi="Book Antiqua" w:cs="Arial"/>
          <w:i/>
          <w:iCs/>
          <w:color w:val="333333"/>
          <w:sz w:val="19"/>
          <w:szCs w:val="19"/>
          <w:u w:val="single"/>
          <w:lang w:eastAsia="pt-BR"/>
        </w:rPr>
        <w:t>(Redação dada pela Resolução n.º 10, de 2010)</w:t>
      </w:r>
    </w:p>
    <w:p w14:paraId="78F7C87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Nos pleitos relativos a emissão de títulos da dívida pública, o parecer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conterá, também:</w:t>
      </w:r>
    </w:p>
    <w:p w14:paraId="54D161C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especificação do valor dos títulos a serem emitidos e do valor do estoque de títulos do mesmo emissor já existentes, com indicação das datas de referência de tais valores;</w:t>
      </w:r>
    </w:p>
    <w:p w14:paraId="7FA006B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análise do impacto da operação de crédito no mercado mobiliário e do desempenho dos títulos já emitidos nesse mercado; e</w:t>
      </w:r>
    </w:p>
    <w:p w14:paraId="392DD5D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em se tratando de refinanciamento de títulos vincendos, histórico da evolução dos títulos desde sua emissão, registrando-se sua valorização ao longo do tempo.</w:t>
      </w:r>
    </w:p>
    <w:p w14:paraId="2E71B0F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Os pareceres técnicos e jurídicos apresentados pelo ente nos termos do inciso I do art. 21 serão encaminhados ao Senado Federal anexados ao parecer técnico definido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w:t>
      </w:r>
      <w:r w:rsidRPr="00146F8F">
        <w:rPr>
          <w:rFonts w:ascii="Book Antiqua" w:eastAsia="Times New Roman" w:hAnsi="Book Antiqua" w:cs="Arial"/>
          <w:i/>
          <w:iCs/>
          <w:color w:val="333333"/>
          <w:sz w:val="19"/>
          <w:szCs w:val="19"/>
          <w:u w:val="single"/>
          <w:lang w:eastAsia="pt-BR"/>
        </w:rPr>
        <w:t>(Incluído pela Resolução n.º 10, de 2010)</w:t>
      </w:r>
    </w:p>
    <w:p w14:paraId="5A9F948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30. Quando não atenderem aos requisitos mínimos definidos no art. 32, os pleitos referentes a operações de crédito sujeitas a autorização específica do Senado Federal não serão encaminhados pelo Ministério da Fazenda ao Senado Federal.</w:t>
      </w:r>
    </w:p>
    <w:p w14:paraId="3710F45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Ministério da Fazenda devolverá os pleitos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ao Estado, ao Distrito Federal ou ao Município de origem, comunicando o fato ao Senado Federal.</w:t>
      </w:r>
    </w:p>
    <w:p w14:paraId="207AF23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31. As operações de crédito não sujeitas a autorização específica do Senado Federal serão objeto do seguinte procedimento pelo Ministério da Fazenda:</w:t>
      </w:r>
    </w:p>
    <w:p w14:paraId="27AB19C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os pleitos que não atenderem aos requisitos mínimos definidos no art. 32 serão indeferidos de imediato;</w:t>
      </w:r>
    </w:p>
    <w:p w14:paraId="6A097D9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os pleitos que atenderem aos requisitos mínimos, definidos no art. 32, serão autorizados no prazo máximo de 10 (dez) dias úteis.</w:t>
      </w:r>
    </w:p>
    <w:p w14:paraId="092361C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32. Considera-se requisito mínimo, para os fins desta Resolução, o cumprimento, quando se aplicar, do disposto nos arts. 5, 6, 7, 8, 9, 10, 11, 12, 13, 14, 15, 18, 21, 22 e 23.</w:t>
      </w:r>
    </w:p>
    <w:p w14:paraId="6CF97F3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Os requisitos de que tratam o art. 16 e o inciso VIII do art. 21 serão comprovados à instituição financeira ou ao contratante, conforme o caso, por ocasião da assinatura do contrato.</w:t>
      </w:r>
      <w:r w:rsidRPr="00146F8F">
        <w:rPr>
          <w:rFonts w:ascii="Book Antiqua" w:eastAsia="Times New Roman" w:hAnsi="Book Antiqua" w:cs="Times New Roman"/>
          <w:color w:val="333333"/>
          <w:sz w:val="19"/>
          <w:szCs w:val="19"/>
          <w:lang w:eastAsia="pt-BR"/>
        </w:rPr>
        <w:t> </w:t>
      </w:r>
      <w:r w:rsidRPr="00146F8F">
        <w:rPr>
          <w:rFonts w:ascii="Book Antiqua" w:eastAsia="Times New Roman" w:hAnsi="Book Antiqua" w:cs="Arial"/>
          <w:i/>
          <w:iCs/>
          <w:color w:val="333333"/>
          <w:sz w:val="19"/>
          <w:szCs w:val="19"/>
          <w:u w:val="single"/>
          <w:lang w:eastAsia="pt-BR"/>
        </w:rPr>
        <w:t>(Redação dada pela Resolução n.º 10, de 2010)</w:t>
      </w:r>
    </w:p>
    <w:p w14:paraId="3F2508C4" w14:textId="77777777" w:rsidR="00146F8F" w:rsidRPr="00146F8F" w:rsidRDefault="00146F8F" w:rsidP="00146F8F">
      <w:pPr>
        <w:shd w:val="clear" w:color="auto" w:fill="FFFFFF"/>
        <w:spacing w:before="100" w:beforeAutospacing="1" w:after="100" w:afterAutospacing="1" w:line="240" w:lineRule="auto"/>
        <w:ind w:firstLine="567"/>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Os Estados, o Distrito Federal e os Municípios são obrigados a promover, junto ao Cadastro Nacional da Pessoa Jurídica (CNPJ), até o dia 30 de junho de 2013, a vinculação de todos os CNPJs de suas unidades administrativas ou órgãos que não possuem personalidade jurídica própria ao CNPJ principal da entidade tomadora da operação de crédito. </w:t>
      </w:r>
      <w:r w:rsidRPr="00146F8F">
        <w:rPr>
          <w:rFonts w:ascii="Book Antiqua" w:eastAsia="Times New Roman" w:hAnsi="Book Antiqua" w:cs="Arial"/>
          <w:i/>
          <w:iCs/>
          <w:color w:val="333333"/>
          <w:sz w:val="19"/>
          <w:szCs w:val="19"/>
          <w:u w:val="single"/>
          <w:lang w:eastAsia="pt-BR"/>
        </w:rPr>
        <w:t>(Redação dada pela Resolução n.º 21, de 2012)</w:t>
      </w:r>
    </w:p>
    <w:p w14:paraId="0ACE2C9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Durante a vigência do prazo estabelecido no § 2º, a comprovação a que se referem o § 1º deste artigo, o parágrafo único do art. 16 e o § 5º do art. 21 será realizada pelo CNPJ principal da entidade tomadora da operação de crédito. </w:t>
      </w:r>
      <w:r w:rsidRPr="00146F8F">
        <w:rPr>
          <w:rFonts w:ascii="Book Antiqua" w:eastAsia="Times New Roman" w:hAnsi="Book Antiqua" w:cs="Arial"/>
          <w:i/>
          <w:iCs/>
          <w:color w:val="333333"/>
          <w:sz w:val="19"/>
          <w:szCs w:val="19"/>
          <w:u w:val="single"/>
          <w:lang w:eastAsia="pt-BR"/>
        </w:rPr>
        <w:t>(Incluído pela Resolução n.º 10, de 2010)</w:t>
      </w:r>
    </w:p>
    <w:p w14:paraId="229120C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33. Os pedidos de autorização para a realização de operações de crédito de que trata esta Resolução não poderão ser apreciados em regime de urgência, salvo quando proposto pela Comissão de Assuntos Econômicos.</w:t>
      </w:r>
    </w:p>
    <w:p w14:paraId="34A250A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lastRenderedPageBreak/>
        <w:t>Art.</w:t>
      </w:r>
      <w:r w:rsidRPr="00146F8F">
        <w:rPr>
          <w:rFonts w:ascii="Book Antiqua" w:eastAsia="Times New Roman" w:hAnsi="Book Antiqua" w:cs="Arial"/>
          <w:color w:val="333333"/>
          <w:sz w:val="19"/>
          <w:szCs w:val="19"/>
          <w:lang w:eastAsia="pt-BR"/>
        </w:rPr>
        <w:t> 34. A reunião da Comissão de Assuntos Econômicos que deliberar sobre pedido de autorização para a realização das operações de crédito de que trata esta Resolução deverá contar com a presença de representante do Estado, do Distrito Federal ou do Município, para apresentação do pleito, e de representante do Ministério da Fazenda, para exposição do parecer por ele emitido.</w:t>
      </w:r>
    </w:p>
    <w:p w14:paraId="51FDB80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não-comparecimento de qualquer desses representantes implicará o adiamento da votação do pleito, que passará ao primeiro lugar da pauta da reunião seguinte.</w:t>
      </w:r>
    </w:p>
    <w:p w14:paraId="0D8A448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35. A indicação dos relatores dos pedidos de autorização para realização de operações de crédito de que trata esta Resolução será feita mediante a estrita observância da ordem de entrada do pedido na Comissão de Assuntos Econômicos e da relação de membros titulares da mesma Comissão, nos termos do art. 126 do Regimento Interno do Senado Federal.</w:t>
      </w:r>
    </w:p>
    <w:p w14:paraId="0C72DFC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Senador já indicado como relator de pedido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não será designado novamente antes que todos os membros titulares da referida Comissão tenham sido designados relatores de pedidos da mesma espécie.</w:t>
      </w:r>
    </w:p>
    <w:p w14:paraId="2DFFCA1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35-A. Para os consórcios públicos, os requisitos previstos neste Capítulo para instruir os pedidos de autorização para a realização de operações de crédito deverão ser atendidos, individualmente, por cada ente da Federação consorciado. </w:t>
      </w:r>
      <w:r w:rsidRPr="00146F8F">
        <w:rPr>
          <w:rFonts w:ascii="Book Antiqua" w:eastAsia="Times New Roman" w:hAnsi="Book Antiqua" w:cs="Arial"/>
          <w:i/>
          <w:iCs/>
          <w:color w:val="333333"/>
          <w:sz w:val="19"/>
          <w:szCs w:val="19"/>
          <w:u w:val="single"/>
          <w:lang w:eastAsia="pt-BR"/>
        </w:rPr>
        <w:t>(Incluído pela Resolução n.º 15, de 2018)</w:t>
      </w:r>
    </w:p>
    <w:p w14:paraId="48F94E77"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CAPÍTULO V</w:t>
      </w:r>
    </w:p>
    <w:p w14:paraId="1F441136"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i/>
          <w:iCs/>
          <w:caps/>
          <w:color w:val="333333"/>
          <w:sz w:val="19"/>
          <w:szCs w:val="19"/>
          <w:lang w:eastAsia="pt-BR"/>
        </w:rPr>
        <w:t>DAS OPERAÇÕES DE ANTECIPAÇÃO DE RECEITA ORÇAMENTÁRIA E VENDA DE TÍTULOS PÚBLICOS</w:t>
      </w:r>
    </w:p>
    <w:p w14:paraId="11550043"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36. As operações de antecipação de receita orçamentária dos Estados, do Distrito Federal e dos Municípios serão efetuadas mediante abertura de crédito junto à instituição financeira vencedora em processo competitivo eletrônico promovido pelo Banco Central do Brasil.</w:t>
      </w:r>
    </w:p>
    <w:p w14:paraId="04F7D44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Banco Central do Brasil baixará normas específicas para regulamentar os procedimentos operacionais do processo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w:t>
      </w:r>
    </w:p>
    <w:p w14:paraId="329825C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37. O Ministério da Fazenda analisará o enquadramento das operações de antecipação de receita orçamentária no disposto nesta Resolução, tomando por base as condições da proposta firme de que trata o inciso II do art. 22.</w:t>
      </w:r>
    </w:p>
    <w:p w14:paraId="11EEFA2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Estando o pleito de realização da operação de antecipação de receita orçamentária enquadrado nas exigências desta Resolução, o Ministério da Fazenda solicitará ao Banco Central do Brasil a realização do processo competitivo eletrônico, que se dará por meio da divulgação da proposta firme a todo o sistema financeiro, em recinto ou meio eletrônico mantido por entidade auto-reguladora autorizada pela Comissão de Valores Mobiliários ou em meio eletrônico mantido pelo Banco Central do Brasil, sendo permitido a qualquer instituição financeira, inclusive àquela que encaminhou a proposta firme ao Ministério da Fazenda, oferecer a mesma operação com juros inferiores ao da proposta firme inicial.</w:t>
      </w:r>
    </w:p>
    <w:p w14:paraId="1800358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O resultado do processo competitivo de que trata o § 1º será divulgado pelo Banco Central do Brasil, sempre que possível por meio eletrônico, a todas as instituições financeiras, ao Senado Federal, ao Ministério da Fazenda, ao Poder Legislativo do Estado, do Distrito Federal ou do Município, conforme o caso, e ao Tribunal de Contas competente, com descrição detalhada das ofertas realizadas.</w:t>
      </w:r>
    </w:p>
    <w:p w14:paraId="5B11C00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Não serão aceitas propostas que cobrem outros encargos que não a taxa de juros da operação, a qual deve ser, obrigatoriamente, prefixada ou indexada à Taxa Básica Financeira - TBF.</w:t>
      </w:r>
    </w:p>
    <w:p w14:paraId="5300936D"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 4º A proposta firme não poderá apresentar taxa de juros superior a uma vez e meia a TBF vigente no dia do seu encaminhamento.</w:t>
      </w:r>
    </w:p>
    <w:p w14:paraId="58248FF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5º A novação de operações vincendas ou vencidas será submetida ao mesmo rito de análise e processo competitivo das operações novas.</w:t>
      </w:r>
    </w:p>
    <w:p w14:paraId="0DB4E37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6º Realizado o processo competitivo de que trata o § 1, a operação de antecipação da receita orçamentária só poderá ser contratada após a entrega, ao Ministério da Fazenda, de declaração da não ocorrência de reciprocidade ou condição especial que represente custo adicional ao expresso pela taxa de juros da operação, assinada por representante da instituição financeira e pelo chefe do Poder Executivo.</w:t>
      </w:r>
    </w:p>
    <w:p w14:paraId="6F87C83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38. Os pedidos de autorização para o lançamento, oferta pública ou colocação no mercado de títulos da dívida pública, destinados a refinanciar títulos vincendos, devem ser encaminhados pelos Estados, pelo Distrito Federal ou pelos Municípios ao Ministério da Fazenda, com antecedência mínima de 60 (sessenta) dias úteis do primeiro vencimento dos títulos a serem refinanciados.</w:t>
      </w:r>
    </w:p>
    <w:p w14:paraId="4718BA5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 descumprimento do disposto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implicará a alteração das datas-base de todos os títulos a serem emitidos, que serão postergadas por período equivalente ao número de dias úteis de atraso, sem que haja a correspondente correção do valor nominal dos títulos a serem emitidos.</w:t>
      </w:r>
    </w:p>
    <w:p w14:paraId="1AB1D68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Estando incompleta a documentação encaminhada pelo Estado, pelo Distrito Federal ou pelo Município, o Ministério da Fazenda solicitará a complementação dos documentos e informações, considerando-se, para efeito do disposto no § 1, a data de entrega da documentação completa.</w:t>
      </w:r>
    </w:p>
    <w:p w14:paraId="3380C07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39. A venda de títulos da dívida pública por seus emissores será efetuada, obrigatoriamente, em leilões públicos eletrônicos realizados pelo Banco Central do Brasil ou por entidade auto-reguladora autorizada pela Comissão de Valores Mobiliários - CVM.</w:t>
      </w:r>
    </w:p>
    <w:p w14:paraId="6D64FFA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 Banco Central do Brasil baixará normas específicas para regulamentar os procedimentos operacionais dos leilões de que trata este artigo.</w:t>
      </w:r>
    </w:p>
    <w:p w14:paraId="56B19D9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É obrigatória a publicação de edital do leilão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com antecedência mínima de 3 (três) dias úteis da data prevista para sua realização.</w:t>
      </w:r>
    </w:p>
    <w:p w14:paraId="76F85CFC"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Após a realização do leilão eletrônico, o Banco Central do Brasil encaminhará as informações relevantes sobre os mesmos, sempre que possível por meio eletrônico, às instituições financeiras, ao Ministério da Fazenda, ao Senado Federal, ao Poder Legislativo do Estado, do Distrito Federal ou do Município, conforme o caso, e ao Tribunal de Contas competente.</w:t>
      </w:r>
    </w:p>
    <w:p w14:paraId="31141E4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A recolocação, no mercado, de títulos da dívida pública dos Estados, do Distrito Federal ou dos Municípios, mantidos em suas respectivas tesourarias ou fundos das dívidas, será feita, obrigatoriamente, por meio de leilões eletrônicos, na forma definida neste artigo.</w:t>
      </w:r>
    </w:p>
    <w:p w14:paraId="6BDAE8B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40. O Senado Federal solicitará ao Banco Central do Brasil, quando julgar necessário, a fiscalização de operação de crédito específica junto à instituição financeira credora.</w:t>
      </w:r>
    </w:p>
    <w:p w14:paraId="481E29D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41. O Ministério da Fazenda informará mensalmente ao Senado Federal:</w:t>
      </w:r>
    </w:p>
    <w:p w14:paraId="4837FF0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a posição de endividamento dos Estados, do Distrito Federal, dos Municípios e de suas respectivas autarquias e fundações;</w:t>
      </w:r>
    </w:p>
    <w:p w14:paraId="273FE59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cada uma das operações de crédito autorizadas e não autorizadas no período, fornecendo dados sobre:</w:t>
      </w:r>
    </w:p>
    <w:p w14:paraId="5958C71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a) entidade mutuária;</w:t>
      </w:r>
    </w:p>
    <w:p w14:paraId="3DD9F43A"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b) prazo da operação;</w:t>
      </w:r>
    </w:p>
    <w:p w14:paraId="6D7B241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c) condições de contratação, tais como valor, garantias e taxas de juros;</w:t>
      </w:r>
    </w:p>
    <w:p w14:paraId="282584F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número de instituições financeiras participantes das operações de crédito autorizadas no período, classificadas por tipo de operação;</w:t>
      </w:r>
    </w:p>
    <w:p w14:paraId="4269D6B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número de instituições financeiras que apresentaram propostas para realização de operações de antecipação de receita orçamentária, no processo competitivo definido pelo art. 36; e</w:t>
      </w:r>
    </w:p>
    <w:p w14:paraId="715ED0B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V - outras informações pertinentes.</w:t>
      </w:r>
    </w:p>
    <w:p w14:paraId="5D79089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 Ministério da Fazenda efetuará o registro eletrônico centralizado e atualizado das dívidas públicas interna e externa, garantindo o acesso público às informações, nos termos do art. 32 da Lei Complementar nº 101, de 2000.</w:t>
      </w:r>
    </w:p>
    <w:p w14:paraId="074A7CA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Os nomes das instituições financeiras autorizadas a realizar as operações de antecipação de receita orçamentária serão informados exclusivamente ao Senado Federal.</w:t>
      </w:r>
    </w:p>
    <w:p w14:paraId="4F9D655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42. O Ministério da Fazenda encaminhará, trimestralmente, à Comissão de Assuntos Econômicos do Senado Federal, relatório analítico das operações de compra e venda de títulos públicos de responsabilidade dos Estados, do Distrito Federal e dos Municípios realizadas no período, com especificação, para cada resolução autorizativa do Senado Federal, da modalidade da operação, dos valores e quantidades negociadas, de seus custos e deságios e da relação dos participantes da cadeia de compra e venda.</w:t>
      </w:r>
    </w:p>
    <w:p w14:paraId="6446984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 Banco Central do Brasil, sempre que solicitado, encaminhará ao Senado Federal relação dos participantes da cadeia de compra e venda a que se refere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deste artigo.</w:t>
      </w:r>
    </w:p>
    <w:p w14:paraId="034D6A96"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CAPÍTULO VI</w:t>
      </w:r>
    </w:p>
    <w:p w14:paraId="4BFEC133" w14:textId="77777777" w:rsidR="00146F8F" w:rsidRPr="00146F8F" w:rsidRDefault="00146F8F" w:rsidP="00146F8F">
      <w:pPr>
        <w:shd w:val="clear" w:color="auto" w:fill="FFFFFF"/>
        <w:spacing w:before="100" w:beforeAutospacing="1" w:after="100" w:afterAutospacing="1" w:line="240" w:lineRule="auto"/>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i/>
          <w:iCs/>
          <w:caps/>
          <w:color w:val="333333"/>
          <w:sz w:val="19"/>
          <w:szCs w:val="19"/>
          <w:lang w:eastAsia="pt-BR"/>
        </w:rPr>
        <w:t>DAS DISPOSIÇÕES FINAIS E TRANSITÓRIAS</w:t>
      </w:r>
    </w:p>
    <w:p w14:paraId="0746B10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43. (Revogado)</w:t>
      </w:r>
    </w:p>
    <w:p w14:paraId="6F0AF26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44. As resoluções do Senado Federal que autorizarem as operações de crédito objeto desta Resolução, bem como a verificação dos limites e condições previstos no art. 32 da Lei Complementar nº 101, de 4 de maio de 2000, incluirão, ao menos, as seguintes informações: </w:t>
      </w:r>
      <w:r w:rsidRPr="00146F8F">
        <w:rPr>
          <w:rFonts w:ascii="Book Antiqua" w:eastAsia="Times New Roman" w:hAnsi="Book Antiqua" w:cs="Arial"/>
          <w:i/>
          <w:iCs/>
          <w:color w:val="333333"/>
          <w:sz w:val="19"/>
          <w:szCs w:val="19"/>
          <w:u w:val="single"/>
          <w:lang w:eastAsia="pt-BR"/>
        </w:rPr>
        <w:t>(Redação dada pela Resolução n.º 8, de 2010)</w:t>
      </w:r>
    </w:p>
    <w:p w14:paraId="12013B79"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 - valor da operação e moeda em que será realizada, bem como o critério de atualização monetária;</w:t>
      </w:r>
    </w:p>
    <w:p w14:paraId="5453485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 - objetivo da operação e órgão executor;</w:t>
      </w:r>
    </w:p>
    <w:p w14:paraId="1A0AA14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III - condições financeiras básicas da operação, inclusive cronograma de liberação de recursos; e</w:t>
      </w:r>
    </w:p>
    <w:p w14:paraId="24D9BD58"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IV - prazo para o exercício da autorização, que será de, no mínimo, 180 (cento e oitenta) dias e, no máximo, 540 (quinhentos e quarenta) dias para as operações de dívidas fundadas externas, e de, no mínimo, 90 (noventa) dias e, no máximo, 270 (duzentos e setenta) dias, para as demais operações de crédito.</w:t>
      </w:r>
    </w:p>
    <w:p w14:paraId="5041945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Nas operações de crédito autorizadas em conformidade com o inciso III do art. 12, a condição de excepcionalidade será expressamente mencionada no ato de autorização.</w:t>
      </w:r>
    </w:p>
    <w:p w14:paraId="7EE39581"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Nas operações de crédito externo com garantia da União, a concessão da garantia será expressamente mencionada no ato de autorização.</w:t>
      </w:r>
    </w:p>
    <w:p w14:paraId="7BEB6AE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lastRenderedPageBreak/>
        <w:t>Art.</w:t>
      </w:r>
      <w:r w:rsidRPr="00146F8F">
        <w:rPr>
          <w:rFonts w:ascii="Book Antiqua" w:eastAsia="Times New Roman" w:hAnsi="Book Antiqua" w:cs="Arial"/>
          <w:color w:val="333333"/>
          <w:sz w:val="19"/>
          <w:szCs w:val="19"/>
          <w:lang w:eastAsia="pt-BR"/>
        </w:rPr>
        <w:t> 45. A fiscalização quanto à correta utilização dos recursos arrecadados com a venda dos títulos vinculados ao disposto no art. 33 do Ato das Disposições Constitucionais Transitórias compete aos Tribunais de Contas a que estão jurisdicionadas as entidades emissoras.</w:t>
      </w:r>
    </w:p>
    <w:p w14:paraId="1170EF4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A Comissão de Assuntos Econômicos do Senado Federal poderá, havendo evidências de irregularidade, realizar diligência nos termos do § 3º do art. 24 ou solicitar ao respectivo Tribunal de Contas que realize auditoria na aplicação dos recursos obtidos por meio da colocação dos títulos de que trata 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w:t>
      </w:r>
    </w:p>
    <w:p w14:paraId="3497EB54"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46. O valor atualizado dos recursos obtidos através da emissão de títulos vinculados ao disposto no parágrafo único do art. 33 do Ato das Disposições Constitucionais Transitórias, utilizados para finalidades distintas, passa a ser considerado dívida vencida, para efeito do cálculo dos limites definidos nos arts. 6º e 7º desta Resolução, até que haja o resgate de títulos em valor atualizado equivalente ao desvio de finalidade incorrido.</w:t>
      </w:r>
    </w:p>
    <w:p w14:paraId="432BD75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47. É permitida a vinculação de receitas próprias geradas pelos impostos a que se referem os arts. 155 e 156, e dos recursos de que tratam os arts. 157, 158 e 159, I, a e b, e II, da Constituição Federal, para a prestação de garantia ou contragarantia à União e suas autarquias e fundações.</w:t>
      </w:r>
    </w:p>
    <w:p w14:paraId="03F239E6"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 </w:t>
      </w:r>
      <w:r w:rsidRPr="00146F8F">
        <w:rPr>
          <w:rFonts w:ascii="Book Antiqua" w:eastAsia="Times New Roman" w:hAnsi="Book Antiqua" w:cs="Arial"/>
          <w:color w:val="333333"/>
          <w:sz w:val="19"/>
          <w:szCs w:val="19"/>
          <w:lang w:eastAsia="pt-BR"/>
        </w:rPr>
        <w:t>48</w:t>
      </w:r>
      <w:r w:rsidRPr="00146F8F">
        <w:rPr>
          <w:rFonts w:ascii="Book Antiqua" w:eastAsia="Times New Roman" w:hAnsi="Book Antiqua" w:cs="Arial"/>
          <w:b/>
          <w:bCs/>
          <w:color w:val="333333"/>
          <w:sz w:val="19"/>
          <w:szCs w:val="19"/>
          <w:lang w:eastAsia="pt-BR"/>
        </w:rPr>
        <w:t>.</w:t>
      </w:r>
      <w:r w:rsidRPr="00146F8F">
        <w:rPr>
          <w:rFonts w:ascii="Book Antiqua" w:eastAsia="Times New Roman" w:hAnsi="Book Antiqua" w:cs="Arial"/>
          <w:color w:val="333333"/>
          <w:sz w:val="19"/>
          <w:szCs w:val="19"/>
          <w:lang w:eastAsia="pt-BR"/>
        </w:rPr>
        <w:t> Para efeito do disposto no art. 2º da Lei nº 8.727, de 5 de novembro de 1993, é fixado o limite de 11% (onze por cento) da receita líquida real, conforme definida no parágrafo único do art. 2º da Lei nº 9.496, de 1997.</w:t>
      </w:r>
    </w:p>
    <w:p w14:paraId="7EA3CC9F"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1º O valor resultante da aplicação do limite definido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será utilizado no pagamento de amortizações, juros e demais encargos da dívida externa contratada até 30 de setembro de 1991, do refinanciamento de dívidas junto ao FGTS e das dívidas resultantes de renegociações realizadas com base na Lei nº 7.976, de 27 de dezembro de 1989, no art. 58 da Lei nº 8.212, de 24 de julho de 1991, na Lei nº 8.620, de 5 de janeiro de 1993, da comissão de serviços das operações amparadas pela Lei nº 8.727, de 1993, das dívidas relativas a financiamentos imobiliários firmados pelas entidades vinculadas aos Estados, ao Distrito Federal e aos Municípios, por eles assumidas mediante aditivo, e das dívidas resultantes de renegociações realizadas com base na Lei nº 8.727, de 1993, nessa ordem.</w:t>
      </w:r>
    </w:p>
    <w:p w14:paraId="6CEDE61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2º A diferença entre o somatório dos pagamentos ocorridos na forma do § 1º e o valor equivalente ao limite definido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será utilizada no resgate da dívida mobiliária.</w:t>
      </w:r>
    </w:p>
    <w:p w14:paraId="7DA0398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3º O percentual definido no </w:t>
      </w:r>
      <w:r w:rsidRPr="00146F8F">
        <w:rPr>
          <w:rFonts w:ascii="Book Antiqua" w:eastAsia="Times New Roman" w:hAnsi="Book Antiqua" w:cs="Arial"/>
          <w:b/>
          <w:bCs/>
          <w:color w:val="333333"/>
          <w:sz w:val="19"/>
          <w:szCs w:val="19"/>
          <w:lang w:eastAsia="pt-BR"/>
        </w:rPr>
        <w:t>caput</w:t>
      </w:r>
      <w:r w:rsidRPr="00146F8F">
        <w:rPr>
          <w:rFonts w:ascii="Book Antiqua" w:eastAsia="Times New Roman" w:hAnsi="Book Antiqua" w:cs="Arial"/>
          <w:color w:val="333333"/>
          <w:sz w:val="19"/>
          <w:szCs w:val="19"/>
          <w:lang w:eastAsia="pt-BR"/>
        </w:rPr>
        <w:t> será aplicado sobre um duodécimo da receita líquida real.</w:t>
      </w:r>
    </w:p>
    <w:p w14:paraId="06CC9730"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4º Para efeito de apuração do valor de cada uma das prestações mensais de que trata o art. 2º da Lei nº 8.727, de 1993, serão deduzidos os dispêndios com as amortizações, juros e demais encargos das dívidas ali mencionadas, efetuados no mês anterior ao do pagamento da referida prestação.</w:t>
      </w:r>
    </w:p>
    <w:p w14:paraId="71D0D27E"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49. Aos contratos firmados pelos Estados e pelo Distrito Federal com a União, no âmbito do Programa de Incentivo à Redução do Setor Público Estadual na Atividade Bancária (Proes) aplica-se o disposto no art. 45.</w:t>
      </w:r>
    </w:p>
    <w:p w14:paraId="7328259B"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Parágrafo único. Os pleitos de que trata este artigo são dispensados do cumprimento do disposto no art. 15.</w:t>
      </w:r>
    </w:p>
    <w:p w14:paraId="663792A2"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50. O disposto nesta Resolução não se aplica às atuais autarquias financeiras.</w:t>
      </w:r>
    </w:p>
    <w:p w14:paraId="7D013D45"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51. Esta Resolução entra em vigor na data de sua publicação.</w:t>
      </w:r>
    </w:p>
    <w:p w14:paraId="339879E7" w14:textId="77777777" w:rsidR="00146F8F" w:rsidRPr="00146F8F" w:rsidRDefault="00146F8F" w:rsidP="00146F8F">
      <w:pPr>
        <w:shd w:val="clear" w:color="auto" w:fill="FFFFFF"/>
        <w:spacing w:before="100" w:beforeAutospacing="1" w:after="100" w:afterAutospacing="1" w:line="240" w:lineRule="auto"/>
        <w:ind w:firstLine="540"/>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lang w:eastAsia="pt-BR"/>
        </w:rPr>
        <w:t>Art.</w:t>
      </w:r>
      <w:r w:rsidRPr="00146F8F">
        <w:rPr>
          <w:rFonts w:ascii="Book Antiqua" w:eastAsia="Times New Roman" w:hAnsi="Book Antiqua" w:cs="Arial"/>
          <w:color w:val="333333"/>
          <w:sz w:val="19"/>
          <w:szCs w:val="19"/>
          <w:lang w:eastAsia="pt-BR"/>
        </w:rPr>
        <w:t> 52. Revogam-se as Resoluções nºs 78 e 93, de 1998; 19, 22, 28, 40 e 74, de 1999; e 58, 62, 63, 64 e 65, de 2000, todas do Senado Federal.</w:t>
      </w:r>
    </w:p>
    <w:p w14:paraId="7B8953E1" w14:textId="77777777" w:rsidR="00146F8F" w:rsidRPr="00146F8F" w:rsidRDefault="00146F8F" w:rsidP="00146F8F">
      <w:pPr>
        <w:shd w:val="clear" w:color="auto" w:fill="FFFFFF"/>
        <w:spacing w:before="100" w:beforeAutospacing="1" w:after="100" w:afterAutospacing="1" w:line="240" w:lineRule="auto"/>
        <w:ind w:firstLine="567"/>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Senado Federal, em 9 de abril de 2002.</w:t>
      </w:r>
    </w:p>
    <w:p w14:paraId="5E63CB15" w14:textId="77777777" w:rsidR="00146F8F" w:rsidRPr="00146F8F" w:rsidRDefault="00146F8F" w:rsidP="00146F8F">
      <w:pPr>
        <w:shd w:val="clear" w:color="auto" w:fill="FFFFFF"/>
        <w:spacing w:before="100" w:beforeAutospacing="1" w:after="100" w:afterAutospacing="1" w:line="240" w:lineRule="auto"/>
        <w:ind w:left="4253" w:firstLine="567"/>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aps/>
          <w:color w:val="333333"/>
          <w:sz w:val="19"/>
          <w:szCs w:val="19"/>
          <w:lang w:eastAsia="pt-BR"/>
        </w:rPr>
        <w:t>SENADOR RAMEZ TEBET</w:t>
      </w:r>
    </w:p>
    <w:p w14:paraId="3572D7A5" w14:textId="77777777" w:rsidR="00146F8F" w:rsidRPr="00146F8F" w:rsidRDefault="00146F8F" w:rsidP="00146F8F">
      <w:pPr>
        <w:shd w:val="clear" w:color="auto" w:fill="FFFFFF"/>
        <w:spacing w:before="100" w:beforeAutospacing="1" w:after="100" w:afterAutospacing="1" w:line="240" w:lineRule="auto"/>
        <w:ind w:left="4253" w:firstLine="567"/>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lastRenderedPageBreak/>
        <w:t>Presidente do Senado Federal</w:t>
      </w:r>
    </w:p>
    <w:p w14:paraId="11C7A7D1" w14:textId="77777777" w:rsidR="00146F8F" w:rsidRPr="00146F8F" w:rsidRDefault="00146F8F" w:rsidP="00146F8F">
      <w:pPr>
        <w:shd w:val="clear" w:color="auto" w:fill="FFFFFF"/>
        <w:spacing w:before="100" w:beforeAutospacing="1" w:after="100" w:afterAutospacing="1" w:line="240" w:lineRule="auto"/>
        <w:ind w:left="4253" w:firstLine="567"/>
        <w:jc w:val="center"/>
        <w:rPr>
          <w:rFonts w:ascii="Book Antiqua" w:eastAsia="Times New Roman" w:hAnsi="Book Antiqua" w:cs="Lucida Sans Unicode"/>
          <w:color w:val="333333"/>
          <w:sz w:val="19"/>
          <w:szCs w:val="19"/>
          <w:lang w:eastAsia="pt-BR"/>
        </w:rPr>
      </w:pPr>
      <w:r w:rsidRPr="00146F8F">
        <w:rPr>
          <w:rFonts w:ascii="Book Antiqua" w:eastAsia="Times New Roman" w:hAnsi="Book Antiqua" w:cs="Arial"/>
          <w:color w:val="333333"/>
          <w:sz w:val="19"/>
          <w:szCs w:val="19"/>
          <w:lang w:eastAsia="pt-BR"/>
        </w:rPr>
        <w:t> </w:t>
      </w:r>
    </w:p>
    <w:p w14:paraId="337DAC5B" w14:textId="77777777" w:rsidR="00146F8F" w:rsidRPr="00146F8F" w:rsidRDefault="00146F8F" w:rsidP="00146F8F">
      <w:pPr>
        <w:shd w:val="clear" w:color="auto" w:fill="FFFFFF"/>
        <w:spacing w:before="100" w:beforeAutospacing="1" w:after="100" w:afterAutospacing="1" w:line="240" w:lineRule="auto"/>
        <w:ind w:firstLine="567"/>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u w:val="single"/>
          <w:lang w:eastAsia="pt-BR"/>
        </w:rPr>
        <w:t>(*) Baseado no texto consolidado com as alterações decorrentes da Resolução nº 3, de 2002, publicado no Diário Oficial da União em 10-04-2002.</w:t>
      </w:r>
    </w:p>
    <w:p w14:paraId="7749F812" w14:textId="77777777" w:rsidR="00146F8F" w:rsidRPr="00146F8F" w:rsidRDefault="00146F8F" w:rsidP="00146F8F">
      <w:pPr>
        <w:shd w:val="clear" w:color="auto" w:fill="FFFFFF"/>
        <w:spacing w:before="100" w:beforeAutospacing="1" w:after="100" w:afterAutospacing="1" w:line="240" w:lineRule="auto"/>
        <w:ind w:firstLine="567"/>
        <w:jc w:val="both"/>
        <w:rPr>
          <w:rFonts w:ascii="Book Antiqua" w:eastAsia="Times New Roman" w:hAnsi="Book Antiqua" w:cs="Lucida Sans Unicode"/>
          <w:color w:val="333333"/>
          <w:sz w:val="19"/>
          <w:szCs w:val="19"/>
          <w:lang w:eastAsia="pt-BR"/>
        </w:rPr>
      </w:pPr>
      <w:r w:rsidRPr="00146F8F">
        <w:rPr>
          <w:rFonts w:ascii="Book Antiqua" w:eastAsia="Times New Roman" w:hAnsi="Book Antiqua" w:cs="Arial"/>
          <w:b/>
          <w:bCs/>
          <w:color w:val="333333"/>
          <w:sz w:val="19"/>
          <w:szCs w:val="19"/>
          <w:u w:val="single"/>
          <w:lang w:eastAsia="pt-BR"/>
        </w:rPr>
        <w:t>(**) Vide a Resolução nº 5, de 2020.</w:t>
      </w:r>
    </w:p>
    <w:p w14:paraId="61BBE90D" w14:textId="77777777" w:rsidR="00E8723B" w:rsidRPr="00146F8F" w:rsidRDefault="00E8723B" w:rsidP="00146F8F">
      <w:pPr>
        <w:spacing w:before="100" w:beforeAutospacing="1" w:after="100" w:afterAutospacing="1" w:line="240" w:lineRule="auto"/>
        <w:rPr>
          <w:rFonts w:ascii="Book Antiqua" w:hAnsi="Book Antiqua"/>
          <w:sz w:val="19"/>
          <w:szCs w:val="19"/>
        </w:rPr>
      </w:pPr>
    </w:p>
    <w:sectPr w:rsidR="00E8723B" w:rsidRPr="00146F8F" w:rsidSect="00146F8F">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altName w:val="Cambria"/>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3B"/>
    <w:rsid w:val="00146F8F"/>
    <w:rsid w:val="00B552E5"/>
    <w:rsid w:val="00E872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92AB"/>
  <w15:chartTrackingRefBased/>
  <w15:docId w15:val="{06853224-6388-4899-AFC7-68F8F2EF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46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78201">
      <w:bodyDiv w:val="1"/>
      <w:marLeft w:val="0"/>
      <w:marRight w:val="0"/>
      <w:marTop w:val="0"/>
      <w:marBottom w:val="0"/>
      <w:divBdr>
        <w:top w:val="none" w:sz="0" w:space="0" w:color="auto"/>
        <w:left w:val="none" w:sz="0" w:space="0" w:color="auto"/>
        <w:bottom w:val="none" w:sz="0" w:space="0" w:color="auto"/>
        <w:right w:val="none" w:sz="0" w:space="0" w:color="auto"/>
      </w:divBdr>
      <w:divsChild>
        <w:div w:id="2143770310">
          <w:marLeft w:val="0"/>
          <w:marRight w:val="0"/>
          <w:marTop w:val="0"/>
          <w:marBottom w:val="300"/>
          <w:divBdr>
            <w:top w:val="single" w:sz="6" w:space="6" w:color="FCACA5"/>
            <w:left w:val="single" w:sz="6" w:space="11" w:color="FCACA5"/>
            <w:bottom w:val="single" w:sz="6" w:space="6" w:color="FCACA5"/>
            <w:right w:val="single" w:sz="6" w:space="26" w:color="FCACA5"/>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10047</Words>
  <Characters>54260</Characters>
  <Application>Microsoft Office Word</Application>
  <DocSecurity>0</DocSecurity>
  <Lines>452</Lines>
  <Paragraphs>128</Paragraphs>
  <ScaleCrop>false</ScaleCrop>
  <Company/>
  <LinksUpToDate>false</LinksUpToDate>
  <CharactersWithSpaces>64179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2022-12-20T15:58:00Z</dcterms:created>
  <dcterms:modified xsi:type="dcterms:W3CDTF">2022-12-20T16:11:00Z</dcterms:modified>
</cp:coreProperties>
</file>