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FC1541" w14:textId="77777777" w:rsidR="002F025D" w:rsidRPr="00A61297" w:rsidRDefault="002F025D" w:rsidP="002F025D">
      <w:pPr>
        <w:spacing w:before="100" w:beforeAutospacing="1" w:after="100" w:afterAutospacing="1" w:line="240" w:lineRule="auto"/>
        <w:ind w:right="-1"/>
        <w:jc w:val="center"/>
        <w:rPr>
          <w:rFonts w:ascii="Book Antiqua" w:hAnsi="Book Antiqua" w:cs="Times New Roman"/>
          <w:b/>
          <w:sz w:val="19"/>
          <w:szCs w:val="19"/>
          <w:highlight w:val="cyan"/>
        </w:rPr>
      </w:pPr>
      <w:bookmarkStart w:id="0" w:name="_Hlk8569724"/>
      <w:r w:rsidRPr="00A61297">
        <w:rPr>
          <w:rFonts w:ascii="Book Antiqua" w:hAnsi="Book Antiqua" w:cs="Times New Roman"/>
          <w:b/>
          <w:sz w:val="19"/>
          <w:szCs w:val="19"/>
        </w:rPr>
        <w:t>SÚMULAS D</w:t>
      </w:r>
      <w:r>
        <w:rPr>
          <w:rFonts w:ascii="Book Antiqua" w:hAnsi="Book Antiqua" w:cs="Times New Roman"/>
          <w:b/>
          <w:sz w:val="19"/>
          <w:szCs w:val="19"/>
        </w:rPr>
        <w:t>O</w:t>
      </w:r>
      <w:r w:rsidRPr="00A61297">
        <w:rPr>
          <w:rFonts w:ascii="Book Antiqua" w:hAnsi="Book Antiqua" w:cs="Times New Roman"/>
          <w:b/>
          <w:sz w:val="19"/>
          <w:szCs w:val="19"/>
        </w:rPr>
        <w:t xml:space="preserve"> </w:t>
      </w:r>
      <w:r w:rsidRPr="00C84ED1">
        <w:rPr>
          <w:rFonts w:ascii="Book Antiqua" w:hAnsi="Book Antiqua" w:cs="Times New Roman"/>
          <w:b/>
          <w:caps/>
          <w:sz w:val="19"/>
          <w:szCs w:val="19"/>
        </w:rPr>
        <w:t>Superior Tribunal Militar</w:t>
      </w:r>
      <w:r w:rsidRPr="00A61297">
        <w:rPr>
          <w:rFonts w:ascii="Book Antiqua" w:hAnsi="Book Antiqua" w:cs="Times New Roman"/>
          <w:b/>
          <w:sz w:val="19"/>
          <w:szCs w:val="19"/>
        </w:rPr>
        <w:t xml:space="preserve"> - </w:t>
      </w:r>
      <w:r>
        <w:rPr>
          <w:rFonts w:ascii="Book Antiqua" w:hAnsi="Book Antiqua" w:cs="Times New Roman"/>
          <w:b/>
          <w:sz w:val="19"/>
          <w:szCs w:val="19"/>
        </w:rPr>
        <w:t>STM</w:t>
      </w:r>
    </w:p>
    <w:p w14:paraId="55260777" w14:textId="77777777" w:rsidR="002F025D" w:rsidRPr="00A61297" w:rsidRDefault="002F025D" w:rsidP="002F025D">
      <w:pPr>
        <w:spacing w:before="100" w:beforeAutospacing="1" w:after="100" w:afterAutospacing="1" w:line="240" w:lineRule="auto"/>
        <w:ind w:right="-1"/>
        <w:jc w:val="center"/>
        <w:rPr>
          <w:rFonts w:ascii="Book Antiqua" w:hAnsi="Book Antiqua" w:cs="Times New Roman"/>
          <w:b/>
          <w:sz w:val="19"/>
          <w:szCs w:val="19"/>
        </w:rPr>
      </w:pPr>
      <w:r w:rsidRPr="00A61297">
        <w:rPr>
          <w:rFonts w:ascii="Book Antiqua" w:hAnsi="Book Antiqua" w:cs="Times New Roman"/>
          <w:b/>
          <w:color w:val="FF0000"/>
          <w:sz w:val="19"/>
          <w:szCs w:val="19"/>
        </w:rPr>
        <w:t>Material confeccionado por Eduardo B. S. Teixeira.</w:t>
      </w:r>
      <w:bookmarkEnd w:id="0"/>
    </w:p>
    <w:p w14:paraId="2EF94144" w14:textId="07EBB14C" w:rsidR="002F025D" w:rsidRPr="00A61297" w:rsidRDefault="002F025D" w:rsidP="002F025D">
      <w:pPr>
        <w:spacing w:before="100" w:beforeAutospacing="1" w:after="100" w:afterAutospacing="1" w:line="240" w:lineRule="auto"/>
        <w:ind w:right="-1"/>
        <w:jc w:val="both"/>
        <w:rPr>
          <w:rFonts w:ascii="Book Antiqua" w:hAnsi="Book Antiqua" w:cs="Times New Roman"/>
          <w:b/>
          <w:color w:val="FF0000"/>
          <w:sz w:val="19"/>
          <w:szCs w:val="19"/>
        </w:rPr>
      </w:pPr>
      <w:bookmarkStart w:id="1" w:name="_Hlk8569752"/>
      <w:r w:rsidRPr="00A61297">
        <w:rPr>
          <w:rFonts w:ascii="Book Antiqua" w:hAnsi="Book Antiqua" w:cs="Times New Roman"/>
          <w:b/>
          <w:i/>
          <w:sz w:val="19"/>
          <w:szCs w:val="19"/>
        </w:rPr>
        <w:t>##</w:t>
      </w:r>
      <w:r w:rsidRPr="00A61297">
        <w:rPr>
          <w:rFonts w:ascii="Book Antiqua" w:hAnsi="Book Antiqua" w:cs="Times New Roman"/>
          <w:b/>
          <w:i/>
          <w:sz w:val="19"/>
          <w:szCs w:val="19"/>
          <w:highlight w:val="magenta"/>
        </w:rPr>
        <w:t>Atenção</w:t>
      </w:r>
      <w:r w:rsidRPr="00A61297">
        <w:rPr>
          <w:rFonts w:ascii="Book Antiqua" w:hAnsi="Book Antiqua" w:cs="Times New Roman"/>
          <w:b/>
          <w:sz w:val="19"/>
          <w:szCs w:val="19"/>
        </w:rPr>
        <w:t xml:space="preserve">: </w:t>
      </w:r>
      <w:r w:rsidRPr="00A61297">
        <w:rPr>
          <w:rFonts w:ascii="Book Antiqua" w:hAnsi="Book Antiqua" w:cs="Times New Roman"/>
          <w:b/>
          <w:sz w:val="19"/>
          <w:szCs w:val="19"/>
          <w:shd w:val="clear" w:color="auto" w:fill="F7CAAC" w:themeFill="accent2" w:themeFillTint="66"/>
        </w:rPr>
        <w:t xml:space="preserve">Atualizações em </w:t>
      </w:r>
      <w:r>
        <w:rPr>
          <w:rFonts w:ascii="Book Antiqua" w:hAnsi="Book Antiqua" w:cs="Times New Roman"/>
          <w:b/>
          <w:sz w:val="19"/>
          <w:szCs w:val="19"/>
          <w:shd w:val="clear" w:color="auto" w:fill="F7CAAC" w:themeFill="accent2" w:themeFillTint="66"/>
        </w:rPr>
        <w:t>27</w:t>
      </w:r>
      <w:r>
        <w:rPr>
          <w:rFonts w:ascii="Book Antiqua" w:hAnsi="Book Antiqua" w:cs="Times New Roman"/>
          <w:b/>
          <w:sz w:val="19"/>
          <w:szCs w:val="19"/>
          <w:shd w:val="clear" w:color="auto" w:fill="F7CAAC" w:themeFill="accent2" w:themeFillTint="66"/>
        </w:rPr>
        <w:t>/1</w:t>
      </w:r>
      <w:r>
        <w:rPr>
          <w:rFonts w:ascii="Book Antiqua" w:hAnsi="Book Antiqua" w:cs="Times New Roman"/>
          <w:b/>
          <w:sz w:val="19"/>
          <w:szCs w:val="19"/>
          <w:shd w:val="clear" w:color="auto" w:fill="F7CAAC" w:themeFill="accent2" w:themeFillTint="66"/>
        </w:rPr>
        <w:t>2</w:t>
      </w:r>
      <w:r w:rsidRPr="00A61297">
        <w:rPr>
          <w:rFonts w:ascii="Book Antiqua" w:hAnsi="Book Antiqua" w:cs="Times New Roman"/>
          <w:b/>
          <w:sz w:val="19"/>
          <w:szCs w:val="19"/>
          <w:shd w:val="clear" w:color="auto" w:fill="F7CAAC" w:themeFill="accent2" w:themeFillTint="66"/>
        </w:rPr>
        <w:t>/2021</w:t>
      </w:r>
      <w:r w:rsidRPr="00A61297">
        <w:rPr>
          <w:rFonts w:ascii="Book Antiqua" w:hAnsi="Book Antiqua" w:cs="Times New Roman"/>
          <w:b/>
          <w:sz w:val="19"/>
          <w:szCs w:val="19"/>
        </w:rPr>
        <w:t xml:space="preserve"> (as últimas atualizações na cor </w:t>
      </w:r>
      <w:r w:rsidRPr="00A61297">
        <w:rPr>
          <w:rFonts w:ascii="Book Antiqua" w:hAnsi="Book Antiqua" w:cs="Times New Roman"/>
          <w:b/>
          <w:sz w:val="19"/>
          <w:szCs w:val="19"/>
          <w:highlight w:val="green"/>
        </w:rPr>
        <w:t>VERDE</w:t>
      </w:r>
      <w:r w:rsidRPr="00A61297">
        <w:rPr>
          <w:rFonts w:ascii="Book Antiqua" w:hAnsi="Book Antiqua" w:cs="Times New Roman"/>
          <w:b/>
          <w:sz w:val="19"/>
          <w:szCs w:val="19"/>
        </w:rPr>
        <w:t>):</w:t>
      </w:r>
      <w:bookmarkEnd w:id="1"/>
    </w:p>
    <w:p w14:paraId="2B4989CC" w14:textId="77FD653E" w:rsidR="002F025D" w:rsidRDefault="002F025D" w:rsidP="002F025D">
      <w:pPr>
        <w:pStyle w:val="PargrafodaLista"/>
        <w:numPr>
          <w:ilvl w:val="0"/>
          <w:numId w:val="1"/>
        </w:numPr>
        <w:spacing w:before="100" w:beforeAutospacing="1" w:after="100" w:afterAutospacing="1" w:line="240" w:lineRule="auto"/>
        <w:ind w:right="-1"/>
        <w:jc w:val="both"/>
        <w:rPr>
          <w:rFonts w:ascii="Book Antiqua" w:hAnsi="Book Antiqua" w:cs="Times New Roman"/>
          <w:b/>
          <w:sz w:val="19"/>
          <w:szCs w:val="19"/>
        </w:rPr>
      </w:pPr>
      <w:bookmarkStart w:id="2" w:name="_Hlk8569788"/>
      <w:r w:rsidRPr="00A61297">
        <w:rPr>
          <w:rFonts w:ascii="Book Antiqua" w:hAnsi="Book Antiqua" w:cs="Times New Roman"/>
          <w:b/>
          <w:sz w:val="19"/>
          <w:szCs w:val="19"/>
          <w:highlight w:val="green"/>
        </w:rPr>
        <w:t>Questões de concurso</w:t>
      </w:r>
      <w:r w:rsidRPr="00A61297">
        <w:rPr>
          <w:rFonts w:ascii="Book Antiqua" w:hAnsi="Book Antiqua" w:cs="Times New Roman"/>
          <w:b/>
          <w:sz w:val="19"/>
          <w:szCs w:val="19"/>
        </w:rPr>
        <w:t>.</w:t>
      </w:r>
    </w:p>
    <w:p w14:paraId="5BEABF2F" w14:textId="5FDB96FC" w:rsidR="002F025D" w:rsidRDefault="002F025D" w:rsidP="002F025D">
      <w:pPr>
        <w:spacing w:before="100" w:beforeAutospacing="1" w:after="100" w:afterAutospacing="1" w:line="240" w:lineRule="auto"/>
        <w:ind w:right="-1"/>
        <w:jc w:val="both"/>
        <w:rPr>
          <w:rFonts w:ascii="Book Antiqua" w:hAnsi="Book Antiqua" w:cs="Times New Roman"/>
          <w:b/>
          <w:sz w:val="19"/>
          <w:szCs w:val="19"/>
        </w:rPr>
      </w:pPr>
    </w:p>
    <w:p w14:paraId="1C1D9219"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r w:rsidRPr="002F025D">
        <w:rPr>
          <w:rFonts w:ascii="Book Antiqua" w:hAnsi="Book Antiqua" w:cs="Times New Roman"/>
          <w:bCs/>
          <w:sz w:val="19"/>
          <w:szCs w:val="19"/>
        </w:rPr>
        <w:t xml:space="preserve">SÚMULA Nº 1 - </w:t>
      </w:r>
      <w:r w:rsidRPr="002F025D">
        <w:rPr>
          <w:rFonts w:ascii="Book Antiqua" w:hAnsi="Book Antiqua" w:cs="Times New Roman"/>
          <w:b/>
          <w:color w:val="FF0000"/>
          <w:sz w:val="19"/>
          <w:szCs w:val="19"/>
        </w:rPr>
        <w:t>Cancelada</w:t>
      </w:r>
      <w:r w:rsidRPr="002F025D">
        <w:rPr>
          <w:rFonts w:ascii="Book Antiqua" w:hAnsi="Book Antiqua" w:cs="Times New Roman"/>
          <w:bCs/>
          <w:sz w:val="19"/>
          <w:szCs w:val="19"/>
        </w:rPr>
        <w:t xml:space="preserve"> (DJ 1 Nº 77, de 24/04/95)</w:t>
      </w:r>
    </w:p>
    <w:p w14:paraId="369370ED"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trike/>
          <w:sz w:val="19"/>
          <w:szCs w:val="19"/>
        </w:rPr>
      </w:pPr>
      <w:r w:rsidRPr="002F025D">
        <w:rPr>
          <w:rFonts w:ascii="Book Antiqua" w:hAnsi="Book Antiqua" w:cs="Times New Roman"/>
          <w:bCs/>
          <w:strike/>
          <w:color w:val="FF0000"/>
          <w:sz w:val="19"/>
          <w:szCs w:val="19"/>
        </w:rPr>
        <w:t>Texto anterior: Desclassifica-se para o art. 187, do CPM, a deserção especial prevista no art. 190, do mesmo diploma legal, quando o infrator se apresenta ou é capturado depois de decorridos mais de 10 (dez) dias da prática do ato delituoso, não se configurando afronta ao art. 437, alínea "a”, do Código de Processo Penal Militar. (DJ1, 02-05-1980, p. 3021).</w:t>
      </w:r>
    </w:p>
    <w:p w14:paraId="515FF6A2"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p>
    <w:p w14:paraId="430F0A51"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r w:rsidRPr="002F025D">
        <w:rPr>
          <w:rFonts w:ascii="Book Antiqua" w:hAnsi="Book Antiqua" w:cs="Times New Roman"/>
          <w:bCs/>
          <w:sz w:val="19"/>
          <w:szCs w:val="19"/>
        </w:rPr>
        <w:t xml:space="preserve">SÚMULA Nº 2 - </w:t>
      </w:r>
      <w:r w:rsidRPr="002F025D">
        <w:rPr>
          <w:rFonts w:ascii="Book Antiqua" w:hAnsi="Book Antiqua" w:cs="Times New Roman"/>
          <w:b/>
          <w:color w:val="FF0000"/>
          <w:sz w:val="19"/>
          <w:szCs w:val="19"/>
        </w:rPr>
        <w:t>Cancelada</w:t>
      </w:r>
      <w:r w:rsidRPr="002F025D">
        <w:rPr>
          <w:rFonts w:ascii="Book Antiqua" w:hAnsi="Book Antiqua" w:cs="Times New Roman"/>
          <w:bCs/>
          <w:sz w:val="19"/>
          <w:szCs w:val="19"/>
        </w:rPr>
        <w:t xml:space="preserve"> (DJ 1 Nº 77, de 24/04/95)</w:t>
      </w:r>
    </w:p>
    <w:p w14:paraId="5DF59BE0"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trike/>
          <w:sz w:val="19"/>
          <w:szCs w:val="19"/>
        </w:rPr>
      </w:pPr>
      <w:r w:rsidRPr="002F025D">
        <w:rPr>
          <w:rFonts w:ascii="Book Antiqua" w:hAnsi="Book Antiqua" w:cs="Times New Roman"/>
          <w:bCs/>
          <w:strike/>
          <w:color w:val="FF0000"/>
          <w:sz w:val="19"/>
          <w:szCs w:val="19"/>
        </w:rPr>
        <w:t>Texto anterior: Não constitui nulidade processual a omissão ou ineficiência no cumprimento da diligência para localização e retorno do militar ausente à sua Unidade, medida prevista no art. 456, § 2º, do Código de Processo Penal Militar . (DJ1, 02-05-1980, p. 3021).</w:t>
      </w:r>
    </w:p>
    <w:p w14:paraId="3269D44A"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p>
    <w:p w14:paraId="63134F02"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r w:rsidRPr="002F025D">
        <w:rPr>
          <w:rFonts w:ascii="Book Antiqua" w:hAnsi="Book Antiqua" w:cs="Times New Roman"/>
          <w:bCs/>
          <w:sz w:val="19"/>
          <w:szCs w:val="19"/>
        </w:rPr>
        <w:t>SÚMULA Nº 3 - (Republicada no DJ 1 Nº 77, de 24/04/95)</w:t>
      </w:r>
    </w:p>
    <w:p w14:paraId="5F963B02"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r w:rsidRPr="002F025D">
        <w:rPr>
          <w:rFonts w:ascii="Book Antiqua" w:hAnsi="Book Antiqua" w:cs="Times New Roman"/>
          <w:bCs/>
          <w:sz w:val="19"/>
          <w:szCs w:val="19"/>
        </w:rPr>
        <w:t>"Não constituem excludentes de culpabilidade, nos crimes de deserção e insubmissão, alegações de ordem particular ou familiar desacompanhadas de provas." (Aprovada – DJ1, 02.05.1980, p. 3021).</w:t>
      </w:r>
    </w:p>
    <w:p w14:paraId="2162B171"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p>
    <w:p w14:paraId="7F28E80B"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r w:rsidRPr="002F025D">
        <w:rPr>
          <w:rFonts w:ascii="Book Antiqua" w:hAnsi="Book Antiqua" w:cs="Times New Roman"/>
          <w:bCs/>
          <w:sz w:val="19"/>
          <w:szCs w:val="19"/>
        </w:rPr>
        <w:t xml:space="preserve">SÚMULA Nº 4 - </w:t>
      </w:r>
      <w:r w:rsidRPr="002F025D">
        <w:rPr>
          <w:rFonts w:ascii="Book Antiqua" w:hAnsi="Book Antiqua" w:cs="Times New Roman"/>
          <w:b/>
          <w:color w:val="FF0000"/>
          <w:sz w:val="19"/>
          <w:szCs w:val="19"/>
        </w:rPr>
        <w:t>Cancelada</w:t>
      </w:r>
      <w:r w:rsidRPr="002F025D">
        <w:rPr>
          <w:rFonts w:ascii="Book Antiqua" w:hAnsi="Book Antiqua" w:cs="Times New Roman"/>
          <w:bCs/>
          <w:sz w:val="19"/>
          <w:szCs w:val="19"/>
        </w:rPr>
        <w:t xml:space="preserve"> (DJ 1 Nº 77, de 24/04/95)</w:t>
      </w:r>
    </w:p>
    <w:p w14:paraId="4056B658"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trike/>
          <w:color w:val="FF0000"/>
          <w:sz w:val="19"/>
          <w:szCs w:val="19"/>
        </w:rPr>
      </w:pPr>
      <w:r w:rsidRPr="002F025D">
        <w:rPr>
          <w:rFonts w:ascii="Book Antiqua" w:hAnsi="Book Antiqua" w:cs="Times New Roman"/>
          <w:bCs/>
          <w:strike/>
          <w:color w:val="FF0000"/>
          <w:sz w:val="19"/>
          <w:szCs w:val="19"/>
        </w:rPr>
        <w:t>Texto anterior: O crime de insubmissão, capitulado no artigo 183 do CPM, tipifica-se quando provado, de maneira inconteste, o conhecimento, pelo Conscrito, da data e local de sua apresentação, para incorporação, seja através de documentos ou anotação hábil constante dos autos, seja através de sua própria confissão. (DJ1, 02-05-1980, p. 3021)</w:t>
      </w:r>
    </w:p>
    <w:p w14:paraId="599E2170"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p>
    <w:p w14:paraId="177578B3"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r w:rsidRPr="002F025D">
        <w:rPr>
          <w:rFonts w:ascii="Book Antiqua" w:hAnsi="Book Antiqua" w:cs="Times New Roman"/>
          <w:bCs/>
          <w:sz w:val="19"/>
          <w:szCs w:val="19"/>
        </w:rPr>
        <w:t>SÚMULA Nº 5 - (DJ 1 Nº 77, de 24/04/95)</w:t>
      </w:r>
    </w:p>
    <w:p w14:paraId="026F9555"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r w:rsidRPr="002F025D">
        <w:rPr>
          <w:rFonts w:ascii="Book Antiqua" w:hAnsi="Book Antiqua" w:cs="Times New Roman"/>
          <w:bCs/>
          <w:sz w:val="19"/>
          <w:szCs w:val="19"/>
        </w:rPr>
        <w:t>"A desclassificação de crime capitulado na denúncia pode ser operada pelo Tribunal ou pelos Conselhos de Justiça, mesmo sem manifestação neste sentido do Ministério Público Militar nas alegações finais, desde quando importe em beneficio para o réu e conste da matéria fática."</w:t>
      </w:r>
    </w:p>
    <w:p w14:paraId="0DC09C99"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p>
    <w:p w14:paraId="247DFEED"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r w:rsidRPr="002F025D">
        <w:rPr>
          <w:rFonts w:ascii="Book Antiqua" w:hAnsi="Book Antiqua" w:cs="Times New Roman"/>
          <w:bCs/>
          <w:sz w:val="19"/>
          <w:szCs w:val="19"/>
        </w:rPr>
        <w:t xml:space="preserve">SÚMULA Nº 6 - </w:t>
      </w:r>
      <w:r w:rsidRPr="002F025D">
        <w:rPr>
          <w:rFonts w:ascii="Book Antiqua" w:hAnsi="Book Antiqua" w:cs="Times New Roman"/>
          <w:b/>
          <w:color w:val="FF0000"/>
          <w:sz w:val="19"/>
          <w:szCs w:val="19"/>
        </w:rPr>
        <w:t>Cancelada</w:t>
      </w:r>
      <w:r w:rsidRPr="002F025D">
        <w:rPr>
          <w:rFonts w:ascii="Book Antiqua" w:hAnsi="Book Antiqua" w:cs="Times New Roman"/>
          <w:bCs/>
          <w:sz w:val="19"/>
          <w:szCs w:val="19"/>
        </w:rPr>
        <w:t xml:space="preserve"> (DJ 1 Nº 77, de 24/04/95)</w:t>
      </w:r>
    </w:p>
    <w:p w14:paraId="5695C4C6"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trike/>
          <w:color w:val="FF0000"/>
          <w:sz w:val="19"/>
          <w:szCs w:val="19"/>
        </w:rPr>
      </w:pPr>
      <w:r w:rsidRPr="002F025D">
        <w:rPr>
          <w:rFonts w:ascii="Book Antiqua" w:hAnsi="Book Antiqua" w:cs="Times New Roman"/>
          <w:bCs/>
          <w:strike/>
          <w:color w:val="FF0000"/>
          <w:sz w:val="19"/>
          <w:szCs w:val="19"/>
        </w:rPr>
        <w:t>Texto anterior: O insubmisso, classificado no Grupo B.1 ou B.2 em inspeção de saúde e considerado "incapaz definitivamente" nos termos da regulamentação da Lei do Serviço Militar, fica isento do processo, "</w:t>
      </w:r>
      <w:proofErr w:type="spellStart"/>
      <w:r w:rsidRPr="002F025D">
        <w:rPr>
          <w:rFonts w:ascii="Book Antiqua" w:hAnsi="Book Antiqua" w:cs="Times New Roman"/>
          <w:bCs/>
          <w:strike/>
          <w:color w:val="FF0000"/>
          <w:sz w:val="19"/>
          <w:szCs w:val="19"/>
        </w:rPr>
        <w:t>ex</w:t>
      </w:r>
      <w:proofErr w:type="spellEnd"/>
      <w:r w:rsidRPr="002F025D">
        <w:rPr>
          <w:rFonts w:ascii="Book Antiqua" w:hAnsi="Book Antiqua" w:cs="Times New Roman"/>
          <w:bCs/>
          <w:strike/>
          <w:color w:val="FF0000"/>
          <w:sz w:val="19"/>
          <w:szCs w:val="19"/>
        </w:rPr>
        <w:t xml:space="preserve"> vi" do artigo 464 do CPPM. (DJ1, 02-09-1985, p. 14.516).</w:t>
      </w:r>
    </w:p>
    <w:p w14:paraId="4AAABC77"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p>
    <w:p w14:paraId="75E8BD9C"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r w:rsidRPr="002F025D">
        <w:rPr>
          <w:rFonts w:ascii="Book Antiqua" w:hAnsi="Book Antiqua" w:cs="Times New Roman"/>
          <w:bCs/>
          <w:sz w:val="19"/>
          <w:szCs w:val="19"/>
        </w:rPr>
        <w:lastRenderedPageBreak/>
        <w:t>SÚMULA Nº 7 - (DJ 1 Nº 77, de 24/04/95)</w:t>
      </w:r>
    </w:p>
    <w:p w14:paraId="483284D0"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r w:rsidRPr="002F025D">
        <w:rPr>
          <w:rFonts w:ascii="Book Antiqua" w:hAnsi="Book Antiqua" w:cs="Times New Roman"/>
          <w:bCs/>
          <w:sz w:val="19"/>
          <w:szCs w:val="19"/>
        </w:rPr>
        <w:t>"O crime de insubmissão, capitulado no art. 183 do CPM, caracteriza-se quando provado de maneira inconteste o conhecimento pelo conscrito da data e local de sua apresentação para incorporação, através de documento hábil constante dos autos. A confissão do indigitado insubmisso deverá ser considerada no quadro do conjunto probatório."</w:t>
      </w:r>
    </w:p>
    <w:p w14:paraId="551E0517"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p>
    <w:p w14:paraId="7BB621E9"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r w:rsidRPr="002F025D">
        <w:rPr>
          <w:rFonts w:ascii="Book Antiqua" w:hAnsi="Book Antiqua" w:cs="Times New Roman"/>
          <w:bCs/>
          <w:sz w:val="19"/>
          <w:szCs w:val="19"/>
        </w:rPr>
        <w:t>SÚMULA Nº 8 - (DJ 1 Nº 77, de 24/04/95)</w:t>
      </w:r>
    </w:p>
    <w:p w14:paraId="51017251" w14:textId="125C4520" w:rsidR="002F025D" w:rsidRPr="002F025D" w:rsidRDefault="002F025D" w:rsidP="002F025D">
      <w:pPr>
        <w:spacing w:before="100" w:beforeAutospacing="1" w:after="100" w:afterAutospacing="1" w:line="240" w:lineRule="auto"/>
        <w:ind w:right="-1"/>
        <w:jc w:val="both"/>
        <w:rPr>
          <w:rFonts w:ascii="Book Antiqua" w:hAnsi="Book Antiqua" w:cs="Times New Roman"/>
          <w:b/>
          <w:sz w:val="19"/>
          <w:szCs w:val="19"/>
          <w:u w:val="single"/>
        </w:rPr>
      </w:pPr>
      <w:r w:rsidRPr="002F025D">
        <w:rPr>
          <w:rFonts w:ascii="Book Antiqua" w:hAnsi="Book Antiqua" w:cs="Times New Roman"/>
          <w:bCs/>
          <w:sz w:val="19"/>
          <w:szCs w:val="19"/>
        </w:rPr>
        <w:t>"O desertor sem estabilidade e o insubmisso que, por apresentação voluntária ou em razão de captura, forem julgados em inspeção de saúde, para fins de reinclusão ou incorporação, incapazes para o Serviço Militar, podem ser isentos do processo, após o pronunciamento do representante do Ministério Público."</w:t>
      </w:r>
      <w:r w:rsidRPr="002F025D">
        <w:rPr>
          <w:rFonts w:ascii="Book Antiqua" w:hAnsi="Book Antiqua" w:cs="Times New Roman"/>
          <w:bCs/>
          <w:color w:val="FF0000"/>
          <w:sz w:val="18"/>
          <w:szCs w:val="18"/>
        </w:rPr>
        <w:t xml:space="preserve"> </w:t>
      </w:r>
      <w:r w:rsidRPr="002F025D">
        <w:rPr>
          <w:rFonts w:ascii="Book Antiqua" w:hAnsi="Book Antiqua" w:cs="Times New Roman"/>
          <w:b/>
          <w:color w:val="FF0000"/>
          <w:sz w:val="18"/>
          <w:szCs w:val="18"/>
          <w:u w:val="single"/>
        </w:rPr>
        <w:t>(DPU-2017)</w:t>
      </w:r>
    </w:p>
    <w:p w14:paraId="3F8B7A39"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p>
    <w:p w14:paraId="64DCACA7"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r w:rsidRPr="002F025D">
        <w:rPr>
          <w:rFonts w:ascii="Book Antiqua" w:hAnsi="Book Antiqua" w:cs="Times New Roman"/>
          <w:bCs/>
          <w:sz w:val="19"/>
          <w:szCs w:val="19"/>
        </w:rPr>
        <w:t>SÚMULA Nº 9 - (DJ 1 Nº 249, de 24/12/96)</w:t>
      </w:r>
    </w:p>
    <w:p w14:paraId="0C0AA33B"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r w:rsidRPr="002F025D">
        <w:rPr>
          <w:rFonts w:ascii="Book Antiqua" w:hAnsi="Book Antiqua" w:cs="Times New Roman"/>
          <w:bCs/>
          <w:sz w:val="19"/>
          <w:szCs w:val="19"/>
        </w:rPr>
        <w:t>"A Lei n° 9.099, de 26.09.95, que dispõe sobre os Juízos Especiais Cíveis e Criminais e dá outras providências, não se aplica à Justiça Militar da União."</w:t>
      </w:r>
    </w:p>
    <w:p w14:paraId="0F24D193"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p>
    <w:p w14:paraId="1FE6811D"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r w:rsidRPr="002F025D">
        <w:rPr>
          <w:rFonts w:ascii="Book Antiqua" w:hAnsi="Book Antiqua" w:cs="Times New Roman"/>
          <w:bCs/>
          <w:sz w:val="19"/>
          <w:szCs w:val="19"/>
        </w:rPr>
        <w:t xml:space="preserve">SÚMULA Nº 10 - </w:t>
      </w:r>
      <w:r w:rsidRPr="002F025D">
        <w:rPr>
          <w:rFonts w:ascii="Book Antiqua" w:hAnsi="Book Antiqua" w:cs="Times New Roman"/>
          <w:b/>
          <w:color w:val="FF0000"/>
          <w:sz w:val="19"/>
          <w:szCs w:val="19"/>
        </w:rPr>
        <w:t>Cancelada</w:t>
      </w:r>
      <w:r w:rsidRPr="002F025D">
        <w:rPr>
          <w:rFonts w:ascii="Book Antiqua" w:hAnsi="Book Antiqua" w:cs="Times New Roman"/>
          <w:bCs/>
          <w:sz w:val="19"/>
          <w:szCs w:val="19"/>
        </w:rPr>
        <w:t xml:space="preserve"> (</w:t>
      </w:r>
      <w:proofErr w:type="spellStart"/>
      <w:r w:rsidRPr="002F025D">
        <w:rPr>
          <w:rFonts w:ascii="Book Antiqua" w:hAnsi="Book Antiqua" w:cs="Times New Roman"/>
          <w:bCs/>
          <w:sz w:val="19"/>
          <w:szCs w:val="19"/>
        </w:rPr>
        <w:t>DJe</w:t>
      </w:r>
      <w:proofErr w:type="spellEnd"/>
      <w:r w:rsidRPr="002F025D">
        <w:rPr>
          <w:rFonts w:ascii="Book Antiqua" w:hAnsi="Book Antiqua" w:cs="Times New Roman"/>
          <w:bCs/>
          <w:sz w:val="19"/>
          <w:szCs w:val="19"/>
        </w:rPr>
        <w:t xml:space="preserve"> Nº 103, de 13/06/2018)</w:t>
      </w:r>
    </w:p>
    <w:p w14:paraId="748D482A"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trike/>
          <w:color w:val="FF0000"/>
          <w:sz w:val="19"/>
          <w:szCs w:val="19"/>
        </w:rPr>
      </w:pPr>
      <w:r w:rsidRPr="002F025D">
        <w:rPr>
          <w:rFonts w:ascii="Book Antiqua" w:hAnsi="Book Antiqua" w:cs="Times New Roman"/>
          <w:bCs/>
          <w:strike/>
          <w:color w:val="FF0000"/>
          <w:sz w:val="19"/>
          <w:szCs w:val="19"/>
        </w:rPr>
        <w:t>"Não se concede liberdade provisória a preso por deserção antes de decorrido o prazo previsto no art. 453 do CPPM".</w:t>
      </w:r>
    </w:p>
    <w:p w14:paraId="6B165842"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p>
    <w:p w14:paraId="12E52C4A"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r w:rsidRPr="002F025D">
        <w:rPr>
          <w:rFonts w:ascii="Book Antiqua" w:hAnsi="Book Antiqua" w:cs="Times New Roman"/>
          <w:bCs/>
          <w:sz w:val="19"/>
          <w:szCs w:val="19"/>
        </w:rPr>
        <w:t>SÚMULA Nº 11 - (DJ 1 Nº 18, de 27/01/97)</w:t>
      </w:r>
    </w:p>
    <w:p w14:paraId="581212FA"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r w:rsidRPr="002F025D">
        <w:rPr>
          <w:rFonts w:ascii="Book Antiqua" w:hAnsi="Book Antiqua" w:cs="Times New Roman"/>
          <w:bCs/>
          <w:sz w:val="19"/>
          <w:szCs w:val="19"/>
        </w:rPr>
        <w:t xml:space="preserve">"O recolhimento à prisão, como condição para apelar (art. 527, do CPPM), aplica-se ao Réu foragido e, tratando-se de revel, só é aplicável se a sentença houver negado o direito de apelar em liberdade." </w:t>
      </w:r>
    </w:p>
    <w:p w14:paraId="486EF27D"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p>
    <w:p w14:paraId="19422962"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r w:rsidRPr="002F025D">
        <w:rPr>
          <w:rFonts w:ascii="Book Antiqua" w:hAnsi="Book Antiqua" w:cs="Times New Roman"/>
          <w:bCs/>
          <w:sz w:val="19"/>
          <w:szCs w:val="19"/>
        </w:rPr>
        <w:t>SÚMULA Nº 12 - (DJ 1 N° 18, de 27.01.97)</w:t>
      </w:r>
    </w:p>
    <w:p w14:paraId="4B7B5B73"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r w:rsidRPr="002F025D">
        <w:rPr>
          <w:rFonts w:ascii="Book Antiqua" w:hAnsi="Book Antiqua" w:cs="Times New Roman"/>
          <w:bCs/>
          <w:sz w:val="19"/>
          <w:szCs w:val="19"/>
        </w:rPr>
        <w:t xml:space="preserve">"A praça sem estabilidade não pode ser denunciada por deserção sem ter readquirido o status de militar, condição de procedibilidade para a </w:t>
      </w:r>
      <w:proofErr w:type="spellStart"/>
      <w:r w:rsidRPr="002F025D">
        <w:rPr>
          <w:rFonts w:ascii="Book Antiqua" w:hAnsi="Book Antiqua" w:cs="Times New Roman"/>
          <w:bCs/>
          <w:sz w:val="19"/>
          <w:szCs w:val="19"/>
        </w:rPr>
        <w:t>persecutio</w:t>
      </w:r>
      <w:proofErr w:type="spellEnd"/>
      <w:r w:rsidRPr="002F025D">
        <w:rPr>
          <w:rFonts w:ascii="Book Antiqua" w:hAnsi="Book Antiqua" w:cs="Times New Roman"/>
          <w:bCs/>
          <w:sz w:val="19"/>
          <w:szCs w:val="19"/>
        </w:rPr>
        <w:t xml:space="preserve"> criminis, através da reinclusão. Para a praça estável, a condição de procedibilidade é a reversão ao serviço ativo." </w:t>
      </w:r>
    </w:p>
    <w:p w14:paraId="567037A6"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p>
    <w:p w14:paraId="50A90328"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r w:rsidRPr="002F025D">
        <w:rPr>
          <w:rFonts w:ascii="Book Antiqua" w:hAnsi="Book Antiqua" w:cs="Times New Roman"/>
          <w:bCs/>
          <w:sz w:val="19"/>
          <w:szCs w:val="19"/>
        </w:rPr>
        <w:t>SÚMULA Nº 13 - (DJ 1 N° 18, de 27.01.97)</w:t>
      </w:r>
    </w:p>
    <w:p w14:paraId="16F3756B"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r w:rsidRPr="002F025D">
        <w:rPr>
          <w:rFonts w:ascii="Book Antiqua" w:hAnsi="Book Antiqua" w:cs="Times New Roman"/>
          <w:bCs/>
          <w:sz w:val="19"/>
          <w:szCs w:val="19"/>
        </w:rPr>
        <w:t>"A declaração de extinção de punibilidade em IPI, IPD e IPM deve ser objeto de Decisão, que, também, determinará o arquivamento dos autos."</w:t>
      </w:r>
    </w:p>
    <w:p w14:paraId="14EC4598"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p>
    <w:p w14:paraId="1143ECBB"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r w:rsidRPr="002F025D">
        <w:rPr>
          <w:rFonts w:ascii="Book Antiqua" w:hAnsi="Book Antiqua" w:cs="Times New Roman"/>
          <w:bCs/>
          <w:sz w:val="19"/>
          <w:szCs w:val="19"/>
        </w:rPr>
        <w:t xml:space="preserve">SÚMULA Nº 14 - ( </w:t>
      </w:r>
      <w:proofErr w:type="spellStart"/>
      <w:r w:rsidRPr="002F025D">
        <w:rPr>
          <w:rFonts w:ascii="Book Antiqua" w:hAnsi="Book Antiqua" w:cs="Times New Roman"/>
          <w:bCs/>
          <w:sz w:val="19"/>
          <w:szCs w:val="19"/>
        </w:rPr>
        <w:t>DJe</w:t>
      </w:r>
      <w:proofErr w:type="spellEnd"/>
      <w:r w:rsidRPr="002F025D">
        <w:rPr>
          <w:rFonts w:ascii="Book Antiqua" w:hAnsi="Book Antiqua" w:cs="Times New Roman"/>
          <w:bCs/>
          <w:sz w:val="19"/>
          <w:szCs w:val="19"/>
        </w:rPr>
        <w:t xml:space="preserve"> N° 149, de 02.09.14)</w:t>
      </w:r>
    </w:p>
    <w:p w14:paraId="4A9DBDF2"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r w:rsidRPr="002F025D">
        <w:rPr>
          <w:rFonts w:ascii="Book Antiqua" w:hAnsi="Book Antiqua" w:cs="Times New Roman"/>
          <w:bCs/>
          <w:sz w:val="19"/>
          <w:szCs w:val="19"/>
        </w:rPr>
        <w:lastRenderedPageBreak/>
        <w:t xml:space="preserve">"Tendo em vista a especialidade da legislação militar, a Lei n°11.343, de 23 de agosto de 2006, que instituiu o Sistema Nacional de Políticas Públicas sobre Drogas, não se aplica à Justiça Militar da União". </w:t>
      </w:r>
    </w:p>
    <w:p w14:paraId="208CDC2F"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p>
    <w:p w14:paraId="14C26424"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r w:rsidRPr="002F025D">
        <w:rPr>
          <w:rFonts w:ascii="Book Antiqua" w:hAnsi="Book Antiqua" w:cs="Times New Roman"/>
          <w:bCs/>
          <w:sz w:val="19"/>
          <w:szCs w:val="19"/>
        </w:rPr>
        <w:t xml:space="preserve">SÚMULA Nº 15 - </w:t>
      </w:r>
      <w:r w:rsidRPr="002F025D">
        <w:rPr>
          <w:rFonts w:ascii="Book Antiqua" w:hAnsi="Book Antiqua" w:cs="Times New Roman"/>
          <w:b/>
          <w:color w:val="FF0000"/>
          <w:sz w:val="19"/>
          <w:szCs w:val="19"/>
        </w:rPr>
        <w:t>Cancelada</w:t>
      </w:r>
      <w:r w:rsidRPr="002F025D">
        <w:rPr>
          <w:rFonts w:ascii="Book Antiqua" w:hAnsi="Book Antiqua" w:cs="Times New Roman"/>
          <w:bCs/>
          <w:sz w:val="19"/>
          <w:szCs w:val="19"/>
        </w:rPr>
        <w:t xml:space="preserve"> (</w:t>
      </w:r>
      <w:proofErr w:type="spellStart"/>
      <w:r w:rsidRPr="002F025D">
        <w:rPr>
          <w:rFonts w:ascii="Book Antiqua" w:hAnsi="Book Antiqua" w:cs="Times New Roman"/>
          <w:bCs/>
          <w:sz w:val="19"/>
          <w:szCs w:val="19"/>
        </w:rPr>
        <w:t>DJe</w:t>
      </w:r>
      <w:proofErr w:type="spellEnd"/>
      <w:r w:rsidRPr="002F025D">
        <w:rPr>
          <w:rFonts w:ascii="Book Antiqua" w:hAnsi="Book Antiqua" w:cs="Times New Roman"/>
          <w:bCs/>
          <w:sz w:val="19"/>
          <w:szCs w:val="19"/>
        </w:rPr>
        <w:t xml:space="preserve"> N° 88, de 17.05.2016)</w:t>
      </w:r>
    </w:p>
    <w:p w14:paraId="0F8AD4CD"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trike/>
          <w:color w:val="FF0000"/>
          <w:sz w:val="19"/>
          <w:szCs w:val="19"/>
        </w:rPr>
      </w:pPr>
      <w:r w:rsidRPr="002F025D">
        <w:rPr>
          <w:rFonts w:ascii="Book Antiqua" w:hAnsi="Book Antiqua" w:cs="Times New Roman"/>
          <w:bCs/>
          <w:strike/>
          <w:color w:val="FF0000"/>
          <w:sz w:val="19"/>
          <w:szCs w:val="19"/>
        </w:rPr>
        <w:t xml:space="preserve">"A alteração do art. 400 do CPP, trazida pela Lei nº 11.719, de 20 de junho de 2008, que passou a considerar o interrogatório como último ato da instrução criminal, não se aplica à Justiça Militar da União." (BJM N° 01, de 04.01.13, </w:t>
      </w:r>
      <w:proofErr w:type="spellStart"/>
      <w:r w:rsidRPr="002F025D">
        <w:rPr>
          <w:rFonts w:ascii="Book Antiqua" w:hAnsi="Book Antiqua" w:cs="Times New Roman"/>
          <w:bCs/>
          <w:strike/>
          <w:color w:val="FF0000"/>
          <w:sz w:val="19"/>
          <w:szCs w:val="19"/>
        </w:rPr>
        <w:t>DJe</w:t>
      </w:r>
      <w:proofErr w:type="spellEnd"/>
      <w:r w:rsidRPr="002F025D">
        <w:rPr>
          <w:rFonts w:ascii="Book Antiqua" w:hAnsi="Book Antiqua" w:cs="Times New Roman"/>
          <w:bCs/>
          <w:strike/>
          <w:color w:val="FF0000"/>
          <w:sz w:val="19"/>
          <w:szCs w:val="19"/>
        </w:rPr>
        <w:t xml:space="preserve"> N° 070, de 18.04.13; republicada no </w:t>
      </w:r>
      <w:proofErr w:type="spellStart"/>
      <w:r w:rsidRPr="002F025D">
        <w:rPr>
          <w:rFonts w:ascii="Book Antiqua" w:hAnsi="Book Antiqua" w:cs="Times New Roman"/>
          <w:bCs/>
          <w:strike/>
          <w:color w:val="FF0000"/>
          <w:sz w:val="19"/>
          <w:szCs w:val="19"/>
        </w:rPr>
        <w:t>DJe</w:t>
      </w:r>
      <w:proofErr w:type="spellEnd"/>
      <w:r w:rsidRPr="002F025D">
        <w:rPr>
          <w:rFonts w:ascii="Book Antiqua" w:hAnsi="Book Antiqua" w:cs="Times New Roman"/>
          <w:bCs/>
          <w:strike/>
          <w:color w:val="FF0000"/>
          <w:sz w:val="19"/>
          <w:szCs w:val="19"/>
        </w:rPr>
        <w:t xml:space="preserve"> N° 149, de 02.09.14).</w:t>
      </w:r>
    </w:p>
    <w:p w14:paraId="5C1270EC"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p>
    <w:p w14:paraId="1D8E766F"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r w:rsidRPr="002F025D">
        <w:rPr>
          <w:rFonts w:ascii="Book Antiqua" w:hAnsi="Book Antiqua" w:cs="Times New Roman"/>
          <w:bCs/>
          <w:sz w:val="19"/>
          <w:szCs w:val="19"/>
        </w:rPr>
        <w:t>SÚMULA Nº 16 - (</w:t>
      </w:r>
      <w:proofErr w:type="spellStart"/>
      <w:r w:rsidRPr="002F025D">
        <w:rPr>
          <w:rFonts w:ascii="Book Antiqua" w:hAnsi="Book Antiqua" w:cs="Times New Roman"/>
          <w:bCs/>
          <w:sz w:val="19"/>
          <w:szCs w:val="19"/>
        </w:rPr>
        <w:t>DJe</w:t>
      </w:r>
      <w:proofErr w:type="spellEnd"/>
      <w:r w:rsidRPr="002F025D">
        <w:rPr>
          <w:rFonts w:ascii="Book Antiqua" w:hAnsi="Book Antiqua" w:cs="Times New Roman"/>
          <w:bCs/>
          <w:sz w:val="19"/>
          <w:szCs w:val="19"/>
        </w:rPr>
        <w:t xml:space="preserve"> N° 207, de 11.11.2016)</w:t>
      </w:r>
    </w:p>
    <w:p w14:paraId="3DDCB4F4"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r w:rsidRPr="002F025D">
        <w:rPr>
          <w:rFonts w:ascii="Book Antiqua" w:hAnsi="Book Antiqua" w:cs="Times New Roman"/>
          <w:bCs/>
          <w:sz w:val="19"/>
          <w:szCs w:val="19"/>
        </w:rPr>
        <w:t>"A suspensão condicional da pena (sursis) não é espécie de pena; portanto, o transcurso do período de prova, estabelecido em audiência admonitória, não atende ao requisito objetivo exigível para a declaração de extinção da punibilidade pelo indulto".</w:t>
      </w:r>
    </w:p>
    <w:p w14:paraId="5716BDFF"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p>
    <w:p w14:paraId="1E83B2CF" w14:textId="77777777"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r w:rsidRPr="002F025D">
        <w:rPr>
          <w:rFonts w:ascii="Book Antiqua" w:hAnsi="Book Antiqua" w:cs="Times New Roman"/>
          <w:bCs/>
          <w:sz w:val="19"/>
          <w:szCs w:val="19"/>
        </w:rPr>
        <w:t>SÚMULA Nº 17 - (</w:t>
      </w:r>
      <w:proofErr w:type="spellStart"/>
      <w:r w:rsidRPr="002F025D">
        <w:rPr>
          <w:rFonts w:ascii="Book Antiqua" w:hAnsi="Book Antiqua" w:cs="Times New Roman"/>
          <w:bCs/>
          <w:sz w:val="19"/>
          <w:szCs w:val="19"/>
        </w:rPr>
        <w:t>DJe</w:t>
      </w:r>
      <w:proofErr w:type="spellEnd"/>
      <w:r w:rsidRPr="002F025D">
        <w:rPr>
          <w:rFonts w:ascii="Book Antiqua" w:hAnsi="Book Antiqua" w:cs="Times New Roman"/>
          <w:bCs/>
          <w:sz w:val="19"/>
          <w:szCs w:val="19"/>
        </w:rPr>
        <w:t xml:space="preserve"> N° 213, de 06.12.2019)</w:t>
      </w:r>
    </w:p>
    <w:p w14:paraId="063C2BF3" w14:textId="78BB6F64" w:rsidR="002F025D" w:rsidRPr="002F025D" w:rsidRDefault="002F025D" w:rsidP="002F025D">
      <w:pPr>
        <w:spacing w:before="100" w:beforeAutospacing="1" w:after="100" w:afterAutospacing="1" w:line="240" w:lineRule="auto"/>
        <w:ind w:right="-1"/>
        <w:jc w:val="both"/>
        <w:rPr>
          <w:rFonts w:ascii="Book Antiqua" w:hAnsi="Book Antiqua" w:cs="Times New Roman"/>
          <w:bCs/>
          <w:sz w:val="19"/>
          <w:szCs w:val="19"/>
        </w:rPr>
      </w:pPr>
      <w:r w:rsidRPr="002F025D">
        <w:rPr>
          <w:rFonts w:ascii="Book Antiqua" w:hAnsi="Book Antiqua" w:cs="Times New Roman"/>
          <w:bCs/>
          <w:sz w:val="19"/>
          <w:szCs w:val="19"/>
        </w:rPr>
        <w:t>"Compete aos Conselhos Especial e Permanente de Justiça processar e julgar acusados que, em tese, praticaram crimes militares na condição de militares das Forças Armadas".</w:t>
      </w:r>
    </w:p>
    <w:bookmarkEnd w:id="2"/>
    <w:p w14:paraId="16E52C13" w14:textId="77777777" w:rsidR="00D740CE" w:rsidRDefault="00D740CE"/>
    <w:sectPr w:rsidR="00D740CE" w:rsidSect="002F025D">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A867F1"/>
    <w:multiLevelType w:val="hybridMultilevel"/>
    <w:tmpl w:val="BAEC854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0CE"/>
    <w:rsid w:val="002F025D"/>
    <w:rsid w:val="00D740C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2A806"/>
  <w15:chartTrackingRefBased/>
  <w15:docId w15:val="{726320C5-08AF-436D-B834-9F2F6C6EB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25D"/>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2F02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805</Words>
  <Characters>4353</Characters>
  <Application>Microsoft Office Word</Application>
  <DocSecurity>0</DocSecurity>
  <Lines>36</Lines>
  <Paragraphs>10</Paragraphs>
  <ScaleCrop>false</ScaleCrop>
  <Company/>
  <LinksUpToDate>false</LinksUpToDate>
  <CharactersWithSpaces>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2021-12-27T22:33:00Z</dcterms:created>
  <dcterms:modified xsi:type="dcterms:W3CDTF">2021-12-27T22:38:00Z</dcterms:modified>
</cp:coreProperties>
</file>