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CD1C" w14:textId="03C739A0" w:rsidR="00A61297" w:rsidRPr="00A61297" w:rsidRDefault="00A61297" w:rsidP="00A61297">
      <w:pPr>
        <w:spacing w:before="100" w:beforeAutospacing="1" w:after="100" w:afterAutospacing="1" w:line="240" w:lineRule="auto"/>
        <w:ind w:right="-1"/>
        <w:jc w:val="center"/>
        <w:rPr>
          <w:rFonts w:ascii="Book Antiqua" w:hAnsi="Book Antiqua" w:cs="Times New Roman"/>
          <w:b/>
          <w:sz w:val="19"/>
          <w:szCs w:val="19"/>
          <w:highlight w:val="cyan"/>
        </w:rPr>
      </w:pPr>
      <w:r w:rsidRPr="00A61297">
        <w:rPr>
          <w:rFonts w:ascii="Book Antiqua" w:hAnsi="Book Antiqua" w:cs="Times New Roman"/>
          <w:b/>
          <w:sz w:val="19"/>
          <w:szCs w:val="19"/>
        </w:rPr>
        <w:t>SÚMULAS DA TURMA NACIONAL DE UNIFORMIZAÇÃO - TNU</w:t>
      </w:r>
    </w:p>
    <w:p w14:paraId="70D06A1C" w14:textId="102B3617" w:rsidR="00A61297" w:rsidRDefault="00A61297" w:rsidP="00A61297">
      <w:pPr>
        <w:spacing w:before="100" w:beforeAutospacing="1" w:after="100" w:afterAutospacing="1" w:line="240" w:lineRule="auto"/>
        <w:ind w:right="-1"/>
        <w:jc w:val="center"/>
        <w:rPr>
          <w:rFonts w:ascii="Book Antiqua" w:hAnsi="Book Antiqua" w:cs="Times New Roman"/>
          <w:b/>
          <w:color w:val="FF0000"/>
          <w:sz w:val="19"/>
          <w:szCs w:val="19"/>
        </w:rPr>
      </w:pPr>
      <w:bookmarkStart w:id="0" w:name="_Hlk8569724"/>
      <w:r w:rsidRPr="00A61297">
        <w:rPr>
          <w:rFonts w:ascii="Book Antiqua" w:hAnsi="Book Antiqua" w:cs="Times New Roman"/>
          <w:b/>
          <w:color w:val="FF0000"/>
          <w:sz w:val="19"/>
          <w:szCs w:val="19"/>
        </w:rPr>
        <w:t>Material confeccionado por Eduardo B. S. Teixeira.</w:t>
      </w:r>
      <w:bookmarkEnd w:id="0"/>
    </w:p>
    <w:p w14:paraId="64C6DAFB" w14:textId="7C9B3DD4" w:rsidR="00C03D34" w:rsidRPr="00A61297" w:rsidRDefault="00C03D34" w:rsidP="00A61297">
      <w:pPr>
        <w:spacing w:before="100" w:beforeAutospacing="1" w:after="100" w:afterAutospacing="1" w:line="240" w:lineRule="auto"/>
        <w:ind w:right="-1"/>
        <w:jc w:val="center"/>
        <w:rPr>
          <w:rFonts w:ascii="Book Antiqua" w:hAnsi="Book Antiqua" w:cs="Times New Roman"/>
          <w:b/>
          <w:sz w:val="19"/>
          <w:szCs w:val="19"/>
        </w:rPr>
      </w:pPr>
      <w:r>
        <w:rPr>
          <w:rFonts w:ascii="Book Antiqua" w:hAnsi="Book Antiqua" w:cs="Times New Roman"/>
          <w:b/>
          <w:color w:val="FF0000"/>
          <w:sz w:val="19"/>
          <w:szCs w:val="19"/>
        </w:rPr>
        <w:t xml:space="preserve">(Atualização em </w:t>
      </w:r>
      <w:r w:rsidR="00472133">
        <w:rPr>
          <w:rFonts w:ascii="Book Antiqua" w:hAnsi="Book Antiqua" w:cs="Times New Roman"/>
          <w:b/>
          <w:color w:val="FF0000"/>
          <w:sz w:val="19"/>
          <w:szCs w:val="19"/>
        </w:rPr>
        <w:t>11/03/2025</w:t>
      </w:r>
      <w:r>
        <w:rPr>
          <w:rFonts w:ascii="Book Antiqua" w:hAnsi="Book Antiqua" w:cs="Times New Roman"/>
          <w:b/>
          <w:color w:val="FF0000"/>
          <w:sz w:val="19"/>
          <w:szCs w:val="19"/>
        </w:rPr>
        <w:t>: questões de concurso)</w:t>
      </w:r>
    </w:p>
    <w:p w14:paraId="0683A432" w14:textId="75B55604" w:rsidR="00A61297" w:rsidRPr="00A61297" w:rsidRDefault="00A61297" w:rsidP="00A61297">
      <w:pPr>
        <w:spacing w:before="100" w:beforeAutospacing="1" w:after="100" w:afterAutospacing="1" w:line="240" w:lineRule="auto"/>
        <w:ind w:right="-1"/>
        <w:jc w:val="both"/>
        <w:rPr>
          <w:rFonts w:ascii="Book Antiqua" w:hAnsi="Book Antiqua" w:cs="Times New Roman"/>
          <w:b/>
          <w:color w:val="FF0000"/>
          <w:sz w:val="19"/>
          <w:szCs w:val="19"/>
        </w:rPr>
      </w:pPr>
      <w:bookmarkStart w:id="1" w:name="_Hlk8569752"/>
      <w:r w:rsidRPr="00A61297">
        <w:rPr>
          <w:rFonts w:ascii="Book Antiqua" w:hAnsi="Book Antiqua" w:cs="Times New Roman"/>
          <w:b/>
          <w:i/>
          <w:sz w:val="19"/>
          <w:szCs w:val="19"/>
        </w:rPr>
        <w:t>##</w:t>
      </w:r>
      <w:r w:rsidRPr="00A61297">
        <w:rPr>
          <w:rFonts w:ascii="Book Antiqua" w:hAnsi="Book Antiqua" w:cs="Times New Roman"/>
          <w:b/>
          <w:i/>
          <w:sz w:val="19"/>
          <w:szCs w:val="19"/>
          <w:highlight w:val="magenta"/>
        </w:rPr>
        <w:t>Atenção</w:t>
      </w:r>
      <w:r w:rsidRPr="00A61297">
        <w:rPr>
          <w:rFonts w:ascii="Book Antiqua" w:hAnsi="Book Antiqua" w:cs="Times New Roman"/>
          <w:b/>
          <w:sz w:val="19"/>
          <w:szCs w:val="19"/>
        </w:rPr>
        <w:t xml:space="preserve">: </w:t>
      </w:r>
      <w:r w:rsidRPr="00A61297">
        <w:rPr>
          <w:rFonts w:ascii="Book Antiqua" w:hAnsi="Book Antiqua" w:cs="Times New Roman"/>
          <w:b/>
          <w:sz w:val="19"/>
          <w:szCs w:val="19"/>
          <w:shd w:val="clear" w:color="auto" w:fill="F7CAAC" w:themeFill="accent2" w:themeFillTint="66"/>
        </w:rPr>
        <w:t xml:space="preserve">Atualizações em </w:t>
      </w:r>
      <w:r w:rsidR="006178A9">
        <w:rPr>
          <w:rFonts w:ascii="Book Antiqua" w:hAnsi="Book Antiqua" w:cs="Times New Roman"/>
          <w:b/>
          <w:sz w:val="19"/>
          <w:szCs w:val="19"/>
          <w:shd w:val="clear" w:color="auto" w:fill="F7CAAC" w:themeFill="accent2" w:themeFillTint="66"/>
        </w:rPr>
        <w:t>23/10</w:t>
      </w:r>
      <w:r w:rsidRPr="00A61297">
        <w:rPr>
          <w:rFonts w:ascii="Book Antiqua" w:hAnsi="Book Antiqua" w:cs="Times New Roman"/>
          <w:b/>
          <w:sz w:val="19"/>
          <w:szCs w:val="19"/>
          <w:shd w:val="clear" w:color="auto" w:fill="F7CAAC" w:themeFill="accent2" w:themeFillTint="66"/>
        </w:rPr>
        <w:t>/2021</w:t>
      </w:r>
      <w:r w:rsidRPr="00A61297">
        <w:rPr>
          <w:rFonts w:ascii="Book Antiqua" w:hAnsi="Book Antiqua" w:cs="Times New Roman"/>
          <w:b/>
          <w:sz w:val="19"/>
          <w:szCs w:val="19"/>
        </w:rPr>
        <w:t xml:space="preserve"> (as últimas atualizações na cor </w:t>
      </w:r>
      <w:r w:rsidRPr="00A61297">
        <w:rPr>
          <w:rFonts w:ascii="Book Antiqua" w:hAnsi="Book Antiqua" w:cs="Times New Roman"/>
          <w:b/>
          <w:sz w:val="19"/>
          <w:szCs w:val="19"/>
          <w:highlight w:val="green"/>
        </w:rPr>
        <w:t>VERDE</w:t>
      </w:r>
      <w:r w:rsidRPr="00A61297">
        <w:rPr>
          <w:rFonts w:ascii="Book Antiqua" w:hAnsi="Book Antiqua" w:cs="Times New Roman"/>
          <w:b/>
          <w:sz w:val="19"/>
          <w:szCs w:val="19"/>
        </w:rPr>
        <w:t>):</w:t>
      </w:r>
      <w:bookmarkEnd w:id="1"/>
    </w:p>
    <w:p w14:paraId="033EB48F" w14:textId="77777777" w:rsidR="00A61297" w:rsidRPr="00A61297" w:rsidRDefault="00A61297" w:rsidP="00A61297">
      <w:pPr>
        <w:pStyle w:val="PargrafodaLista"/>
        <w:numPr>
          <w:ilvl w:val="0"/>
          <w:numId w:val="1"/>
        </w:numPr>
        <w:spacing w:before="100" w:beforeAutospacing="1" w:after="100" w:afterAutospacing="1" w:line="240" w:lineRule="auto"/>
        <w:ind w:right="-1"/>
        <w:jc w:val="both"/>
        <w:rPr>
          <w:rFonts w:ascii="Book Antiqua" w:hAnsi="Book Antiqua" w:cs="Times New Roman"/>
          <w:b/>
          <w:sz w:val="19"/>
          <w:szCs w:val="19"/>
        </w:rPr>
      </w:pPr>
      <w:bookmarkStart w:id="2" w:name="_Hlk8569788"/>
      <w:r w:rsidRPr="00A61297">
        <w:rPr>
          <w:rFonts w:ascii="Book Antiqua" w:hAnsi="Book Antiqua" w:cs="Times New Roman"/>
          <w:b/>
          <w:sz w:val="19"/>
          <w:szCs w:val="19"/>
          <w:highlight w:val="green"/>
        </w:rPr>
        <w:t>Questões de concurso</w:t>
      </w:r>
      <w:r w:rsidRPr="00A61297">
        <w:rPr>
          <w:rFonts w:ascii="Book Antiqua" w:hAnsi="Book Antiqua" w:cs="Times New Roman"/>
          <w:b/>
          <w:sz w:val="19"/>
          <w:szCs w:val="19"/>
        </w:rPr>
        <w:t>.</w:t>
      </w:r>
    </w:p>
    <w:bookmarkEnd w:id="2"/>
    <w:p w14:paraId="323F2E84"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3F7457A4" w14:textId="2107D70B"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87</w:t>
      </w:r>
      <w:r>
        <w:rPr>
          <w:rFonts w:ascii="Book Antiqua" w:hAnsi="Book Antiqua"/>
          <w:sz w:val="19"/>
          <w:szCs w:val="19"/>
        </w:rPr>
        <w:t xml:space="preserve">: </w:t>
      </w:r>
      <w:r w:rsidRPr="00A61297">
        <w:rPr>
          <w:rFonts w:ascii="Book Antiqua" w:hAnsi="Book Antiqua"/>
          <w:sz w:val="19"/>
          <w:szCs w:val="19"/>
        </w:rPr>
        <w:t>A eficácia do EPI não obsta o reconhecimento de atividade especial exercida antes de 03/12/1998, data de início da vigência da MP 1.729/98, convertida na Lei n. 9.732/98.</w:t>
      </w:r>
    </w:p>
    <w:p w14:paraId="180B0790"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76B20EB" w14:textId="5F67B383"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86</w:t>
      </w:r>
      <w:r>
        <w:rPr>
          <w:rFonts w:ascii="Book Antiqua" w:hAnsi="Book Antiqua"/>
          <w:sz w:val="19"/>
          <w:szCs w:val="19"/>
        </w:rPr>
        <w:t xml:space="preserve">: </w:t>
      </w:r>
      <w:r w:rsidRPr="00A61297">
        <w:rPr>
          <w:rFonts w:ascii="Book Antiqua" w:hAnsi="Book Antiqua"/>
          <w:sz w:val="19"/>
          <w:szCs w:val="19"/>
        </w:rPr>
        <w:t>Não cabe incidente de uniformização que tenha como objeto principal questão controvertida de natureza constitucional que ainda não tenha sido definida pelo Supremo Tribunal Federal em sua jurisprudência dominante.</w:t>
      </w:r>
    </w:p>
    <w:p w14:paraId="5C26AAFE"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55A24397" w14:textId="5DE93DC0"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85</w:t>
      </w:r>
      <w:r>
        <w:rPr>
          <w:rFonts w:ascii="Book Antiqua" w:hAnsi="Book Antiqua"/>
          <w:sz w:val="19"/>
          <w:szCs w:val="19"/>
        </w:rPr>
        <w:t xml:space="preserve">: </w:t>
      </w:r>
      <w:r w:rsidRPr="00A61297">
        <w:rPr>
          <w:rFonts w:ascii="Book Antiqua" w:hAnsi="Book Antiqua"/>
          <w:sz w:val="19"/>
          <w:szCs w:val="19"/>
        </w:rPr>
        <w:t>É possível a conversão de tempo comum em especial de período(s) anterior(es) ao advento da Lei nº 9.032/95 (que alterou a redação do §3º do art. 57 da Lei nº 8.213/91), desde que todas as condições legais para a concessão do benefício pleiteado tenham sido atendidas antes da publicação da referida lei, independentemente da data de entrada do requerimento (DER).</w:t>
      </w:r>
    </w:p>
    <w:p w14:paraId="57F2DB19"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7949A1A4" w14:textId="010AC60D"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84</w:t>
      </w:r>
      <w:r>
        <w:rPr>
          <w:rFonts w:ascii="Book Antiqua" w:hAnsi="Book Antiqua"/>
          <w:sz w:val="19"/>
          <w:szCs w:val="19"/>
        </w:rPr>
        <w:t xml:space="preserve">: </w:t>
      </w:r>
      <w:r w:rsidRPr="00A61297">
        <w:rPr>
          <w:rFonts w:ascii="Book Antiqua" w:hAnsi="Book Antiqua"/>
          <w:sz w:val="19"/>
          <w:szCs w:val="19"/>
        </w:rPr>
        <w:t>Comprovada a situação de desemprego por mais de 3 anos, o trabalhador tem direito ao saque dos valores depositados em sua conta individual do PIS.</w:t>
      </w:r>
    </w:p>
    <w:p w14:paraId="155CA18A"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59D49DD2" w14:textId="26AE6B50" w:rsidR="00A61297" w:rsidRPr="001936F2" w:rsidRDefault="00A61297" w:rsidP="00A61297">
      <w:pPr>
        <w:spacing w:before="100" w:beforeAutospacing="1" w:after="100" w:afterAutospacing="1" w:line="240" w:lineRule="auto"/>
        <w:jc w:val="both"/>
        <w:rPr>
          <w:rFonts w:ascii="Book Antiqua" w:hAnsi="Book Antiqua"/>
          <w:sz w:val="19"/>
          <w:szCs w:val="19"/>
          <w:u w:val="single"/>
        </w:rPr>
      </w:pPr>
      <w:r w:rsidRPr="00BD4489">
        <w:rPr>
          <w:rFonts w:ascii="Book Antiqua" w:hAnsi="Book Antiqua"/>
          <w:b/>
          <w:bCs/>
          <w:sz w:val="19"/>
          <w:szCs w:val="19"/>
          <w:highlight w:val="magenta"/>
        </w:rPr>
        <w:t>SÚMULA 83</w:t>
      </w:r>
      <w:r w:rsidRPr="00BD4489">
        <w:rPr>
          <w:rFonts w:ascii="Book Antiqua" w:hAnsi="Book Antiqua"/>
          <w:b/>
          <w:bCs/>
          <w:sz w:val="19"/>
          <w:szCs w:val="19"/>
        </w:rPr>
        <w:t>: A partir da entrada em vigor da Lei n. 8.870/94, o décimo terceiro salário não integra o salário de contribuição para fins de cálculo do salário de benefício</w:t>
      </w:r>
      <w:r w:rsidRPr="00A61297">
        <w:rPr>
          <w:rFonts w:ascii="Book Antiqua" w:hAnsi="Book Antiqua"/>
          <w:sz w:val="19"/>
          <w:szCs w:val="19"/>
        </w:rPr>
        <w:t>.</w:t>
      </w:r>
      <w:r w:rsidR="00BD4489">
        <w:rPr>
          <w:rFonts w:ascii="Book Antiqua" w:hAnsi="Book Antiqua"/>
          <w:sz w:val="19"/>
          <w:szCs w:val="19"/>
        </w:rPr>
        <w:t xml:space="preserve"> </w:t>
      </w:r>
      <w:bookmarkStart w:id="3" w:name="_Hlk151034566"/>
      <w:r w:rsidR="00BD4489">
        <w:rPr>
          <w:rFonts w:ascii="Book Antiqua" w:eastAsia="Times New Roman" w:hAnsi="Book Antiqua" w:cs="Arial"/>
          <w:b/>
          <w:bCs/>
          <w:color w:val="FF0000"/>
          <w:sz w:val="16"/>
          <w:szCs w:val="16"/>
          <w:u w:val="single"/>
          <w:lang w:eastAsia="pt-BR"/>
        </w:rPr>
        <w:t>(DPEPI-2022)</w:t>
      </w:r>
      <w:bookmarkEnd w:id="3"/>
      <w:r w:rsidR="001936F2">
        <w:rPr>
          <w:rFonts w:ascii="Book Antiqua" w:eastAsia="Times New Roman" w:hAnsi="Book Antiqua" w:cs="Arial"/>
          <w:b/>
          <w:bCs/>
          <w:color w:val="FF0000"/>
          <w:sz w:val="16"/>
          <w:szCs w:val="16"/>
          <w:lang w:eastAsia="pt-BR"/>
        </w:rPr>
        <w:t xml:space="preserve"> </w:t>
      </w:r>
      <w:r w:rsidR="001936F2">
        <w:rPr>
          <w:rFonts w:ascii="Book Antiqua" w:eastAsia="Times New Roman" w:hAnsi="Book Antiqua" w:cs="Arial"/>
          <w:b/>
          <w:bCs/>
          <w:color w:val="FF0000"/>
          <w:sz w:val="16"/>
          <w:szCs w:val="16"/>
          <w:u w:val="single"/>
          <w:lang w:eastAsia="pt-BR"/>
        </w:rPr>
        <w:t>(TRF4-2022)</w:t>
      </w:r>
    </w:p>
    <w:p w14:paraId="5FED38CD"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1387286D" w14:textId="5C6E604F"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82</w:t>
      </w:r>
      <w:r>
        <w:rPr>
          <w:rFonts w:ascii="Book Antiqua" w:hAnsi="Book Antiqua"/>
          <w:sz w:val="19"/>
          <w:szCs w:val="19"/>
        </w:rPr>
        <w:t xml:space="preserve">: </w:t>
      </w:r>
      <w:r w:rsidRPr="00A61297">
        <w:rPr>
          <w:rFonts w:ascii="Book Antiqua" w:hAnsi="Book Antiqua"/>
          <w:sz w:val="19"/>
          <w:szCs w:val="19"/>
        </w:rPr>
        <w:t>O código 1.3.2 do quadro anexo ao Decreto n.º 53.831/64, além dos profissionais da área da saúde, contempla os trabalhadores que exercem atividades de serviços gerais em limpeza e higienização</w:t>
      </w:r>
      <w:r>
        <w:rPr>
          <w:rFonts w:ascii="Book Antiqua" w:hAnsi="Book Antiqua"/>
          <w:sz w:val="19"/>
          <w:szCs w:val="19"/>
        </w:rPr>
        <w:t xml:space="preserve"> </w:t>
      </w:r>
      <w:r w:rsidRPr="00A61297">
        <w:rPr>
          <w:rFonts w:ascii="Book Antiqua" w:hAnsi="Book Antiqua"/>
          <w:sz w:val="19"/>
          <w:szCs w:val="19"/>
        </w:rPr>
        <w:t>de ambientes hospitalares.</w:t>
      </w:r>
    </w:p>
    <w:p w14:paraId="1171963C"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2FCBF9BA" w14:textId="47D015C1" w:rsidR="00A61297" w:rsidRPr="00A61297" w:rsidRDefault="00A61297" w:rsidP="00A61297">
      <w:pPr>
        <w:spacing w:before="100" w:beforeAutospacing="1" w:after="100" w:afterAutospacing="1" w:line="240" w:lineRule="auto"/>
        <w:jc w:val="both"/>
        <w:rPr>
          <w:rFonts w:ascii="Book Antiqua" w:hAnsi="Book Antiqua"/>
          <w:sz w:val="19"/>
          <w:szCs w:val="19"/>
        </w:rPr>
      </w:pPr>
      <w:r w:rsidRPr="002078B7">
        <w:rPr>
          <w:rFonts w:ascii="Book Antiqua" w:hAnsi="Book Antiqua"/>
          <w:b/>
          <w:bCs/>
          <w:sz w:val="19"/>
          <w:szCs w:val="19"/>
          <w:highlight w:val="magenta"/>
        </w:rPr>
        <w:t>SÚMULA 81</w:t>
      </w:r>
      <w:r w:rsidRPr="002078B7">
        <w:rPr>
          <w:rFonts w:ascii="Book Antiqua" w:hAnsi="Book Antiqua"/>
          <w:b/>
          <w:bCs/>
          <w:sz w:val="19"/>
          <w:szCs w:val="19"/>
        </w:rPr>
        <w:t>: A impugnação de ato de indeferimento, cessação ou cancelamento de benefício previdenciário não se submete a qualquer prazo extintivo, seja em relação à revisão desses atos, seja em relação ao fundo de direito</w:t>
      </w:r>
      <w:r w:rsidRPr="00A61297">
        <w:rPr>
          <w:rFonts w:ascii="Book Antiqua" w:hAnsi="Book Antiqua"/>
          <w:sz w:val="19"/>
          <w:szCs w:val="19"/>
        </w:rPr>
        <w:t>.</w:t>
      </w:r>
      <w:r>
        <w:rPr>
          <w:rFonts w:ascii="Book Antiqua" w:hAnsi="Book Antiqua"/>
          <w:sz w:val="19"/>
          <w:szCs w:val="19"/>
        </w:rPr>
        <w:t xml:space="preserve"> </w:t>
      </w:r>
      <w:r w:rsidRPr="00A61297">
        <w:rPr>
          <w:rFonts w:ascii="Book Antiqua" w:hAnsi="Book Antiqua"/>
          <w:sz w:val="19"/>
          <w:szCs w:val="19"/>
        </w:rPr>
        <w:t>(ALTERADA EM 09/12/2020)</w:t>
      </w:r>
      <w:r>
        <w:rPr>
          <w:rFonts w:ascii="Book Antiqua" w:hAnsi="Book Antiqua"/>
          <w:sz w:val="19"/>
          <w:szCs w:val="19"/>
        </w:rPr>
        <w:t xml:space="preserve"> </w:t>
      </w:r>
      <w:proofErr w:type="spellStart"/>
      <w:r w:rsidRPr="00A61297">
        <w:rPr>
          <w:rFonts w:ascii="Book Antiqua" w:hAnsi="Book Antiqua"/>
          <w:sz w:val="19"/>
          <w:szCs w:val="19"/>
        </w:rPr>
        <w:t>DJe</w:t>
      </w:r>
      <w:proofErr w:type="spellEnd"/>
      <w:r w:rsidRPr="00A61297">
        <w:rPr>
          <w:rFonts w:ascii="Book Antiqua" w:hAnsi="Book Antiqua"/>
          <w:sz w:val="19"/>
          <w:szCs w:val="19"/>
        </w:rPr>
        <w:t xml:space="preserve"> nº 214/2020. DATA: 11/12/2020</w:t>
      </w:r>
      <w:r w:rsidR="00690DD6">
        <w:rPr>
          <w:rFonts w:ascii="Book Antiqua" w:hAnsi="Book Antiqua"/>
          <w:sz w:val="19"/>
          <w:szCs w:val="19"/>
        </w:rPr>
        <w:t>).</w:t>
      </w:r>
      <w:r w:rsidR="002078B7">
        <w:rPr>
          <w:rFonts w:ascii="Book Antiqua" w:hAnsi="Book Antiqua"/>
          <w:sz w:val="19"/>
          <w:szCs w:val="19"/>
        </w:rPr>
        <w:t xml:space="preserve"> </w:t>
      </w:r>
      <w:r w:rsidR="002078B7">
        <w:rPr>
          <w:rFonts w:ascii="Book Antiqua" w:hAnsi="Book Antiqua" w:cs="Times New Roman"/>
          <w:b/>
          <w:color w:val="FF0000"/>
          <w:sz w:val="16"/>
          <w:szCs w:val="16"/>
          <w:u w:val="single"/>
        </w:rPr>
        <w:t>(PGEES-2023)</w:t>
      </w:r>
    </w:p>
    <w:p w14:paraId="05F997C6" w14:textId="3F383155"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72D763B9" w14:textId="512B0D9D" w:rsidR="00A61297" w:rsidRPr="00AE3FE4" w:rsidRDefault="00A61297" w:rsidP="00A61297">
      <w:pPr>
        <w:spacing w:before="100" w:beforeAutospacing="1" w:after="100" w:afterAutospacing="1" w:line="240" w:lineRule="auto"/>
        <w:jc w:val="both"/>
        <w:rPr>
          <w:rFonts w:ascii="Book Antiqua" w:hAnsi="Book Antiqua"/>
          <w:b/>
          <w:color w:val="FF0000"/>
          <w:sz w:val="18"/>
          <w:szCs w:val="18"/>
          <w:u w:val="single"/>
        </w:rPr>
      </w:pPr>
      <w:r w:rsidRPr="00017EBF">
        <w:rPr>
          <w:rFonts w:ascii="Book Antiqua" w:hAnsi="Book Antiqua"/>
          <w:b/>
          <w:bCs/>
          <w:sz w:val="19"/>
          <w:szCs w:val="19"/>
          <w:highlight w:val="magenta"/>
        </w:rPr>
        <w:t>SÚMULA 80</w:t>
      </w:r>
      <w:r>
        <w:rPr>
          <w:rFonts w:ascii="Book Antiqua" w:hAnsi="Book Antiqua"/>
          <w:sz w:val="19"/>
          <w:szCs w:val="19"/>
        </w:rPr>
        <w:t xml:space="preserve">: </w:t>
      </w:r>
      <w:r w:rsidRPr="005F6C3B">
        <w:rPr>
          <w:rFonts w:ascii="Book Antiqua" w:hAnsi="Book Antiqua"/>
          <w:b/>
          <w:bCs/>
          <w:sz w:val="19"/>
          <w:szCs w:val="19"/>
        </w:rPr>
        <w:t>Nos pedidos de benefício de prestação continuada (LOAS), tendo em vista o advento da Lei 12.470/11, para adequada valoração dos fatores ambientais, sociais, econômicos e pessoais que impactam na participação da pessoa com deficiência na sociedade, é necessária a realização de avaliação social por assistente social ou outras providências aptas a revelar a efetiva condição vivida no meio social pelo requerente</w:t>
      </w:r>
      <w:r w:rsidRPr="00AE3FE4">
        <w:rPr>
          <w:rFonts w:ascii="Book Antiqua" w:hAnsi="Book Antiqua"/>
          <w:sz w:val="18"/>
          <w:szCs w:val="18"/>
        </w:rPr>
        <w:t>.</w:t>
      </w:r>
      <w:r w:rsidR="00017EBF" w:rsidRPr="00AE3FE4">
        <w:rPr>
          <w:rFonts w:ascii="Book Antiqua" w:hAnsi="Book Antiqua"/>
          <w:sz w:val="18"/>
          <w:szCs w:val="18"/>
        </w:rPr>
        <w:t xml:space="preserve"> </w:t>
      </w:r>
      <w:r w:rsidR="00C03D34" w:rsidRPr="00AE3FE4">
        <w:rPr>
          <w:rFonts w:ascii="Book Antiqua" w:hAnsi="Book Antiqua"/>
          <w:b/>
          <w:bCs/>
          <w:color w:val="FF0000"/>
          <w:sz w:val="16"/>
          <w:szCs w:val="16"/>
          <w:u w:val="single"/>
        </w:rPr>
        <w:t>(TRF2-2017)</w:t>
      </w:r>
    </w:p>
    <w:tbl>
      <w:tblPr>
        <w:tblStyle w:val="Tabelacomgrade"/>
        <w:tblW w:w="0" w:type="auto"/>
        <w:tblLook w:val="04A0" w:firstRow="1" w:lastRow="0" w:firstColumn="1" w:lastColumn="0" w:noHBand="0" w:noVBand="1"/>
      </w:tblPr>
      <w:tblGrid>
        <w:gridCol w:w="8494"/>
      </w:tblGrid>
      <w:tr w:rsidR="00017EBF" w14:paraId="053F41E7" w14:textId="77777777" w:rsidTr="00017EBF">
        <w:tc>
          <w:tcPr>
            <w:tcW w:w="8494" w:type="dxa"/>
            <w:shd w:val="clear" w:color="auto" w:fill="CCFFFF"/>
          </w:tcPr>
          <w:p w14:paraId="6CAEB414" w14:textId="5EBF5018" w:rsidR="00017EBF" w:rsidRPr="00017EBF" w:rsidRDefault="00017EBF" w:rsidP="00A61297">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017EBF">
              <w:rPr>
                <w:rFonts w:ascii="Book Antiqua" w:hAnsi="Book Antiqua"/>
                <w:b/>
                <w:bCs/>
                <w:sz w:val="19"/>
                <w:szCs w:val="19"/>
                <w:highlight w:val="yellow"/>
              </w:rPr>
              <w:t>TRF2-2017</w:t>
            </w:r>
            <w:r>
              <w:rPr>
                <w:rFonts w:ascii="Book Antiqua" w:hAnsi="Book Antiqua"/>
                <w:b/>
                <w:bCs/>
                <w:sz w:val="19"/>
                <w:szCs w:val="19"/>
              </w:rPr>
              <w:t>)</w:t>
            </w:r>
            <w:r>
              <w:rPr>
                <w:rFonts w:ascii="Book Antiqua" w:hAnsi="Book Antiqua"/>
                <w:sz w:val="19"/>
                <w:szCs w:val="19"/>
              </w:rPr>
              <w:t xml:space="preserve">: Marque a opção correta: </w:t>
            </w:r>
            <w:r w:rsidRPr="00017EBF">
              <w:rPr>
                <w:rFonts w:ascii="Book Antiqua" w:hAnsi="Book Antiqua"/>
                <w:sz w:val="19"/>
                <w:szCs w:val="19"/>
              </w:rPr>
              <w:t>Nos pedidos de benefício de prestação continuada regulados pela Lei n° 8.742/93 (LOAS), para adequada valoração dos fatores ambientais, sociais, econômicos e pessoais que impactam a participação da pessoa com deficiência na sociedade é necessária a avaliação por assistente social ou outras providências aptas a revelar a efetiva condição vivida pelo requerente no meio social.</w:t>
            </w:r>
            <w:r>
              <w:rPr>
                <w:rFonts w:ascii="Book Antiqua" w:hAnsi="Book Antiqua"/>
                <w:sz w:val="19"/>
                <w:szCs w:val="19"/>
              </w:rPr>
              <w:t xml:space="preserve"> </w:t>
            </w:r>
            <w:r>
              <w:rPr>
                <w:rFonts w:ascii="Book Antiqua" w:hAnsi="Book Antiqua"/>
                <w:b/>
                <w:bCs/>
                <w:sz w:val="19"/>
                <w:szCs w:val="19"/>
              </w:rPr>
              <w:t>BL: S. 80, TNU.</w:t>
            </w:r>
          </w:p>
        </w:tc>
      </w:tr>
    </w:tbl>
    <w:p w14:paraId="2FFB4E4C"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7B67B623" w14:textId="6BEDF101"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C40A83">
        <w:rPr>
          <w:rFonts w:ascii="Book Antiqua" w:hAnsi="Book Antiqua"/>
          <w:b/>
          <w:bCs/>
          <w:sz w:val="19"/>
          <w:szCs w:val="19"/>
          <w:highlight w:val="magenta"/>
        </w:rPr>
        <w:t>SÚMULA 79</w:t>
      </w:r>
      <w:r>
        <w:rPr>
          <w:rFonts w:ascii="Book Antiqua" w:hAnsi="Book Antiqua"/>
          <w:sz w:val="19"/>
          <w:szCs w:val="19"/>
        </w:rPr>
        <w:t xml:space="preserve">: </w:t>
      </w:r>
      <w:r w:rsidRPr="005F6C3B">
        <w:rPr>
          <w:rFonts w:ascii="Book Antiqua" w:hAnsi="Book Antiqua"/>
          <w:b/>
          <w:bCs/>
          <w:sz w:val="19"/>
          <w:szCs w:val="19"/>
        </w:rPr>
        <w:t>Nas ações em que se postula benefício assistencial, é necessária a comprovação das condições socioeconômicas do autor por laudo de assistente social, por auto de constatação lavrado por oficial de justiça ou, sendo inviabilizados os referidos meios, por prova testemunhal</w:t>
      </w:r>
      <w:r w:rsidRPr="00AE3FE4">
        <w:rPr>
          <w:rFonts w:ascii="Book Antiqua" w:hAnsi="Book Antiqua"/>
          <w:b/>
          <w:bCs/>
          <w:sz w:val="16"/>
          <w:szCs w:val="16"/>
        </w:rPr>
        <w:t>.</w:t>
      </w:r>
      <w:r w:rsidR="00C40A83" w:rsidRPr="00AE3FE4">
        <w:rPr>
          <w:rFonts w:ascii="Book Antiqua" w:hAnsi="Book Antiqua"/>
          <w:b/>
          <w:bCs/>
          <w:sz w:val="16"/>
          <w:szCs w:val="16"/>
        </w:rPr>
        <w:t xml:space="preserve"> </w:t>
      </w:r>
      <w:r w:rsidR="00C40A83" w:rsidRPr="00AE3FE4">
        <w:rPr>
          <w:rFonts w:ascii="Book Antiqua" w:eastAsia="Times New Roman" w:hAnsi="Book Antiqua" w:cs="Arial"/>
          <w:b/>
          <w:bCs/>
          <w:color w:val="FF0000"/>
          <w:sz w:val="16"/>
          <w:szCs w:val="16"/>
          <w:u w:val="single"/>
          <w:lang w:eastAsia="pt-BR"/>
        </w:rPr>
        <w:t>(TRF2-2014)</w:t>
      </w:r>
    </w:p>
    <w:p w14:paraId="4DD0E92C" w14:textId="77777777" w:rsidR="00A61297" w:rsidRPr="005F6C3B" w:rsidRDefault="00A61297" w:rsidP="00A61297">
      <w:pPr>
        <w:spacing w:before="100" w:beforeAutospacing="1" w:after="100" w:afterAutospacing="1" w:line="240" w:lineRule="auto"/>
        <w:jc w:val="both"/>
        <w:rPr>
          <w:rFonts w:ascii="Book Antiqua" w:hAnsi="Book Antiqua"/>
          <w:b/>
          <w:bCs/>
          <w:sz w:val="19"/>
          <w:szCs w:val="19"/>
        </w:rPr>
      </w:pPr>
    </w:p>
    <w:p w14:paraId="3E731ACB" w14:textId="38BF6F31"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5F6C3B">
        <w:rPr>
          <w:rFonts w:ascii="Book Antiqua" w:hAnsi="Book Antiqua"/>
          <w:b/>
          <w:bCs/>
          <w:sz w:val="19"/>
          <w:szCs w:val="19"/>
          <w:highlight w:val="magenta"/>
        </w:rPr>
        <w:t>SÚMULA 78</w:t>
      </w:r>
      <w:r w:rsidRPr="005F6C3B">
        <w:rPr>
          <w:rFonts w:ascii="Book Antiqua" w:hAnsi="Book Antiqua"/>
          <w:b/>
          <w:bCs/>
          <w:sz w:val="19"/>
          <w:szCs w:val="19"/>
        </w:rPr>
        <w:t>: Comprovado que o requerente de benefício é portador do vírus HIV, cabe ao julgador verificar as condições pessoais, sociais, econômicas e culturais, de forma a analisar a incapacidade em sentido amplo, em face da elevada estigmatização social da doença</w:t>
      </w:r>
      <w:r w:rsidRPr="00AE3FE4">
        <w:rPr>
          <w:rFonts w:ascii="Book Antiqua" w:hAnsi="Book Antiqua"/>
          <w:b/>
          <w:bCs/>
          <w:sz w:val="16"/>
          <w:szCs w:val="16"/>
        </w:rPr>
        <w:t>.</w:t>
      </w:r>
      <w:r w:rsidR="0075218F" w:rsidRPr="00AE3FE4">
        <w:rPr>
          <w:rFonts w:ascii="Book Antiqua" w:hAnsi="Book Antiqua"/>
          <w:b/>
          <w:bCs/>
          <w:sz w:val="16"/>
          <w:szCs w:val="16"/>
        </w:rPr>
        <w:t xml:space="preserve"> </w:t>
      </w:r>
      <w:r w:rsidR="0075218F" w:rsidRPr="00AE3FE4">
        <w:rPr>
          <w:rFonts w:ascii="Book Antiqua" w:hAnsi="Book Antiqua"/>
          <w:b/>
          <w:bCs/>
          <w:color w:val="FF0000"/>
          <w:sz w:val="16"/>
          <w:szCs w:val="16"/>
          <w:u w:val="single"/>
        </w:rPr>
        <w:t>(TRF2-2017)</w:t>
      </w:r>
      <w:r w:rsidR="007468BD" w:rsidRPr="00AE3FE4">
        <w:rPr>
          <w:rFonts w:ascii="Book Antiqua" w:hAnsi="Book Antiqua"/>
          <w:b/>
          <w:bCs/>
          <w:color w:val="FF0000"/>
          <w:sz w:val="16"/>
          <w:szCs w:val="16"/>
        </w:rPr>
        <w:t xml:space="preserve"> </w:t>
      </w:r>
      <w:bookmarkStart w:id="4" w:name="_Hlk83298671"/>
      <w:r w:rsidR="007468BD" w:rsidRPr="00AE3FE4">
        <w:rPr>
          <w:rFonts w:ascii="Book Antiqua" w:hAnsi="Book Antiqua"/>
          <w:b/>
          <w:bCs/>
          <w:color w:val="FF0000"/>
          <w:sz w:val="16"/>
          <w:szCs w:val="16"/>
          <w:u w:val="single"/>
        </w:rPr>
        <w:t>(TRF3-2018)</w:t>
      </w:r>
      <w:bookmarkEnd w:id="4"/>
      <w:r w:rsidR="00AE3FE4">
        <w:rPr>
          <w:rFonts w:ascii="Book Antiqua" w:hAnsi="Book Antiqua"/>
          <w:b/>
          <w:bCs/>
          <w:color w:val="FF0000"/>
          <w:sz w:val="16"/>
          <w:szCs w:val="16"/>
        </w:rPr>
        <w:t xml:space="preserve"> </w:t>
      </w:r>
      <w:bookmarkStart w:id="5" w:name="_Hlk135574134"/>
      <w:r w:rsidR="00AE3FE4" w:rsidRPr="00AE3FE4">
        <w:rPr>
          <w:rFonts w:ascii="Book Antiqua" w:hAnsi="Book Antiqua"/>
          <w:b/>
          <w:bCs/>
          <w:color w:val="FF0000"/>
          <w:sz w:val="16"/>
          <w:szCs w:val="16"/>
          <w:u w:val="single"/>
        </w:rPr>
        <w:t>(</w:t>
      </w:r>
      <w:r w:rsidR="00AE3FE4">
        <w:rPr>
          <w:rFonts w:ascii="Book Antiqua" w:hAnsi="Book Antiqua"/>
          <w:b/>
          <w:bCs/>
          <w:color w:val="FF0000"/>
          <w:sz w:val="16"/>
          <w:szCs w:val="16"/>
          <w:u w:val="single"/>
        </w:rPr>
        <w:t>PGEGO</w:t>
      </w:r>
      <w:r w:rsidR="00AE3FE4" w:rsidRPr="00AE3FE4">
        <w:rPr>
          <w:rFonts w:ascii="Book Antiqua" w:hAnsi="Book Antiqua"/>
          <w:b/>
          <w:bCs/>
          <w:color w:val="FF0000"/>
          <w:sz w:val="16"/>
          <w:szCs w:val="16"/>
          <w:u w:val="single"/>
        </w:rPr>
        <w:t>-20</w:t>
      </w:r>
      <w:r w:rsidR="00AE3FE4">
        <w:rPr>
          <w:rFonts w:ascii="Book Antiqua" w:hAnsi="Book Antiqua"/>
          <w:b/>
          <w:bCs/>
          <w:color w:val="FF0000"/>
          <w:sz w:val="16"/>
          <w:szCs w:val="16"/>
          <w:u w:val="single"/>
        </w:rPr>
        <w:t>21</w:t>
      </w:r>
      <w:r w:rsidR="00AE3FE4" w:rsidRPr="00AE3FE4">
        <w:rPr>
          <w:rFonts w:ascii="Book Antiqua" w:hAnsi="Book Antiqua"/>
          <w:b/>
          <w:bCs/>
          <w:color w:val="FF0000"/>
          <w:sz w:val="16"/>
          <w:szCs w:val="16"/>
          <w:u w:val="single"/>
        </w:rPr>
        <w:t>)</w:t>
      </w:r>
      <w:bookmarkEnd w:id="5"/>
    </w:p>
    <w:tbl>
      <w:tblPr>
        <w:tblStyle w:val="Tabelacomgrade"/>
        <w:tblW w:w="0" w:type="auto"/>
        <w:tblLook w:val="04A0" w:firstRow="1" w:lastRow="0" w:firstColumn="1" w:lastColumn="0" w:noHBand="0" w:noVBand="1"/>
      </w:tblPr>
      <w:tblGrid>
        <w:gridCol w:w="8494"/>
      </w:tblGrid>
      <w:tr w:rsidR="00AE3FE4" w14:paraId="3C39A70B" w14:textId="77777777" w:rsidTr="00AE3FE4">
        <w:tc>
          <w:tcPr>
            <w:tcW w:w="8494" w:type="dxa"/>
            <w:shd w:val="clear" w:color="auto" w:fill="CCFFFF"/>
          </w:tcPr>
          <w:p w14:paraId="38B2BE41" w14:textId="25F7A25E" w:rsidR="00AE3FE4" w:rsidRPr="00AE3FE4" w:rsidRDefault="00AE3FE4" w:rsidP="00A6129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E3FE4">
              <w:rPr>
                <w:rFonts w:ascii="Book Antiqua" w:hAnsi="Book Antiqua"/>
                <w:b/>
                <w:bCs/>
                <w:sz w:val="19"/>
                <w:szCs w:val="19"/>
                <w:highlight w:val="yellow"/>
              </w:rPr>
              <w:t>PGEGO-2021-FCC</w:t>
            </w:r>
            <w:r>
              <w:rPr>
                <w:rFonts w:ascii="Book Antiqua" w:hAnsi="Book Antiqua"/>
                <w:b/>
                <w:bCs/>
                <w:sz w:val="19"/>
                <w:szCs w:val="19"/>
              </w:rPr>
              <w:t>)</w:t>
            </w:r>
            <w:r>
              <w:rPr>
                <w:rFonts w:ascii="Book Antiqua" w:hAnsi="Book Antiqua"/>
                <w:sz w:val="19"/>
                <w:szCs w:val="19"/>
              </w:rPr>
              <w:t xml:space="preserve">: </w:t>
            </w:r>
            <w:r w:rsidRPr="00AE3FE4">
              <w:rPr>
                <w:rFonts w:ascii="Book Antiqua" w:hAnsi="Book Antiqua"/>
                <w:sz w:val="19"/>
                <w:szCs w:val="19"/>
              </w:rPr>
              <w:t>A aposentadoria por incapacidade permanente (antiga invalidez) é devida ao segurado incapaz e insuscetível de reabilitação para o exercício de atividade que lhe garanta a subsistência. Os casos concretos levaram à formação de jurisprudência que tem fixado importantes vetores para os operadores do Direito aplicarem o regime jurídico desse benefício. Nessa seara, a jurisprudência dominante entende que</w:t>
            </w:r>
            <w:r>
              <w:rPr>
                <w:rFonts w:ascii="Book Antiqua" w:hAnsi="Book Antiqua"/>
                <w:sz w:val="19"/>
                <w:szCs w:val="19"/>
              </w:rPr>
              <w:t xml:space="preserve"> </w:t>
            </w:r>
            <w:r w:rsidRPr="00AE3FE4">
              <w:rPr>
                <w:rFonts w:ascii="Book Antiqua" w:hAnsi="Book Antiqua"/>
                <w:sz w:val="19"/>
                <w:szCs w:val="19"/>
              </w:rPr>
              <w:t>o fato de o segurado ser portador do vírus HIV por si só não acarreta a incapacidade ou deficiência que a legislação exige para o gozo de aposentadoria por invalidez.</w:t>
            </w:r>
            <w:r>
              <w:rPr>
                <w:rFonts w:ascii="Book Antiqua" w:hAnsi="Book Antiqua"/>
                <w:sz w:val="19"/>
                <w:szCs w:val="19"/>
              </w:rPr>
              <w:t xml:space="preserve"> </w:t>
            </w:r>
            <w:r>
              <w:rPr>
                <w:rFonts w:ascii="Book Antiqua" w:hAnsi="Book Antiqua"/>
                <w:b/>
                <w:bCs/>
                <w:sz w:val="19"/>
                <w:szCs w:val="19"/>
              </w:rPr>
              <w:t>BL: S. 78, TNU.</w:t>
            </w:r>
          </w:p>
        </w:tc>
      </w:tr>
    </w:tbl>
    <w:p w14:paraId="7B51028F" w14:textId="77777777" w:rsidR="00AE3FE4" w:rsidRPr="005F6C3B" w:rsidRDefault="00AE3FE4" w:rsidP="00A61297">
      <w:pPr>
        <w:spacing w:before="100" w:beforeAutospacing="1" w:after="100" w:afterAutospacing="1" w:line="240" w:lineRule="auto"/>
        <w:jc w:val="both"/>
        <w:rPr>
          <w:rFonts w:ascii="Book Antiqua" w:hAnsi="Book Antiqua"/>
          <w:b/>
          <w:bCs/>
          <w:sz w:val="19"/>
          <w:szCs w:val="19"/>
        </w:rPr>
      </w:pPr>
    </w:p>
    <w:p w14:paraId="1751E9FE" w14:textId="4655E338" w:rsidR="00A61297" w:rsidRPr="00AE3FE4" w:rsidRDefault="00A61297" w:rsidP="00A61297">
      <w:pPr>
        <w:spacing w:before="100" w:beforeAutospacing="1" w:after="100" w:afterAutospacing="1" w:line="240" w:lineRule="auto"/>
        <w:jc w:val="both"/>
        <w:rPr>
          <w:rFonts w:ascii="Book Antiqua" w:hAnsi="Book Antiqua"/>
          <w:sz w:val="16"/>
          <w:szCs w:val="16"/>
        </w:rPr>
      </w:pPr>
      <w:r w:rsidRPr="005F6C3B">
        <w:rPr>
          <w:rFonts w:ascii="Book Antiqua" w:hAnsi="Book Antiqua"/>
          <w:b/>
          <w:bCs/>
          <w:sz w:val="19"/>
          <w:szCs w:val="19"/>
          <w:highlight w:val="magenta"/>
        </w:rPr>
        <w:t>SÚMULA 77</w:t>
      </w:r>
      <w:r w:rsidRPr="005F6C3B">
        <w:rPr>
          <w:rFonts w:ascii="Book Antiqua" w:hAnsi="Book Antiqua"/>
          <w:b/>
          <w:bCs/>
          <w:sz w:val="19"/>
          <w:szCs w:val="19"/>
        </w:rPr>
        <w:t>: O julgador não é obrigado a analisar as condições pessoais e sociais quando não reconhecer a incapacidade do requerente para a sua atividade habitual</w:t>
      </w:r>
      <w:r w:rsidRPr="00AE3FE4">
        <w:rPr>
          <w:rFonts w:ascii="Book Antiqua" w:hAnsi="Book Antiqua"/>
          <w:sz w:val="16"/>
          <w:szCs w:val="16"/>
        </w:rPr>
        <w:t>.</w:t>
      </w:r>
      <w:r w:rsidR="00B51BEE" w:rsidRPr="00AE3FE4">
        <w:rPr>
          <w:rFonts w:ascii="Book Antiqua" w:hAnsi="Book Antiqua"/>
          <w:sz w:val="16"/>
          <w:szCs w:val="16"/>
        </w:rPr>
        <w:t xml:space="preserve"> </w:t>
      </w:r>
      <w:r w:rsidR="00B51BEE" w:rsidRPr="00AE3FE4">
        <w:rPr>
          <w:rFonts w:ascii="Book Antiqua" w:eastAsia="Times New Roman" w:hAnsi="Book Antiqua" w:cs="Times New Roman"/>
          <w:b/>
          <w:bCs/>
          <w:color w:val="FF0000"/>
          <w:sz w:val="16"/>
          <w:szCs w:val="16"/>
          <w:u w:val="single"/>
          <w:lang w:eastAsia="pt-BR"/>
        </w:rPr>
        <w:t>(TRF1-2011)</w:t>
      </w:r>
      <w:r w:rsidR="00611722" w:rsidRPr="00AE3FE4">
        <w:rPr>
          <w:rFonts w:ascii="Book Antiqua" w:eastAsia="Times New Roman" w:hAnsi="Book Antiqua" w:cs="Times New Roman"/>
          <w:b/>
          <w:bCs/>
          <w:color w:val="FF0000"/>
          <w:sz w:val="16"/>
          <w:szCs w:val="16"/>
          <w:lang w:eastAsia="pt-BR"/>
        </w:rPr>
        <w:t xml:space="preserve"> </w:t>
      </w:r>
      <w:r w:rsidR="00611722" w:rsidRPr="00AE3FE4">
        <w:rPr>
          <w:rFonts w:ascii="Book Antiqua" w:eastAsia="Times New Roman" w:hAnsi="Book Antiqua" w:cs="Arial"/>
          <w:b/>
          <w:bCs/>
          <w:color w:val="FF0000"/>
          <w:sz w:val="16"/>
          <w:szCs w:val="16"/>
          <w:u w:val="single"/>
          <w:lang w:eastAsia="pt-BR"/>
        </w:rPr>
        <w:t>(TRF2-2014)</w:t>
      </w:r>
      <w:r w:rsidR="00AE3FE4">
        <w:rPr>
          <w:rFonts w:ascii="Book Antiqua" w:eastAsia="Times New Roman" w:hAnsi="Book Antiqua" w:cs="Arial"/>
          <w:b/>
          <w:bCs/>
          <w:color w:val="FF0000"/>
          <w:sz w:val="16"/>
          <w:szCs w:val="16"/>
          <w:lang w:eastAsia="pt-BR"/>
        </w:rPr>
        <w:t xml:space="preserve"> </w:t>
      </w:r>
      <w:r w:rsidR="00AE3FE4" w:rsidRPr="00AE3FE4">
        <w:rPr>
          <w:rFonts w:ascii="Book Antiqua" w:hAnsi="Book Antiqua"/>
          <w:b/>
          <w:bCs/>
          <w:color w:val="FF0000"/>
          <w:sz w:val="16"/>
          <w:szCs w:val="16"/>
          <w:u w:val="single"/>
        </w:rPr>
        <w:t>(</w:t>
      </w:r>
      <w:r w:rsidR="00AE3FE4">
        <w:rPr>
          <w:rFonts w:ascii="Book Antiqua" w:hAnsi="Book Antiqua"/>
          <w:b/>
          <w:bCs/>
          <w:color w:val="FF0000"/>
          <w:sz w:val="16"/>
          <w:szCs w:val="16"/>
          <w:u w:val="single"/>
        </w:rPr>
        <w:t>PGEGO</w:t>
      </w:r>
      <w:r w:rsidR="00AE3FE4" w:rsidRPr="00AE3FE4">
        <w:rPr>
          <w:rFonts w:ascii="Book Antiqua" w:hAnsi="Book Antiqua"/>
          <w:b/>
          <w:bCs/>
          <w:color w:val="FF0000"/>
          <w:sz w:val="16"/>
          <w:szCs w:val="16"/>
          <w:u w:val="single"/>
        </w:rPr>
        <w:t>-20</w:t>
      </w:r>
      <w:r w:rsidR="00AE3FE4">
        <w:rPr>
          <w:rFonts w:ascii="Book Antiqua" w:hAnsi="Book Antiqua"/>
          <w:b/>
          <w:bCs/>
          <w:color w:val="FF0000"/>
          <w:sz w:val="16"/>
          <w:szCs w:val="16"/>
          <w:u w:val="single"/>
        </w:rPr>
        <w:t>21</w:t>
      </w:r>
      <w:r w:rsidR="00AE3FE4" w:rsidRPr="00AE3FE4">
        <w:rPr>
          <w:rFonts w:ascii="Book Antiqua" w:hAnsi="Book Antiqua"/>
          <w:b/>
          <w:bCs/>
          <w:color w:val="FF0000"/>
          <w:sz w:val="16"/>
          <w:szCs w:val="16"/>
          <w:u w:val="single"/>
        </w:rPr>
        <w:t>)</w:t>
      </w:r>
    </w:p>
    <w:p w14:paraId="3D1D131B"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158CEB6" w14:textId="0903ED93"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76</w:t>
      </w:r>
      <w:r>
        <w:rPr>
          <w:rFonts w:ascii="Book Antiqua" w:hAnsi="Book Antiqua"/>
          <w:sz w:val="19"/>
          <w:szCs w:val="19"/>
        </w:rPr>
        <w:t xml:space="preserve">: </w:t>
      </w:r>
      <w:r w:rsidRPr="00A61297">
        <w:rPr>
          <w:rFonts w:ascii="Book Antiqua" w:hAnsi="Book Antiqua"/>
          <w:sz w:val="19"/>
          <w:szCs w:val="19"/>
        </w:rPr>
        <w:t>A averbação de tempo de serviço rural não contributivo não permite majorar o coeficiente de cálculo da renda mensal inicial de aposentadoria por idade previsto no art. 50 da Lei nº 8.213/91.</w:t>
      </w:r>
    </w:p>
    <w:p w14:paraId="76BDCCFB"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350D3961" w14:textId="72807779" w:rsidR="00A61297" w:rsidRDefault="00A61297" w:rsidP="00A61297">
      <w:pPr>
        <w:spacing w:before="100" w:beforeAutospacing="1" w:after="100" w:afterAutospacing="1" w:line="240" w:lineRule="auto"/>
        <w:jc w:val="both"/>
        <w:rPr>
          <w:rFonts w:ascii="Book Antiqua" w:hAnsi="Book Antiqua"/>
          <w:sz w:val="19"/>
          <w:szCs w:val="19"/>
        </w:rPr>
      </w:pPr>
      <w:r w:rsidRPr="00472133">
        <w:rPr>
          <w:rFonts w:ascii="Book Antiqua" w:hAnsi="Book Antiqua"/>
          <w:b/>
          <w:bCs/>
          <w:sz w:val="19"/>
          <w:szCs w:val="19"/>
          <w:highlight w:val="magenta"/>
        </w:rPr>
        <w:t>SÚMULA 75</w:t>
      </w:r>
      <w:r w:rsidRPr="00472133">
        <w:rPr>
          <w:rFonts w:ascii="Book Antiqua" w:hAnsi="Book Antiqua"/>
          <w:b/>
          <w:bCs/>
          <w:sz w:val="19"/>
          <w:szCs w:val="19"/>
        </w:rPr>
        <w:t>: A Carteira de Trabalho e Previdência Social (CTPS) em relação à qual não se aponta defeito formal que lhe comprometa a fidedignidade goza de presunção relativa de veracidade, formando prova suficiente de tempo de serviço para fins previdenciários, ainda que a anotação de vínculo de emprego não conste no Cadastro Nacional de Informações Sociais (CNIS).</w:t>
      </w:r>
      <w:r w:rsidR="00472133">
        <w:rPr>
          <w:rFonts w:ascii="Book Antiqua" w:hAnsi="Book Antiqua"/>
          <w:sz w:val="19"/>
          <w:szCs w:val="19"/>
        </w:rPr>
        <w:t xml:space="preserve"> </w:t>
      </w:r>
      <w:bookmarkStart w:id="6" w:name="_Hlk192596580"/>
      <w:r w:rsidR="00472133">
        <w:rPr>
          <w:rFonts w:ascii="Book Antiqua" w:eastAsia="Times New Roman" w:hAnsi="Book Antiqua" w:cs="Arial"/>
          <w:b/>
          <w:bCs/>
          <w:color w:val="FF0000"/>
          <w:sz w:val="16"/>
          <w:szCs w:val="16"/>
          <w:u w:val="single"/>
          <w:lang w:eastAsia="pt-BR"/>
        </w:rPr>
        <w:t>(TR</w:t>
      </w:r>
      <w:r w:rsidR="00472133">
        <w:rPr>
          <w:rFonts w:ascii="Book Antiqua" w:eastAsia="Times New Roman" w:hAnsi="Book Antiqua" w:cs="Arial"/>
          <w:b/>
          <w:bCs/>
          <w:color w:val="FF0000"/>
          <w:sz w:val="16"/>
          <w:szCs w:val="16"/>
          <w:u w:val="single"/>
          <w:lang w:eastAsia="pt-BR"/>
        </w:rPr>
        <w:t>T/Unificado</w:t>
      </w:r>
      <w:r w:rsidR="00472133">
        <w:rPr>
          <w:rFonts w:ascii="Book Antiqua" w:eastAsia="Times New Roman" w:hAnsi="Book Antiqua" w:cs="Arial"/>
          <w:b/>
          <w:bCs/>
          <w:color w:val="FF0000"/>
          <w:sz w:val="16"/>
          <w:szCs w:val="16"/>
          <w:u w:val="single"/>
          <w:lang w:eastAsia="pt-BR"/>
        </w:rPr>
        <w:t>-202</w:t>
      </w:r>
      <w:r w:rsidR="00472133">
        <w:rPr>
          <w:rFonts w:ascii="Book Antiqua" w:eastAsia="Times New Roman" w:hAnsi="Book Antiqua" w:cs="Arial"/>
          <w:b/>
          <w:bCs/>
          <w:color w:val="FF0000"/>
          <w:sz w:val="16"/>
          <w:szCs w:val="16"/>
          <w:u w:val="single"/>
          <w:lang w:eastAsia="pt-BR"/>
        </w:rPr>
        <w:t>3</w:t>
      </w:r>
      <w:r w:rsidR="00472133">
        <w:rPr>
          <w:rFonts w:ascii="Book Antiqua" w:eastAsia="Times New Roman" w:hAnsi="Book Antiqua" w:cs="Arial"/>
          <w:b/>
          <w:bCs/>
          <w:color w:val="FF0000"/>
          <w:sz w:val="16"/>
          <w:szCs w:val="16"/>
          <w:u w:val="single"/>
          <w:lang w:eastAsia="pt-BR"/>
        </w:rPr>
        <w:t>)</w:t>
      </w:r>
      <w:bookmarkEnd w:id="6"/>
    </w:p>
    <w:p w14:paraId="5878ED64"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19C2B7B" w14:textId="0F1AC860" w:rsidR="00A61297" w:rsidRDefault="00A61297" w:rsidP="00A61297">
      <w:pPr>
        <w:spacing w:before="100" w:beforeAutospacing="1" w:after="100" w:afterAutospacing="1" w:line="240" w:lineRule="auto"/>
        <w:jc w:val="both"/>
        <w:rPr>
          <w:rFonts w:ascii="Book Antiqua" w:hAnsi="Book Antiqua"/>
          <w:sz w:val="19"/>
          <w:szCs w:val="19"/>
        </w:rPr>
      </w:pPr>
      <w:r w:rsidRPr="002078B7">
        <w:rPr>
          <w:rFonts w:ascii="Book Antiqua" w:hAnsi="Book Antiqua"/>
          <w:b/>
          <w:bCs/>
          <w:sz w:val="19"/>
          <w:szCs w:val="19"/>
          <w:highlight w:val="magenta"/>
        </w:rPr>
        <w:t>SÚMULA 74</w:t>
      </w:r>
      <w:r w:rsidRPr="002078B7">
        <w:rPr>
          <w:rFonts w:ascii="Book Antiqua" w:hAnsi="Book Antiqua"/>
          <w:b/>
          <w:bCs/>
          <w:sz w:val="19"/>
          <w:szCs w:val="19"/>
        </w:rPr>
        <w:t>: O prazo de prescrição fica suspenso pela formulação de requerimento administrativo e volta a correr pelo saldo remanescente após a ciência da decisão administrativa final</w:t>
      </w:r>
      <w:r w:rsidRPr="00A61297">
        <w:rPr>
          <w:rFonts w:ascii="Book Antiqua" w:hAnsi="Book Antiqua"/>
          <w:sz w:val="19"/>
          <w:szCs w:val="19"/>
        </w:rPr>
        <w:t>.</w:t>
      </w:r>
      <w:r w:rsidR="002078B7">
        <w:rPr>
          <w:rFonts w:ascii="Book Antiqua" w:hAnsi="Book Antiqua"/>
          <w:sz w:val="19"/>
          <w:szCs w:val="19"/>
        </w:rPr>
        <w:t xml:space="preserve"> </w:t>
      </w:r>
      <w:r w:rsidR="002078B7">
        <w:rPr>
          <w:rFonts w:ascii="Book Antiqua" w:hAnsi="Book Antiqua" w:cs="Times New Roman"/>
          <w:b/>
          <w:color w:val="FF0000"/>
          <w:sz w:val="16"/>
          <w:szCs w:val="16"/>
          <w:u w:val="single"/>
        </w:rPr>
        <w:t>(PGEES-2023)</w:t>
      </w:r>
    </w:p>
    <w:p w14:paraId="4E82AE6D"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2B982429" w14:textId="4B29DD03" w:rsidR="00A61297" w:rsidRPr="00AE3FE4" w:rsidRDefault="00A61297" w:rsidP="00A61297">
      <w:pPr>
        <w:spacing w:before="100" w:beforeAutospacing="1" w:after="100" w:afterAutospacing="1" w:line="240" w:lineRule="auto"/>
        <w:jc w:val="both"/>
        <w:rPr>
          <w:rFonts w:ascii="Book Antiqua" w:hAnsi="Book Antiqua"/>
          <w:b/>
          <w:bCs/>
          <w:sz w:val="18"/>
          <w:szCs w:val="18"/>
        </w:rPr>
      </w:pPr>
      <w:r w:rsidRPr="005F6C3B">
        <w:rPr>
          <w:rFonts w:ascii="Book Antiqua" w:hAnsi="Book Antiqua"/>
          <w:b/>
          <w:bCs/>
          <w:sz w:val="19"/>
          <w:szCs w:val="19"/>
          <w:highlight w:val="magenta"/>
        </w:rPr>
        <w:t>SÚMULA 73</w:t>
      </w:r>
      <w:r>
        <w:rPr>
          <w:rFonts w:ascii="Book Antiqua" w:hAnsi="Book Antiqua"/>
          <w:sz w:val="19"/>
          <w:szCs w:val="19"/>
        </w:rPr>
        <w:t xml:space="preserve">: </w:t>
      </w:r>
      <w:r w:rsidRPr="005F6C3B">
        <w:rPr>
          <w:rFonts w:ascii="Book Antiqua" w:hAnsi="Book Antiqua"/>
          <w:b/>
          <w:bCs/>
          <w:sz w:val="19"/>
          <w:szCs w:val="19"/>
        </w:rPr>
        <w:t>O tempo de gozo de auxílio-doença ou de aposentadoria por invalidez não decorrentes de acidente de trabalho só pode ser computado como tempo de contribuição ou para fins de carência quando intercalado entre períodos nos quais houve recolhimento de contribuições para a previdência social</w:t>
      </w:r>
      <w:r w:rsidRPr="00AE3FE4">
        <w:rPr>
          <w:rFonts w:ascii="Book Antiqua" w:hAnsi="Book Antiqua"/>
          <w:b/>
          <w:bCs/>
          <w:sz w:val="18"/>
          <w:szCs w:val="18"/>
        </w:rPr>
        <w:t>.</w:t>
      </w:r>
      <w:r w:rsidR="005F6C3B" w:rsidRPr="00AE3FE4">
        <w:rPr>
          <w:rFonts w:ascii="Book Antiqua" w:hAnsi="Book Antiqua"/>
          <w:b/>
          <w:bCs/>
          <w:sz w:val="18"/>
          <w:szCs w:val="18"/>
        </w:rPr>
        <w:t xml:space="preserve"> </w:t>
      </w:r>
      <w:r w:rsidR="005F6C3B" w:rsidRPr="00AE3FE4">
        <w:rPr>
          <w:rFonts w:ascii="Book Antiqua" w:eastAsia="Times New Roman" w:hAnsi="Book Antiqua" w:cs="Arial"/>
          <w:b/>
          <w:bCs/>
          <w:color w:val="FF0000"/>
          <w:sz w:val="16"/>
          <w:szCs w:val="16"/>
          <w:u w:val="single"/>
          <w:lang w:eastAsia="pt-BR"/>
        </w:rPr>
        <w:t>(AGU-2015)</w:t>
      </w:r>
    </w:p>
    <w:p w14:paraId="3979650B" w14:textId="77777777" w:rsidR="00A61297" w:rsidRPr="005F6C3B" w:rsidRDefault="00A61297" w:rsidP="00A61297">
      <w:pPr>
        <w:spacing w:before="100" w:beforeAutospacing="1" w:after="100" w:afterAutospacing="1" w:line="240" w:lineRule="auto"/>
        <w:jc w:val="both"/>
        <w:rPr>
          <w:rFonts w:ascii="Book Antiqua" w:hAnsi="Book Antiqua"/>
          <w:b/>
          <w:bCs/>
          <w:sz w:val="19"/>
          <w:szCs w:val="19"/>
        </w:rPr>
      </w:pPr>
    </w:p>
    <w:p w14:paraId="730B3524" w14:textId="30F65BDF"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5F6C3B">
        <w:rPr>
          <w:rFonts w:ascii="Book Antiqua" w:hAnsi="Book Antiqua"/>
          <w:b/>
          <w:bCs/>
          <w:sz w:val="19"/>
          <w:szCs w:val="19"/>
          <w:highlight w:val="magenta"/>
        </w:rPr>
        <w:t>SÚMULA 72</w:t>
      </w:r>
      <w:r w:rsidRPr="005F6C3B">
        <w:rPr>
          <w:rFonts w:ascii="Book Antiqua" w:hAnsi="Book Antiqua"/>
          <w:b/>
          <w:bCs/>
          <w:sz w:val="19"/>
          <w:szCs w:val="19"/>
        </w:rPr>
        <w:t>: É possível o recebimento de benefício por incapacidade durante período em que houve exercício de atividade remunerada quando comprovado que o segurado estava incapaz para as atividades habituais na época em que trabalhou</w:t>
      </w:r>
      <w:r w:rsidRPr="00AE3FE4">
        <w:rPr>
          <w:rFonts w:ascii="Book Antiqua" w:hAnsi="Book Antiqua"/>
          <w:b/>
          <w:bCs/>
          <w:sz w:val="16"/>
          <w:szCs w:val="16"/>
        </w:rPr>
        <w:t>.</w:t>
      </w:r>
      <w:r w:rsidR="00611722" w:rsidRPr="00AE3FE4">
        <w:rPr>
          <w:rFonts w:ascii="Book Antiqua" w:hAnsi="Book Antiqua"/>
          <w:b/>
          <w:bCs/>
          <w:sz w:val="16"/>
          <w:szCs w:val="16"/>
        </w:rPr>
        <w:t xml:space="preserve"> </w:t>
      </w:r>
      <w:bookmarkStart w:id="7" w:name="_Hlk76908788"/>
      <w:r w:rsidR="00611722" w:rsidRPr="00AE3FE4">
        <w:rPr>
          <w:rFonts w:ascii="Book Antiqua" w:eastAsia="Times New Roman" w:hAnsi="Book Antiqua" w:cs="Arial"/>
          <w:b/>
          <w:bCs/>
          <w:color w:val="FF0000"/>
          <w:sz w:val="16"/>
          <w:szCs w:val="16"/>
          <w:u w:val="single"/>
          <w:lang w:eastAsia="pt-BR"/>
        </w:rPr>
        <w:t>(TRF2-2014)</w:t>
      </w:r>
      <w:bookmarkEnd w:id="7"/>
      <w:r w:rsidR="00AE3FE4">
        <w:rPr>
          <w:rFonts w:ascii="Book Antiqua" w:eastAsia="Times New Roman" w:hAnsi="Book Antiqua" w:cs="Arial"/>
          <w:b/>
          <w:bCs/>
          <w:color w:val="FF0000"/>
          <w:sz w:val="16"/>
          <w:szCs w:val="16"/>
          <w:lang w:eastAsia="pt-BR"/>
        </w:rPr>
        <w:t xml:space="preserve"> </w:t>
      </w:r>
      <w:r w:rsidR="00AE3FE4" w:rsidRPr="00AE3FE4">
        <w:rPr>
          <w:rFonts w:ascii="Book Antiqua" w:hAnsi="Book Antiqua"/>
          <w:b/>
          <w:bCs/>
          <w:color w:val="FF0000"/>
          <w:sz w:val="16"/>
          <w:szCs w:val="16"/>
          <w:u w:val="single"/>
        </w:rPr>
        <w:t>(</w:t>
      </w:r>
      <w:r w:rsidR="00AE3FE4">
        <w:rPr>
          <w:rFonts w:ascii="Book Antiqua" w:hAnsi="Book Antiqua"/>
          <w:b/>
          <w:bCs/>
          <w:color w:val="FF0000"/>
          <w:sz w:val="16"/>
          <w:szCs w:val="16"/>
          <w:u w:val="single"/>
        </w:rPr>
        <w:t>PGEGO</w:t>
      </w:r>
      <w:r w:rsidR="00AE3FE4" w:rsidRPr="00AE3FE4">
        <w:rPr>
          <w:rFonts w:ascii="Book Antiqua" w:hAnsi="Book Antiqua"/>
          <w:b/>
          <w:bCs/>
          <w:color w:val="FF0000"/>
          <w:sz w:val="16"/>
          <w:szCs w:val="16"/>
          <w:u w:val="single"/>
        </w:rPr>
        <w:t>-20</w:t>
      </w:r>
      <w:r w:rsidR="00AE3FE4">
        <w:rPr>
          <w:rFonts w:ascii="Book Antiqua" w:hAnsi="Book Antiqua"/>
          <w:b/>
          <w:bCs/>
          <w:color w:val="FF0000"/>
          <w:sz w:val="16"/>
          <w:szCs w:val="16"/>
          <w:u w:val="single"/>
        </w:rPr>
        <w:t>21</w:t>
      </w:r>
      <w:r w:rsidR="00AE3FE4" w:rsidRPr="00AE3FE4">
        <w:rPr>
          <w:rFonts w:ascii="Book Antiqua" w:hAnsi="Book Antiqua"/>
          <w:b/>
          <w:bCs/>
          <w:color w:val="FF0000"/>
          <w:sz w:val="16"/>
          <w:szCs w:val="16"/>
          <w:u w:val="single"/>
        </w:rPr>
        <w:t>)</w:t>
      </w:r>
    </w:p>
    <w:p w14:paraId="25E421A3"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1FDD2E8F" w14:textId="3B8C4F33"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71</w:t>
      </w:r>
      <w:r>
        <w:rPr>
          <w:rFonts w:ascii="Book Antiqua" w:hAnsi="Book Antiqua"/>
          <w:sz w:val="19"/>
          <w:szCs w:val="19"/>
        </w:rPr>
        <w:t xml:space="preserve">: </w:t>
      </w:r>
      <w:r w:rsidRPr="00A61297">
        <w:rPr>
          <w:rFonts w:ascii="Book Antiqua" w:hAnsi="Book Antiqua"/>
          <w:sz w:val="19"/>
          <w:szCs w:val="19"/>
        </w:rPr>
        <w:t>O mero contato do pedreiro com o cimento não caracteriza condição especial de trabalho para fins previdenciários.</w:t>
      </w:r>
    </w:p>
    <w:p w14:paraId="10C724DB"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E23D915" w14:textId="23B074E1"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70</w:t>
      </w:r>
      <w:r>
        <w:rPr>
          <w:rFonts w:ascii="Book Antiqua" w:hAnsi="Book Antiqua"/>
          <w:sz w:val="19"/>
          <w:szCs w:val="19"/>
        </w:rPr>
        <w:t xml:space="preserve">: </w:t>
      </w:r>
      <w:r w:rsidRPr="00A61297">
        <w:rPr>
          <w:rFonts w:ascii="Book Antiqua" w:hAnsi="Book Antiqua"/>
          <w:sz w:val="19"/>
          <w:szCs w:val="19"/>
        </w:rPr>
        <w:t>A atividade de tratorista pode ser equiparada à de motorista de caminhão para fins de reconhecimento de atividade especial mediante enquadramento por categoria profissional.</w:t>
      </w:r>
      <w:r w:rsidR="00017EBF">
        <w:rPr>
          <w:rFonts w:ascii="Book Antiqua" w:hAnsi="Book Antiqua"/>
          <w:sz w:val="19"/>
          <w:szCs w:val="19"/>
        </w:rPr>
        <w:t xml:space="preserve"> </w:t>
      </w:r>
    </w:p>
    <w:p w14:paraId="5F340BA7"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8013205" w14:textId="0F4E96B2"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69</w:t>
      </w:r>
      <w:r>
        <w:rPr>
          <w:rFonts w:ascii="Book Antiqua" w:hAnsi="Book Antiqua"/>
          <w:sz w:val="19"/>
          <w:szCs w:val="19"/>
        </w:rPr>
        <w:t xml:space="preserve">: </w:t>
      </w:r>
      <w:r w:rsidRPr="00A61297">
        <w:rPr>
          <w:rFonts w:ascii="Book Antiqua" w:hAnsi="Book Antiqua"/>
          <w:sz w:val="19"/>
          <w:szCs w:val="19"/>
        </w:rPr>
        <w:t>O tempo de serviço prestado em empresa pública ou em sociedade de economia mista por servidor público federal somente pode ser contado para efeitos de aposentadoria e disponibilidade.</w:t>
      </w:r>
    </w:p>
    <w:p w14:paraId="54F7D5AC"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30ECC5B3" w14:textId="02921565"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68</w:t>
      </w:r>
      <w:r>
        <w:rPr>
          <w:rFonts w:ascii="Book Antiqua" w:hAnsi="Book Antiqua"/>
          <w:sz w:val="19"/>
          <w:szCs w:val="19"/>
        </w:rPr>
        <w:t xml:space="preserve">: </w:t>
      </w:r>
      <w:r w:rsidRPr="00A61297">
        <w:rPr>
          <w:rFonts w:ascii="Book Antiqua" w:hAnsi="Book Antiqua"/>
          <w:sz w:val="19"/>
          <w:szCs w:val="19"/>
        </w:rPr>
        <w:t>O laudo pericial não contemporâneo ao período trabalhado é apto à comprovação da atividade especial do segurado.</w:t>
      </w:r>
    </w:p>
    <w:p w14:paraId="394B840E"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B9C9991" w14:textId="794495B3"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67</w:t>
      </w:r>
      <w:r>
        <w:rPr>
          <w:rFonts w:ascii="Book Antiqua" w:hAnsi="Book Antiqua"/>
          <w:sz w:val="19"/>
          <w:szCs w:val="19"/>
        </w:rPr>
        <w:t xml:space="preserve">: </w:t>
      </w:r>
      <w:r w:rsidRPr="00A61297">
        <w:rPr>
          <w:rFonts w:ascii="Book Antiqua" w:hAnsi="Book Antiqua"/>
          <w:sz w:val="19"/>
          <w:szCs w:val="19"/>
        </w:rPr>
        <w:t>O auxílio-alimentação recebido em pecúnia por segurado filiado ao Regime Geral da Previdência Social integra o salário de contribuição e sujeita-se à incidência de contribuição previdenciária.</w:t>
      </w:r>
    </w:p>
    <w:p w14:paraId="572FFDF8"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221BFDC3" w14:textId="3B9CEB9F" w:rsidR="00A61297" w:rsidRPr="00AE3FE4" w:rsidRDefault="00A61297" w:rsidP="00A61297">
      <w:pPr>
        <w:spacing w:before="100" w:beforeAutospacing="1" w:after="100" w:afterAutospacing="1" w:line="240" w:lineRule="auto"/>
        <w:jc w:val="both"/>
        <w:rPr>
          <w:rFonts w:ascii="Book Antiqua" w:hAnsi="Book Antiqua"/>
          <w:sz w:val="16"/>
          <w:szCs w:val="16"/>
        </w:rPr>
      </w:pPr>
      <w:r w:rsidRPr="0043683A">
        <w:rPr>
          <w:rFonts w:ascii="Book Antiqua" w:hAnsi="Book Antiqua"/>
          <w:b/>
          <w:bCs/>
          <w:sz w:val="19"/>
          <w:szCs w:val="19"/>
          <w:highlight w:val="magenta"/>
        </w:rPr>
        <w:t>SÚMULA 66</w:t>
      </w:r>
      <w:r>
        <w:rPr>
          <w:rFonts w:ascii="Book Antiqua" w:hAnsi="Book Antiqua"/>
          <w:sz w:val="19"/>
          <w:szCs w:val="19"/>
        </w:rPr>
        <w:t xml:space="preserve">: </w:t>
      </w:r>
      <w:r w:rsidRPr="005F6C3B">
        <w:rPr>
          <w:rFonts w:ascii="Book Antiqua" w:hAnsi="Book Antiqua"/>
          <w:b/>
          <w:bCs/>
          <w:sz w:val="19"/>
          <w:szCs w:val="19"/>
        </w:rPr>
        <w:t xml:space="preserve">O servidor público </w:t>
      </w:r>
      <w:proofErr w:type="spellStart"/>
      <w:r w:rsidRPr="005F6C3B">
        <w:rPr>
          <w:rFonts w:ascii="Book Antiqua" w:hAnsi="Book Antiqua"/>
          <w:b/>
          <w:bCs/>
          <w:sz w:val="19"/>
          <w:szCs w:val="19"/>
        </w:rPr>
        <w:t>ex-celetista</w:t>
      </w:r>
      <w:proofErr w:type="spellEnd"/>
      <w:r w:rsidRPr="005F6C3B">
        <w:rPr>
          <w:rFonts w:ascii="Book Antiqua" w:hAnsi="Book Antiqua"/>
          <w:b/>
          <w:bCs/>
          <w:sz w:val="19"/>
          <w:szCs w:val="19"/>
        </w:rPr>
        <w:t xml:space="preserve"> que trabalhava sob condições especiais antes de migrar para o regime estatutário tem direito adquirido à conversão do tempo de atividade especial em tempo comum com o devido acréscimo legal, para efeito de contagem recíproca no regime previdenciário próprio dos servidores públicos</w:t>
      </w:r>
      <w:r w:rsidRPr="00AE3FE4">
        <w:rPr>
          <w:rFonts w:ascii="Book Antiqua" w:hAnsi="Book Antiqua"/>
          <w:sz w:val="16"/>
          <w:szCs w:val="16"/>
        </w:rPr>
        <w:t>.</w:t>
      </w:r>
      <w:r w:rsidR="0043683A" w:rsidRPr="00AE3FE4">
        <w:rPr>
          <w:rFonts w:ascii="Book Antiqua" w:hAnsi="Book Antiqua"/>
          <w:sz w:val="16"/>
          <w:szCs w:val="16"/>
        </w:rPr>
        <w:t xml:space="preserve"> </w:t>
      </w:r>
      <w:r w:rsidR="0043683A" w:rsidRPr="00AE3FE4">
        <w:rPr>
          <w:rFonts w:ascii="Book Antiqua" w:eastAsia="Times New Roman" w:hAnsi="Book Antiqua" w:cs="Times New Roman"/>
          <w:b/>
          <w:color w:val="FF0000"/>
          <w:sz w:val="16"/>
          <w:szCs w:val="16"/>
          <w:u w:val="single"/>
          <w:lang w:eastAsia="pt-BR"/>
        </w:rPr>
        <w:t>(DPEAC-2012)</w:t>
      </w:r>
    </w:p>
    <w:p w14:paraId="11C534D6"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76BF6620" w14:textId="554F593C"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65</w:t>
      </w:r>
      <w:r>
        <w:rPr>
          <w:rFonts w:ascii="Book Antiqua" w:hAnsi="Book Antiqua"/>
          <w:sz w:val="19"/>
          <w:szCs w:val="19"/>
        </w:rPr>
        <w:t xml:space="preserve">: </w:t>
      </w:r>
      <w:r w:rsidRPr="00A61297">
        <w:rPr>
          <w:rFonts w:ascii="Book Antiqua" w:hAnsi="Book Antiqua"/>
          <w:sz w:val="19"/>
          <w:szCs w:val="19"/>
        </w:rPr>
        <w:t>Os benefícios de auxílio-doença, auxílio-acidente e aposentadoria por invalidez concedidos no período de 28/3/2005 a 20/7/2005 devem ser calculados nos termos da Lei n. 8.213/1991, em sua redação anterior à vigência da Medida Provisória n. 242/2005.</w:t>
      </w:r>
    </w:p>
    <w:p w14:paraId="601F3720"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36C54982" w14:textId="16D02E38"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trike/>
          <w:sz w:val="19"/>
          <w:szCs w:val="19"/>
          <w:highlight w:val="red"/>
        </w:rPr>
        <w:t>SÚMULA 64</w:t>
      </w:r>
      <w:r w:rsidRPr="00A61297">
        <w:rPr>
          <w:rFonts w:ascii="Book Antiqua" w:hAnsi="Book Antiqua"/>
          <w:strike/>
          <w:sz w:val="19"/>
          <w:szCs w:val="19"/>
        </w:rPr>
        <w:t xml:space="preserve">: </w:t>
      </w:r>
      <w:r w:rsidRPr="00A61297">
        <w:rPr>
          <w:rFonts w:ascii="Book Antiqua" w:hAnsi="Book Antiqua"/>
          <w:strike/>
          <w:sz w:val="19"/>
          <w:szCs w:val="19"/>
          <w:highlight w:val="red"/>
        </w:rPr>
        <w:t xml:space="preserve">O direito à revisão do ato de indeferimento de benefício previdenciário ou assistencial sujeita-se ao prazo decadencial de dez anos. CANCELAMENTO: Julgando os </w:t>
      </w:r>
      <w:proofErr w:type="spellStart"/>
      <w:r w:rsidRPr="00A61297">
        <w:rPr>
          <w:rFonts w:ascii="Book Antiqua" w:hAnsi="Book Antiqua"/>
          <w:strike/>
          <w:sz w:val="19"/>
          <w:szCs w:val="19"/>
          <w:highlight w:val="red"/>
        </w:rPr>
        <w:t>PEDILEFs</w:t>
      </w:r>
      <w:proofErr w:type="spellEnd"/>
      <w:r w:rsidRPr="00A61297">
        <w:rPr>
          <w:rFonts w:ascii="Book Antiqua" w:hAnsi="Book Antiqua"/>
          <w:strike/>
          <w:sz w:val="19"/>
          <w:szCs w:val="19"/>
          <w:highlight w:val="red"/>
        </w:rPr>
        <w:t xml:space="preserve"> 0503504-02.2012.4.05.8102 e 0507719-68.2010.4.05.8400, na sessão de 18/6/2015, a Turma Nacional de Uniformização, deliberou, por maioria, pelo cancelamento da súmula n. 64, vencidos os Juízes Boaventura João Andrade e Sérgio Queiroga</w:t>
      </w:r>
      <w:r w:rsidRPr="00A61297">
        <w:rPr>
          <w:rFonts w:ascii="Book Antiqua" w:hAnsi="Book Antiqua"/>
          <w:sz w:val="19"/>
          <w:szCs w:val="19"/>
        </w:rPr>
        <w:t>.</w:t>
      </w:r>
      <w:r>
        <w:rPr>
          <w:rFonts w:ascii="Book Antiqua" w:hAnsi="Book Antiqua"/>
          <w:sz w:val="19"/>
          <w:szCs w:val="19"/>
        </w:rPr>
        <w:t xml:space="preserve">  </w:t>
      </w:r>
      <w:r w:rsidRPr="00A61297">
        <w:rPr>
          <w:rFonts w:ascii="Book Antiqua" w:hAnsi="Book Antiqua"/>
          <w:sz w:val="19"/>
          <w:szCs w:val="19"/>
        </w:rPr>
        <w:t>(CANCELADA EM 18/06/2015)</w:t>
      </w:r>
    </w:p>
    <w:p w14:paraId="10B692D0"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6A88DA2C" w14:textId="09189BF7"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63</w:t>
      </w:r>
      <w:r>
        <w:rPr>
          <w:rFonts w:ascii="Book Antiqua" w:hAnsi="Book Antiqua"/>
          <w:sz w:val="19"/>
          <w:szCs w:val="19"/>
        </w:rPr>
        <w:t xml:space="preserve">: </w:t>
      </w:r>
      <w:r w:rsidRPr="00A61297">
        <w:rPr>
          <w:rFonts w:ascii="Book Antiqua" w:hAnsi="Book Antiqua"/>
          <w:sz w:val="19"/>
          <w:szCs w:val="19"/>
        </w:rPr>
        <w:t>A comprovação de união estável para efeito de concessão de pensão por morte prescinde de início de prova material.</w:t>
      </w:r>
    </w:p>
    <w:p w14:paraId="1023FB92"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2D78F76C" w14:textId="78253C91"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62</w:t>
      </w:r>
      <w:r>
        <w:rPr>
          <w:rFonts w:ascii="Book Antiqua" w:hAnsi="Book Antiqua"/>
          <w:sz w:val="19"/>
          <w:szCs w:val="19"/>
        </w:rPr>
        <w:t xml:space="preserve">: </w:t>
      </w:r>
      <w:r w:rsidRPr="00A61297">
        <w:rPr>
          <w:rFonts w:ascii="Book Antiqua" w:hAnsi="Book Antiqua"/>
          <w:sz w:val="19"/>
          <w:szCs w:val="19"/>
        </w:rPr>
        <w:t>O segurado contribuinte individual pode obter reconhecimento de atividade especial para fins previdenciários, desde que consiga comprovar exposição a agentes nocivos à saúde ou à integridade física.</w:t>
      </w:r>
    </w:p>
    <w:p w14:paraId="4791835B"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FD6981C" w14:textId="64894AEE"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trike/>
          <w:sz w:val="19"/>
          <w:szCs w:val="19"/>
          <w:highlight w:val="red"/>
        </w:rPr>
        <w:t>SÚMULA 61</w:t>
      </w:r>
      <w:r w:rsidRPr="00A61297">
        <w:rPr>
          <w:rFonts w:ascii="Book Antiqua" w:hAnsi="Book Antiqua"/>
          <w:strike/>
          <w:sz w:val="19"/>
          <w:szCs w:val="19"/>
        </w:rPr>
        <w:t xml:space="preserve">: </w:t>
      </w:r>
      <w:r w:rsidRPr="00A61297">
        <w:rPr>
          <w:rFonts w:ascii="Book Antiqua" w:hAnsi="Book Antiqua"/>
          <w:strike/>
          <w:sz w:val="19"/>
          <w:szCs w:val="19"/>
          <w:highlight w:val="red"/>
        </w:rPr>
        <w:t>As alterações promovidas pela Lei n. 11.960/2009 têm aplicação imediata na regulação dos juros de mora em condenações contra a Fazenda Pública, inclusive em matéria previdenciária, independentemente da data do ajuizamento da ação ou do trânsito em julgado. CANCELAMENTO: A Turma Nacional de Uniformização, na Oitava sessão ordinária de 9 de outubro de 2013, aprovou, por unanimidade, o cancelamento da súmula nº 61. Precedente: 0003060-22.2006.4.03.6314, de relatoria do Juiz Federal João Batista Lazzari</w:t>
      </w:r>
      <w:r w:rsidRPr="00A61297">
        <w:rPr>
          <w:rFonts w:ascii="Book Antiqua" w:hAnsi="Book Antiqua"/>
          <w:sz w:val="19"/>
          <w:szCs w:val="19"/>
        </w:rPr>
        <w:t>.</w:t>
      </w:r>
      <w:r>
        <w:rPr>
          <w:rFonts w:ascii="Book Antiqua" w:hAnsi="Book Antiqua"/>
          <w:sz w:val="19"/>
          <w:szCs w:val="19"/>
        </w:rPr>
        <w:t xml:space="preserve"> </w:t>
      </w:r>
      <w:r w:rsidRPr="00A61297">
        <w:rPr>
          <w:rFonts w:ascii="Book Antiqua" w:hAnsi="Book Antiqua"/>
          <w:sz w:val="19"/>
          <w:szCs w:val="19"/>
        </w:rPr>
        <w:t>(CANCELADA EM 11/10/2013)</w:t>
      </w:r>
    </w:p>
    <w:p w14:paraId="33BCE71E"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5D1A25D3" w14:textId="5E00FA16"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trike/>
          <w:sz w:val="19"/>
          <w:szCs w:val="19"/>
          <w:highlight w:val="red"/>
        </w:rPr>
        <w:t>SÚMULA 60</w:t>
      </w:r>
      <w:r w:rsidRPr="00A61297">
        <w:rPr>
          <w:rFonts w:ascii="Book Antiqua" w:hAnsi="Book Antiqua"/>
          <w:strike/>
          <w:sz w:val="19"/>
          <w:szCs w:val="19"/>
        </w:rPr>
        <w:t xml:space="preserve">: </w:t>
      </w:r>
      <w:r w:rsidRPr="00A61297">
        <w:rPr>
          <w:rFonts w:ascii="Book Antiqua" w:hAnsi="Book Antiqua"/>
          <w:strike/>
          <w:sz w:val="19"/>
          <w:szCs w:val="19"/>
          <w:highlight w:val="red"/>
        </w:rPr>
        <w:t>O décimo terceiro salário não integra o salário de contribuição para fins de cálculo do salário de benefício, independentemente da data da concessão do benefício previdenciário. CANCELAMENTO: Julgando o PEDILEF n. 0055090-29.2013.4.03.6301, na sessão de 16/3/2016, a Turma Nacional de Uniformização, deliberou, por maioria, pelo cancelamento da súmula n. 60, vencidos os Juízes Federais Boaventura João Andrade e Fábio Cesar dos Santos Oliveira</w:t>
      </w:r>
      <w:r w:rsidRPr="00A61297">
        <w:rPr>
          <w:rFonts w:ascii="Book Antiqua" w:hAnsi="Book Antiqua"/>
          <w:sz w:val="19"/>
          <w:szCs w:val="19"/>
        </w:rPr>
        <w:t>.</w:t>
      </w:r>
      <w:r>
        <w:rPr>
          <w:rFonts w:ascii="Book Antiqua" w:hAnsi="Book Antiqua"/>
          <w:sz w:val="19"/>
          <w:szCs w:val="19"/>
        </w:rPr>
        <w:t xml:space="preserve"> </w:t>
      </w:r>
      <w:r w:rsidRPr="00A61297">
        <w:rPr>
          <w:rFonts w:ascii="Book Antiqua" w:hAnsi="Book Antiqua"/>
          <w:sz w:val="19"/>
          <w:szCs w:val="19"/>
        </w:rPr>
        <w:t>(CANCELADA EM 16/03/2016)</w:t>
      </w:r>
    </w:p>
    <w:p w14:paraId="66764EAA"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6A8E9A52" w14:textId="6DE97341"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59</w:t>
      </w:r>
      <w:r>
        <w:rPr>
          <w:rFonts w:ascii="Book Antiqua" w:hAnsi="Book Antiqua"/>
          <w:sz w:val="19"/>
          <w:szCs w:val="19"/>
        </w:rPr>
        <w:t xml:space="preserve">: </w:t>
      </w:r>
      <w:r w:rsidRPr="00A61297">
        <w:rPr>
          <w:rFonts w:ascii="Book Antiqua" w:hAnsi="Book Antiqua"/>
          <w:sz w:val="19"/>
          <w:szCs w:val="19"/>
        </w:rPr>
        <w:t>A ausência de declaração do objeto postado não impede a condenação da ECT a indenizar danos decorrentes do extravio, desde que o conteúdo da postagem seja demonstrado por outros meios de prova admitidos em direito.</w:t>
      </w:r>
    </w:p>
    <w:p w14:paraId="2FF77D79"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20834860" w14:textId="2DF28480"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58</w:t>
      </w:r>
      <w:r>
        <w:rPr>
          <w:rFonts w:ascii="Book Antiqua" w:hAnsi="Book Antiqua"/>
          <w:sz w:val="19"/>
          <w:szCs w:val="19"/>
        </w:rPr>
        <w:t xml:space="preserve">: </w:t>
      </w:r>
      <w:r w:rsidRPr="00A61297">
        <w:rPr>
          <w:rFonts w:ascii="Book Antiqua" w:hAnsi="Book Antiqua"/>
          <w:sz w:val="19"/>
          <w:szCs w:val="19"/>
        </w:rPr>
        <w:t xml:space="preserve">Não é devido </w:t>
      </w:r>
      <w:proofErr w:type="spellStart"/>
      <w:r w:rsidRPr="00A61297">
        <w:rPr>
          <w:rFonts w:ascii="Book Antiqua" w:hAnsi="Book Antiqua"/>
          <w:sz w:val="19"/>
          <w:szCs w:val="19"/>
        </w:rPr>
        <w:t>o</w:t>
      </w:r>
      <w:proofErr w:type="spellEnd"/>
      <w:r w:rsidRPr="00A61297">
        <w:rPr>
          <w:rFonts w:ascii="Book Antiqua" w:hAnsi="Book Antiqua"/>
          <w:sz w:val="19"/>
          <w:szCs w:val="19"/>
        </w:rPr>
        <w:t xml:space="preserve"> reajuste na indenização de campo por força da alteração trazida pelo Decreto n. 5.554/2005.</w:t>
      </w:r>
    </w:p>
    <w:p w14:paraId="4BD1FF1C"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5D2AB11" w14:textId="6827B8CD"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57</w:t>
      </w:r>
      <w:r>
        <w:rPr>
          <w:rFonts w:ascii="Book Antiqua" w:hAnsi="Book Antiqua"/>
          <w:sz w:val="19"/>
          <w:szCs w:val="19"/>
        </w:rPr>
        <w:t xml:space="preserve">: </w:t>
      </w:r>
      <w:r w:rsidRPr="00A61297">
        <w:rPr>
          <w:rFonts w:ascii="Book Antiqua" w:hAnsi="Book Antiqua"/>
          <w:sz w:val="19"/>
          <w:szCs w:val="19"/>
        </w:rPr>
        <w:t>O auxílio-doença e a aposentadoria por invalidez não precedida de auxílio-doença, quando concedidos na vigência da Lei n. 9.876/1999, devem ter o salário de benefício apurado com base na média aritmética simples dos maiores salários de contribuição correspondentes a 80% do período contributivo, independentemente da data de filiação do segurado ou do número de contribuições mensais no período contributivo.</w:t>
      </w:r>
    </w:p>
    <w:p w14:paraId="54FC2116"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70511C03" w14:textId="083BC0C0"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56</w:t>
      </w:r>
      <w:r>
        <w:rPr>
          <w:rFonts w:ascii="Book Antiqua" w:hAnsi="Book Antiqua"/>
          <w:sz w:val="19"/>
          <w:szCs w:val="19"/>
        </w:rPr>
        <w:t xml:space="preserve">: </w:t>
      </w:r>
      <w:r w:rsidRPr="00A61297">
        <w:rPr>
          <w:rFonts w:ascii="Book Antiqua" w:hAnsi="Book Antiqua"/>
          <w:sz w:val="19"/>
          <w:szCs w:val="19"/>
        </w:rPr>
        <w:t>O prazo de trinta anos para prescrição da pretensão à cobrança de juros progressivos sobre saldo de conta vinculada ao FGTS tem início na data em que deixou de ser feito o crédito e incide sobre cada prestação mensal.</w:t>
      </w:r>
    </w:p>
    <w:p w14:paraId="775E3CBF"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0470403F" w14:textId="458D4335"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55</w:t>
      </w:r>
      <w:r>
        <w:rPr>
          <w:rFonts w:ascii="Book Antiqua" w:hAnsi="Book Antiqua"/>
          <w:sz w:val="19"/>
          <w:szCs w:val="19"/>
        </w:rPr>
        <w:t xml:space="preserve">: </w:t>
      </w:r>
      <w:r w:rsidRPr="00A61297">
        <w:rPr>
          <w:rFonts w:ascii="Book Antiqua" w:hAnsi="Book Antiqua"/>
          <w:sz w:val="19"/>
          <w:szCs w:val="19"/>
        </w:rPr>
        <w:t>A conversão do tempo de atividade especial em comum deve ocorrer com aplicação do fator multiplicativo em vigor na data da concessão da aposentadoria.</w:t>
      </w:r>
    </w:p>
    <w:p w14:paraId="78642DBD"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2DD89076" w14:textId="074E233F" w:rsidR="00A61297" w:rsidRPr="00AE3FE4" w:rsidRDefault="00A61297" w:rsidP="00A61297">
      <w:pPr>
        <w:spacing w:before="100" w:beforeAutospacing="1" w:after="100" w:afterAutospacing="1" w:line="240" w:lineRule="auto"/>
        <w:jc w:val="both"/>
        <w:rPr>
          <w:rFonts w:ascii="Book Antiqua" w:hAnsi="Book Antiqua"/>
          <w:sz w:val="16"/>
          <w:szCs w:val="16"/>
        </w:rPr>
      </w:pPr>
      <w:r w:rsidRPr="00611722">
        <w:rPr>
          <w:rFonts w:ascii="Book Antiqua" w:hAnsi="Book Antiqua"/>
          <w:b/>
          <w:bCs/>
          <w:sz w:val="19"/>
          <w:szCs w:val="19"/>
          <w:highlight w:val="magenta"/>
        </w:rPr>
        <w:lastRenderedPageBreak/>
        <w:t>SÚMULA 54</w:t>
      </w:r>
      <w:r>
        <w:rPr>
          <w:rFonts w:ascii="Book Antiqua" w:hAnsi="Book Antiqua"/>
          <w:sz w:val="19"/>
          <w:szCs w:val="19"/>
        </w:rPr>
        <w:t xml:space="preserve">: </w:t>
      </w:r>
      <w:r w:rsidRPr="005F6C3B">
        <w:rPr>
          <w:rFonts w:ascii="Book Antiqua" w:hAnsi="Book Antiqua"/>
          <w:b/>
          <w:bCs/>
          <w:sz w:val="19"/>
          <w:szCs w:val="19"/>
        </w:rPr>
        <w:t>Para a concessão de aposentadoria por idade de trabalhador rural, o tempo de exercício de atividade equivalente à carência deve ser aferido no período imediatamente anterior ao requerimento administrativo ou à data do implemento da idade mínima</w:t>
      </w:r>
      <w:r w:rsidRPr="00AE3FE4">
        <w:rPr>
          <w:rFonts w:ascii="Book Antiqua" w:hAnsi="Book Antiqua"/>
          <w:sz w:val="16"/>
          <w:szCs w:val="16"/>
        </w:rPr>
        <w:t>.</w:t>
      </w:r>
      <w:r w:rsidR="00611722" w:rsidRPr="00AE3FE4">
        <w:rPr>
          <w:rFonts w:ascii="Book Antiqua" w:hAnsi="Book Antiqua"/>
          <w:sz w:val="16"/>
          <w:szCs w:val="16"/>
        </w:rPr>
        <w:t xml:space="preserve"> </w:t>
      </w:r>
      <w:r w:rsidR="00611722" w:rsidRPr="00AE3FE4">
        <w:rPr>
          <w:rFonts w:ascii="Book Antiqua" w:eastAsia="Times New Roman" w:hAnsi="Book Antiqua" w:cs="Arial"/>
          <w:b/>
          <w:bCs/>
          <w:color w:val="FF0000"/>
          <w:sz w:val="16"/>
          <w:szCs w:val="16"/>
          <w:u w:val="single"/>
          <w:lang w:eastAsia="pt-BR"/>
        </w:rPr>
        <w:t>(TRF2-2014)</w:t>
      </w:r>
    </w:p>
    <w:p w14:paraId="1A8D25F0"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01B3A992" w14:textId="7CBC86B1"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53</w:t>
      </w:r>
      <w:r>
        <w:rPr>
          <w:rFonts w:ascii="Book Antiqua" w:hAnsi="Book Antiqua"/>
          <w:sz w:val="19"/>
          <w:szCs w:val="19"/>
        </w:rPr>
        <w:t xml:space="preserve">: </w:t>
      </w:r>
      <w:r w:rsidRPr="00A61297">
        <w:rPr>
          <w:rFonts w:ascii="Book Antiqua" w:hAnsi="Book Antiqua"/>
          <w:sz w:val="19"/>
          <w:szCs w:val="19"/>
        </w:rPr>
        <w:t>Não há direito a auxílio-doença ou a aposentadoria por invalidez quando a incapacidade para o trabalho é preexistente ao reingresso do segurado no Regime Geral de Previdência Social.</w:t>
      </w:r>
      <w:r w:rsidR="00D2012E">
        <w:rPr>
          <w:rFonts w:ascii="Book Antiqua" w:hAnsi="Book Antiqua"/>
          <w:sz w:val="19"/>
          <w:szCs w:val="19"/>
        </w:rPr>
        <w:t xml:space="preserve"> </w:t>
      </w:r>
    </w:p>
    <w:p w14:paraId="0DE84F0F" w14:textId="77777777" w:rsidR="00A61297" w:rsidRDefault="00A61297" w:rsidP="00A61297">
      <w:pPr>
        <w:spacing w:before="100" w:beforeAutospacing="1" w:after="100" w:afterAutospacing="1" w:line="240" w:lineRule="auto"/>
        <w:jc w:val="both"/>
        <w:rPr>
          <w:rFonts w:ascii="Book Antiqua" w:hAnsi="Book Antiqua"/>
          <w:sz w:val="19"/>
          <w:szCs w:val="19"/>
        </w:rPr>
      </w:pPr>
    </w:p>
    <w:p w14:paraId="3D6F3A00" w14:textId="6C86689C" w:rsidR="00A61297" w:rsidRPr="00D2012E" w:rsidRDefault="00A61297" w:rsidP="00A61297">
      <w:pPr>
        <w:spacing w:before="100" w:beforeAutospacing="1" w:after="100" w:afterAutospacing="1" w:line="240" w:lineRule="auto"/>
        <w:jc w:val="both"/>
        <w:rPr>
          <w:rFonts w:ascii="Book Antiqua" w:hAnsi="Book Antiqua"/>
          <w:sz w:val="19"/>
          <w:szCs w:val="19"/>
        </w:rPr>
      </w:pPr>
      <w:r w:rsidRPr="00841757">
        <w:rPr>
          <w:rFonts w:ascii="Book Antiqua" w:hAnsi="Book Antiqua"/>
          <w:b/>
          <w:bCs/>
          <w:sz w:val="19"/>
          <w:szCs w:val="19"/>
          <w:highlight w:val="magenta"/>
        </w:rPr>
        <w:t>SÚMULA 52</w:t>
      </w:r>
      <w:r w:rsidRPr="00841757">
        <w:rPr>
          <w:rFonts w:ascii="Book Antiqua" w:hAnsi="Book Antiqua"/>
          <w:b/>
          <w:bCs/>
          <w:sz w:val="19"/>
          <w:szCs w:val="19"/>
        </w:rPr>
        <w:t>: Para fins de concessão de pensão por morte, é incabível a regularização do recolhimento de contribuições de segurado contribuinte individual posteriormente a seu óbito, exceto quando as contribuições devam ser arrecadadas por empresa tomadora de serviços</w:t>
      </w:r>
      <w:r w:rsidRPr="00A61297">
        <w:rPr>
          <w:rFonts w:ascii="Book Antiqua" w:hAnsi="Book Antiqua"/>
          <w:sz w:val="19"/>
          <w:szCs w:val="19"/>
        </w:rPr>
        <w:t>.</w:t>
      </w:r>
      <w:r w:rsidR="00841757">
        <w:rPr>
          <w:rFonts w:ascii="Book Antiqua" w:hAnsi="Book Antiqua"/>
          <w:sz w:val="19"/>
          <w:szCs w:val="19"/>
        </w:rPr>
        <w:t xml:space="preserve"> </w:t>
      </w:r>
      <w:r w:rsidR="00841757">
        <w:rPr>
          <w:rFonts w:ascii="Book Antiqua" w:eastAsia="Times New Roman" w:hAnsi="Book Antiqua" w:cs="Arial"/>
          <w:b/>
          <w:bCs/>
          <w:color w:val="FF0000"/>
          <w:sz w:val="16"/>
          <w:szCs w:val="16"/>
          <w:u w:val="single"/>
          <w:lang w:eastAsia="pt-BR"/>
        </w:rPr>
        <w:t>(PGEAL-2021)</w:t>
      </w:r>
      <w:r w:rsidR="00D2012E">
        <w:rPr>
          <w:rFonts w:ascii="Book Antiqua" w:eastAsia="Times New Roman" w:hAnsi="Book Antiqua" w:cs="Arial"/>
          <w:b/>
          <w:bCs/>
          <w:color w:val="FF0000"/>
          <w:sz w:val="16"/>
          <w:szCs w:val="16"/>
          <w:lang w:eastAsia="pt-BR"/>
        </w:rPr>
        <w:t xml:space="preserve"> </w:t>
      </w:r>
      <w:r w:rsidR="00D2012E" w:rsidRPr="00D2012E">
        <w:rPr>
          <w:rFonts w:ascii="Book Antiqua" w:eastAsia="Times New Roman" w:hAnsi="Book Antiqua" w:cs="Arial"/>
          <w:b/>
          <w:bCs/>
          <w:color w:val="FF0000"/>
          <w:sz w:val="16"/>
          <w:szCs w:val="16"/>
          <w:u w:val="single"/>
          <w:lang w:eastAsia="pt-BR"/>
        </w:rPr>
        <w:t>(TRF4-2022)</w:t>
      </w:r>
    </w:p>
    <w:p w14:paraId="02CCD2EB" w14:textId="77777777" w:rsidR="00A61297" w:rsidRPr="00A61297" w:rsidRDefault="00A61297" w:rsidP="00A61297">
      <w:pPr>
        <w:spacing w:before="100" w:beforeAutospacing="1" w:after="100" w:afterAutospacing="1" w:line="240" w:lineRule="auto"/>
        <w:jc w:val="both"/>
        <w:rPr>
          <w:rFonts w:ascii="Book Antiqua" w:hAnsi="Book Antiqua"/>
          <w:sz w:val="19"/>
          <w:szCs w:val="19"/>
        </w:rPr>
      </w:pPr>
    </w:p>
    <w:p w14:paraId="1777D4D9" w14:textId="287295E6" w:rsidR="00A61297" w:rsidRPr="00A61297" w:rsidRDefault="00A61297" w:rsidP="00A61297">
      <w:pPr>
        <w:spacing w:before="100" w:beforeAutospacing="1" w:after="100" w:afterAutospacing="1" w:line="240" w:lineRule="auto"/>
        <w:jc w:val="both"/>
        <w:rPr>
          <w:rFonts w:ascii="Book Antiqua" w:hAnsi="Book Antiqua"/>
          <w:sz w:val="19"/>
          <w:szCs w:val="19"/>
        </w:rPr>
      </w:pPr>
      <w:r w:rsidRPr="0089549E">
        <w:rPr>
          <w:rFonts w:ascii="Book Antiqua" w:hAnsi="Book Antiqua"/>
          <w:strike/>
          <w:sz w:val="19"/>
          <w:szCs w:val="19"/>
          <w:highlight w:val="red"/>
        </w:rPr>
        <w:t>SÚMULA 51</w:t>
      </w:r>
      <w:r w:rsidRPr="0089549E">
        <w:rPr>
          <w:rFonts w:ascii="Book Antiqua" w:hAnsi="Book Antiqua"/>
          <w:strike/>
          <w:sz w:val="19"/>
          <w:szCs w:val="19"/>
        </w:rPr>
        <w:t>:</w:t>
      </w:r>
      <w:r w:rsidR="0089549E" w:rsidRPr="0089549E">
        <w:rPr>
          <w:rFonts w:ascii="Book Antiqua" w:hAnsi="Book Antiqua"/>
          <w:strike/>
          <w:sz w:val="19"/>
          <w:szCs w:val="19"/>
        </w:rPr>
        <w:t xml:space="preserve"> </w:t>
      </w:r>
      <w:r w:rsidR="0089549E" w:rsidRPr="0089549E">
        <w:rPr>
          <w:rFonts w:ascii="Book Antiqua" w:hAnsi="Book Antiqua"/>
          <w:strike/>
          <w:sz w:val="19"/>
          <w:szCs w:val="19"/>
          <w:highlight w:val="red"/>
        </w:rPr>
        <w:t>Os valores recebidos por força de antecipação dos efeitos de tutela, posteriormente revogada em demanda previdenciária, são irrepetíveis em razão da natureza alimentar e da boa-fé no seu recebimento</w:t>
      </w:r>
      <w:r w:rsidR="0089549E" w:rsidRPr="00A61297">
        <w:rPr>
          <w:rFonts w:ascii="Book Antiqua" w:hAnsi="Book Antiqua"/>
          <w:sz w:val="19"/>
          <w:szCs w:val="19"/>
        </w:rPr>
        <w:t>.</w:t>
      </w:r>
      <w:r w:rsidR="0089549E">
        <w:rPr>
          <w:rFonts w:ascii="Book Antiqua" w:hAnsi="Book Antiqua"/>
          <w:sz w:val="19"/>
          <w:szCs w:val="19"/>
        </w:rPr>
        <w:t xml:space="preserve"> </w:t>
      </w:r>
      <w:r>
        <w:rPr>
          <w:rFonts w:ascii="Book Antiqua" w:hAnsi="Book Antiqua"/>
          <w:sz w:val="19"/>
          <w:szCs w:val="19"/>
        </w:rPr>
        <w:t xml:space="preserve"> </w:t>
      </w:r>
      <w:r w:rsidRPr="00A61297">
        <w:rPr>
          <w:rFonts w:ascii="Book Antiqua" w:hAnsi="Book Antiqua"/>
          <w:sz w:val="19"/>
          <w:szCs w:val="19"/>
        </w:rPr>
        <w:t>(CANCELADA EM 30.08.2017)</w:t>
      </w:r>
    </w:p>
    <w:p w14:paraId="3DB5C2D6"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4E036AC7" w14:textId="469E7635"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50</w:t>
      </w:r>
      <w:r w:rsidR="0089549E">
        <w:rPr>
          <w:rFonts w:ascii="Book Antiqua" w:hAnsi="Book Antiqua"/>
          <w:sz w:val="19"/>
          <w:szCs w:val="19"/>
        </w:rPr>
        <w:t xml:space="preserve">: </w:t>
      </w:r>
      <w:r w:rsidRPr="00A61297">
        <w:rPr>
          <w:rFonts w:ascii="Book Antiqua" w:hAnsi="Book Antiqua"/>
          <w:sz w:val="19"/>
          <w:szCs w:val="19"/>
        </w:rPr>
        <w:t>É possível a conversão do tempo de serviço especial em comum do trabalho prestado em qualquer período.</w:t>
      </w:r>
    </w:p>
    <w:p w14:paraId="4829B6E1"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1BB99B1D" w14:textId="6177C8E3"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49</w:t>
      </w:r>
      <w:r w:rsidR="0089549E">
        <w:rPr>
          <w:rFonts w:ascii="Book Antiqua" w:hAnsi="Book Antiqua"/>
          <w:sz w:val="19"/>
          <w:szCs w:val="19"/>
        </w:rPr>
        <w:t xml:space="preserve">: </w:t>
      </w:r>
      <w:r w:rsidRPr="00A61297">
        <w:rPr>
          <w:rFonts w:ascii="Book Antiqua" w:hAnsi="Book Antiqua"/>
          <w:sz w:val="19"/>
          <w:szCs w:val="19"/>
        </w:rPr>
        <w:t>Para reconhecimento de condição especial de trabalho antes de 29/4/1995, a exposição a agentes nocivos à saúde ou à integridade física não precisa ocorrer de forma permanente.</w:t>
      </w:r>
    </w:p>
    <w:p w14:paraId="4B62A181"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6D636364" w14:textId="18EF238D"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48</w:t>
      </w:r>
      <w:r w:rsidR="0089549E">
        <w:rPr>
          <w:rFonts w:ascii="Book Antiqua" w:hAnsi="Book Antiqua"/>
          <w:sz w:val="19"/>
          <w:szCs w:val="19"/>
        </w:rPr>
        <w:t xml:space="preserve">: </w:t>
      </w:r>
      <w:r w:rsidR="0089549E" w:rsidRPr="00A61297">
        <w:rPr>
          <w:rFonts w:ascii="Book Antiqua" w:hAnsi="Book Antiqua"/>
          <w:sz w:val="19"/>
          <w:szCs w:val="19"/>
        </w:rPr>
        <w:t>Para fins de concessão do benefício assistencial de prestação continuada, o conceito de pessoa com deficiência, que não se confunde necessariamente com situação de incapacidade laborativa, exige a configuração de impedimento de longo prazo com duração mínima de 2 (dois) anos, a ser aferido no caso concreto, desde o início do impedimento até a data prevista para a sua cessação.</w:t>
      </w:r>
      <w:r w:rsidR="0089549E">
        <w:rPr>
          <w:rFonts w:ascii="Book Antiqua" w:hAnsi="Book Antiqua"/>
          <w:sz w:val="19"/>
          <w:szCs w:val="19"/>
        </w:rPr>
        <w:t xml:space="preserve"> (</w:t>
      </w:r>
      <w:r w:rsidRPr="00A61297">
        <w:rPr>
          <w:rFonts w:ascii="Book Antiqua" w:hAnsi="Book Antiqua"/>
          <w:sz w:val="19"/>
          <w:szCs w:val="19"/>
        </w:rPr>
        <w:t>ALTERADA NA SESSÃO DE 25.4.2019</w:t>
      </w:r>
      <w:r w:rsidR="0089549E">
        <w:rPr>
          <w:rFonts w:ascii="Book Antiqua" w:hAnsi="Book Antiqua"/>
          <w:sz w:val="19"/>
          <w:szCs w:val="19"/>
        </w:rPr>
        <w:t>)</w:t>
      </w:r>
    </w:p>
    <w:p w14:paraId="29339657"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6E950A42" w14:textId="18B6D2D8"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75218F">
        <w:rPr>
          <w:rFonts w:ascii="Book Antiqua" w:hAnsi="Book Antiqua"/>
          <w:b/>
          <w:bCs/>
          <w:sz w:val="19"/>
          <w:szCs w:val="19"/>
          <w:highlight w:val="magenta"/>
        </w:rPr>
        <w:t>SÚMULA 47</w:t>
      </w:r>
      <w:r w:rsidR="0089549E">
        <w:rPr>
          <w:rFonts w:ascii="Book Antiqua" w:hAnsi="Book Antiqua"/>
          <w:sz w:val="19"/>
          <w:szCs w:val="19"/>
        </w:rPr>
        <w:t xml:space="preserve">: </w:t>
      </w:r>
      <w:r w:rsidRPr="005F6C3B">
        <w:rPr>
          <w:rFonts w:ascii="Book Antiqua" w:hAnsi="Book Antiqua"/>
          <w:b/>
          <w:bCs/>
          <w:sz w:val="19"/>
          <w:szCs w:val="19"/>
        </w:rPr>
        <w:t>Uma vez reconhecida a incapacidade parcial para o trabalho, o juiz deve analisar as condições pessoais e sociais do segurado para a concessão de aposentadoria por invalidez</w:t>
      </w:r>
      <w:r w:rsidRPr="00AE3FE4">
        <w:rPr>
          <w:rFonts w:ascii="Book Antiqua" w:hAnsi="Book Antiqua"/>
          <w:b/>
          <w:bCs/>
          <w:sz w:val="16"/>
          <w:szCs w:val="16"/>
        </w:rPr>
        <w:t>.</w:t>
      </w:r>
      <w:r w:rsidR="0075218F" w:rsidRPr="00AE3FE4">
        <w:rPr>
          <w:rFonts w:ascii="Book Antiqua" w:hAnsi="Book Antiqua"/>
          <w:b/>
          <w:bCs/>
          <w:sz w:val="16"/>
          <w:szCs w:val="16"/>
        </w:rPr>
        <w:t xml:space="preserve"> </w:t>
      </w:r>
      <w:r w:rsidR="0075218F" w:rsidRPr="00AE3FE4">
        <w:rPr>
          <w:rFonts w:ascii="Book Antiqua" w:hAnsi="Book Antiqua"/>
          <w:b/>
          <w:bCs/>
          <w:color w:val="FF0000"/>
          <w:sz w:val="16"/>
          <w:szCs w:val="16"/>
          <w:u w:val="single"/>
        </w:rPr>
        <w:t>(TRF2-2017)</w:t>
      </w:r>
      <w:r w:rsidR="00AE3FE4">
        <w:rPr>
          <w:rFonts w:ascii="Book Antiqua" w:hAnsi="Book Antiqua"/>
          <w:b/>
          <w:bCs/>
          <w:color w:val="FF0000"/>
          <w:sz w:val="16"/>
          <w:szCs w:val="16"/>
        </w:rPr>
        <w:t xml:space="preserve"> </w:t>
      </w:r>
      <w:r w:rsidR="00AE3FE4" w:rsidRPr="00AE3FE4">
        <w:rPr>
          <w:rFonts w:ascii="Book Antiqua" w:hAnsi="Book Antiqua"/>
          <w:b/>
          <w:bCs/>
          <w:color w:val="FF0000"/>
          <w:sz w:val="16"/>
          <w:szCs w:val="16"/>
          <w:u w:val="single"/>
        </w:rPr>
        <w:t>(</w:t>
      </w:r>
      <w:r w:rsidR="00AE3FE4">
        <w:rPr>
          <w:rFonts w:ascii="Book Antiqua" w:hAnsi="Book Antiqua"/>
          <w:b/>
          <w:bCs/>
          <w:color w:val="FF0000"/>
          <w:sz w:val="16"/>
          <w:szCs w:val="16"/>
          <w:u w:val="single"/>
        </w:rPr>
        <w:t>PGEGO</w:t>
      </w:r>
      <w:r w:rsidR="00AE3FE4" w:rsidRPr="00AE3FE4">
        <w:rPr>
          <w:rFonts w:ascii="Book Antiqua" w:hAnsi="Book Antiqua"/>
          <w:b/>
          <w:bCs/>
          <w:color w:val="FF0000"/>
          <w:sz w:val="16"/>
          <w:szCs w:val="16"/>
          <w:u w:val="single"/>
        </w:rPr>
        <w:t>-20</w:t>
      </w:r>
      <w:r w:rsidR="00AE3FE4">
        <w:rPr>
          <w:rFonts w:ascii="Book Antiqua" w:hAnsi="Book Antiqua"/>
          <w:b/>
          <w:bCs/>
          <w:color w:val="FF0000"/>
          <w:sz w:val="16"/>
          <w:szCs w:val="16"/>
          <w:u w:val="single"/>
        </w:rPr>
        <w:t>21</w:t>
      </w:r>
      <w:r w:rsidR="00AE3FE4" w:rsidRPr="00AE3FE4">
        <w:rPr>
          <w:rFonts w:ascii="Book Antiqua" w:hAnsi="Book Antiqua"/>
          <w:b/>
          <w:bCs/>
          <w:color w:val="FF0000"/>
          <w:sz w:val="16"/>
          <w:szCs w:val="16"/>
          <w:u w:val="single"/>
        </w:rPr>
        <w:t>)</w:t>
      </w:r>
    </w:p>
    <w:p w14:paraId="6C0EDA6F" w14:textId="77777777" w:rsidR="0089549E" w:rsidRPr="005F6C3B" w:rsidRDefault="0089549E" w:rsidP="00A61297">
      <w:pPr>
        <w:spacing w:before="100" w:beforeAutospacing="1" w:after="100" w:afterAutospacing="1" w:line="240" w:lineRule="auto"/>
        <w:jc w:val="both"/>
        <w:rPr>
          <w:rFonts w:ascii="Book Antiqua" w:hAnsi="Book Antiqua"/>
          <w:b/>
          <w:bCs/>
          <w:sz w:val="19"/>
          <w:szCs w:val="19"/>
        </w:rPr>
      </w:pPr>
    </w:p>
    <w:p w14:paraId="0FCB0A06" w14:textId="68FAA4EE" w:rsidR="00A61297" w:rsidRPr="00AE3FE4" w:rsidRDefault="00A61297" w:rsidP="00A61297">
      <w:pPr>
        <w:spacing w:before="100" w:beforeAutospacing="1" w:after="100" w:afterAutospacing="1" w:line="240" w:lineRule="auto"/>
        <w:jc w:val="both"/>
        <w:rPr>
          <w:rFonts w:ascii="Book Antiqua" w:hAnsi="Book Antiqua"/>
          <w:sz w:val="16"/>
          <w:szCs w:val="16"/>
        </w:rPr>
      </w:pPr>
      <w:r w:rsidRPr="005F6C3B">
        <w:rPr>
          <w:rFonts w:ascii="Book Antiqua" w:hAnsi="Book Antiqua"/>
          <w:b/>
          <w:bCs/>
          <w:sz w:val="19"/>
          <w:szCs w:val="19"/>
          <w:highlight w:val="magenta"/>
        </w:rPr>
        <w:t>SÚMULA 46</w:t>
      </w:r>
      <w:r w:rsidR="0089549E" w:rsidRPr="005F6C3B">
        <w:rPr>
          <w:rFonts w:ascii="Book Antiqua" w:hAnsi="Book Antiqua"/>
          <w:b/>
          <w:bCs/>
          <w:sz w:val="19"/>
          <w:szCs w:val="19"/>
        </w:rPr>
        <w:t xml:space="preserve">: </w:t>
      </w:r>
      <w:r w:rsidRPr="005F6C3B">
        <w:rPr>
          <w:rFonts w:ascii="Book Antiqua" w:hAnsi="Book Antiqua"/>
          <w:b/>
          <w:bCs/>
          <w:sz w:val="19"/>
          <w:szCs w:val="19"/>
        </w:rPr>
        <w:t>O exercício de atividade urbana intercalada não impede a concessão de benefício previdenciário de trabalhador rural, condição que deve ser analisada no caso concreto</w:t>
      </w:r>
      <w:r w:rsidRPr="00AE3FE4">
        <w:rPr>
          <w:rFonts w:ascii="Book Antiqua" w:hAnsi="Book Antiqua"/>
          <w:sz w:val="16"/>
          <w:szCs w:val="16"/>
        </w:rPr>
        <w:t>.</w:t>
      </w:r>
      <w:r w:rsidR="00611722" w:rsidRPr="00AE3FE4">
        <w:rPr>
          <w:rFonts w:ascii="Book Antiqua" w:hAnsi="Book Antiqua"/>
          <w:sz w:val="16"/>
          <w:szCs w:val="16"/>
        </w:rPr>
        <w:t xml:space="preserve"> </w:t>
      </w:r>
      <w:r w:rsidR="00611722" w:rsidRPr="00AE3FE4">
        <w:rPr>
          <w:rFonts w:ascii="Book Antiqua" w:eastAsia="Times New Roman" w:hAnsi="Book Antiqua" w:cs="Arial"/>
          <w:b/>
          <w:bCs/>
          <w:color w:val="FF0000"/>
          <w:sz w:val="16"/>
          <w:szCs w:val="16"/>
          <w:u w:val="single"/>
          <w:lang w:eastAsia="pt-BR"/>
        </w:rPr>
        <w:t>(TRF2-2014)</w:t>
      </w:r>
    </w:p>
    <w:p w14:paraId="59722F54"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2F93024F" w14:textId="55B4B464"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45</w:t>
      </w:r>
      <w:r w:rsidR="0089549E">
        <w:rPr>
          <w:rFonts w:ascii="Book Antiqua" w:hAnsi="Book Antiqua"/>
          <w:sz w:val="19"/>
          <w:szCs w:val="19"/>
        </w:rPr>
        <w:t xml:space="preserve">: </w:t>
      </w:r>
      <w:r w:rsidRPr="00A61297">
        <w:rPr>
          <w:rFonts w:ascii="Book Antiqua" w:hAnsi="Book Antiqua"/>
          <w:sz w:val="19"/>
          <w:szCs w:val="19"/>
        </w:rPr>
        <w:t>Incide correção monetária sobre o salário-maternidade desde a época do parto, independentemente da data do requerimento administrativo.</w:t>
      </w:r>
    </w:p>
    <w:p w14:paraId="17712182"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19D93559" w14:textId="677D72DD"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6178A9">
        <w:rPr>
          <w:rFonts w:ascii="Book Antiqua" w:hAnsi="Book Antiqua"/>
          <w:b/>
          <w:bCs/>
          <w:sz w:val="19"/>
          <w:szCs w:val="19"/>
          <w:highlight w:val="magenta"/>
        </w:rPr>
        <w:lastRenderedPageBreak/>
        <w:t>SÚMULA 44</w:t>
      </w:r>
      <w:r w:rsidR="0089549E" w:rsidRPr="005F6C3B">
        <w:rPr>
          <w:rFonts w:ascii="Book Antiqua" w:hAnsi="Book Antiqua"/>
          <w:b/>
          <w:bCs/>
          <w:sz w:val="19"/>
          <w:szCs w:val="19"/>
        </w:rPr>
        <w:t xml:space="preserve">: </w:t>
      </w:r>
      <w:r w:rsidRPr="005F6C3B">
        <w:rPr>
          <w:rFonts w:ascii="Book Antiqua" w:hAnsi="Book Antiqua"/>
          <w:b/>
          <w:bCs/>
          <w:sz w:val="19"/>
          <w:szCs w:val="19"/>
        </w:rPr>
        <w:t>Para efeito de aposentadoria urbana por idade, a tabela progressiva de carência prevista no art. 142 da Lei nº 8.213/91 deve ser aplicada em função do ano em que o segurado completa a idade mínima para concessão do benefício, ainda que o período de carência só seja preenchido posteriormente</w:t>
      </w:r>
      <w:r w:rsidRPr="00AE3FE4">
        <w:rPr>
          <w:rFonts w:ascii="Book Antiqua" w:hAnsi="Book Antiqua"/>
          <w:b/>
          <w:bCs/>
          <w:sz w:val="16"/>
          <w:szCs w:val="16"/>
        </w:rPr>
        <w:t>.</w:t>
      </w:r>
      <w:r w:rsidR="006178A9" w:rsidRPr="00AE3FE4">
        <w:rPr>
          <w:rFonts w:ascii="Book Antiqua" w:hAnsi="Book Antiqua"/>
          <w:b/>
          <w:bCs/>
          <w:sz w:val="16"/>
          <w:szCs w:val="16"/>
        </w:rPr>
        <w:t xml:space="preserve"> </w:t>
      </w:r>
      <w:r w:rsidR="006178A9" w:rsidRPr="00AE3FE4">
        <w:rPr>
          <w:rFonts w:ascii="Book Antiqua" w:eastAsia="Times New Roman" w:hAnsi="Book Antiqua" w:cs="Arial"/>
          <w:b/>
          <w:bCs/>
          <w:color w:val="FF0000"/>
          <w:sz w:val="16"/>
          <w:szCs w:val="16"/>
          <w:u w:val="single"/>
          <w:lang w:eastAsia="pt-BR"/>
        </w:rPr>
        <w:t>(DPU-2015)</w:t>
      </w:r>
    </w:p>
    <w:p w14:paraId="52AA7E13"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418E6A8C" w14:textId="71C151E7"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43</w:t>
      </w:r>
      <w:r w:rsidR="0089549E">
        <w:rPr>
          <w:rFonts w:ascii="Book Antiqua" w:hAnsi="Book Antiqua"/>
          <w:sz w:val="19"/>
          <w:szCs w:val="19"/>
        </w:rPr>
        <w:t xml:space="preserve">: </w:t>
      </w:r>
      <w:r w:rsidRPr="00A61297">
        <w:rPr>
          <w:rFonts w:ascii="Book Antiqua" w:hAnsi="Book Antiqua"/>
          <w:sz w:val="19"/>
          <w:szCs w:val="19"/>
        </w:rPr>
        <w:t>Não cabe incidente de uniformização que verse sobre matéria processual.</w:t>
      </w:r>
      <w:r w:rsidR="00455ADF">
        <w:rPr>
          <w:rFonts w:ascii="Book Antiqua" w:hAnsi="Book Antiqua"/>
          <w:sz w:val="19"/>
          <w:szCs w:val="19"/>
        </w:rPr>
        <w:t xml:space="preserve"> </w:t>
      </w:r>
    </w:p>
    <w:p w14:paraId="6100961B"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1EA705E9" w14:textId="6BC9DBE7" w:rsidR="00A61297" w:rsidRPr="00AE3FE4" w:rsidRDefault="00A61297" w:rsidP="00A61297">
      <w:pPr>
        <w:spacing w:before="100" w:beforeAutospacing="1" w:after="100" w:afterAutospacing="1" w:line="240" w:lineRule="auto"/>
        <w:jc w:val="both"/>
        <w:rPr>
          <w:rFonts w:ascii="Book Antiqua" w:hAnsi="Book Antiqua"/>
          <w:sz w:val="16"/>
          <w:szCs w:val="16"/>
        </w:rPr>
      </w:pPr>
      <w:r w:rsidRPr="00455ADF">
        <w:rPr>
          <w:rFonts w:ascii="Book Antiqua" w:hAnsi="Book Antiqua"/>
          <w:b/>
          <w:bCs/>
          <w:sz w:val="19"/>
          <w:szCs w:val="19"/>
          <w:highlight w:val="magenta"/>
        </w:rPr>
        <w:t>SÚMULA 42</w:t>
      </w:r>
      <w:r w:rsidR="0089549E">
        <w:rPr>
          <w:rFonts w:ascii="Book Antiqua" w:hAnsi="Book Antiqua"/>
          <w:sz w:val="19"/>
          <w:szCs w:val="19"/>
        </w:rPr>
        <w:t xml:space="preserve">: </w:t>
      </w:r>
      <w:r w:rsidRPr="00A61297">
        <w:rPr>
          <w:rFonts w:ascii="Book Antiqua" w:hAnsi="Book Antiqua"/>
          <w:sz w:val="19"/>
          <w:szCs w:val="19"/>
        </w:rPr>
        <w:t>Não se conhece de incidente de uniformização que implique reexame de matéria de fato</w:t>
      </w:r>
      <w:r w:rsidRPr="00AE3FE4">
        <w:rPr>
          <w:rFonts w:ascii="Book Antiqua" w:hAnsi="Book Antiqua"/>
          <w:sz w:val="16"/>
          <w:szCs w:val="16"/>
        </w:rPr>
        <w:t>.</w:t>
      </w:r>
      <w:r w:rsidR="00455ADF" w:rsidRPr="00AE3FE4">
        <w:rPr>
          <w:rFonts w:ascii="Book Antiqua" w:hAnsi="Book Antiqua"/>
          <w:sz w:val="16"/>
          <w:szCs w:val="16"/>
        </w:rPr>
        <w:t xml:space="preserve"> </w:t>
      </w:r>
      <w:r w:rsidR="00455ADF" w:rsidRPr="00AE3FE4">
        <w:rPr>
          <w:rFonts w:ascii="Book Antiqua" w:eastAsia="Times New Roman" w:hAnsi="Book Antiqua" w:cs="Arial"/>
          <w:b/>
          <w:bCs/>
          <w:color w:val="FF0000"/>
          <w:sz w:val="16"/>
          <w:szCs w:val="16"/>
          <w:u w:val="single"/>
          <w:lang w:eastAsia="pt-BR"/>
        </w:rPr>
        <w:t>(TRF2-2014)</w:t>
      </w:r>
    </w:p>
    <w:p w14:paraId="674AC644"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73193AC7" w14:textId="78B8B5FA" w:rsidR="00A61297" w:rsidRPr="00AE3FE4" w:rsidRDefault="00A61297" w:rsidP="00A61297">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B42829">
        <w:rPr>
          <w:rFonts w:ascii="Book Antiqua" w:hAnsi="Book Antiqua"/>
          <w:b/>
          <w:bCs/>
          <w:sz w:val="19"/>
          <w:szCs w:val="19"/>
          <w:highlight w:val="magenta"/>
        </w:rPr>
        <w:t>SÚMULA 41</w:t>
      </w:r>
      <w:r w:rsidR="0089549E">
        <w:rPr>
          <w:rFonts w:ascii="Book Antiqua" w:hAnsi="Book Antiqua"/>
          <w:sz w:val="19"/>
          <w:szCs w:val="19"/>
        </w:rPr>
        <w:t xml:space="preserve">: </w:t>
      </w:r>
      <w:r w:rsidRPr="005F6C3B">
        <w:rPr>
          <w:rFonts w:ascii="Book Antiqua" w:hAnsi="Book Antiqua"/>
          <w:b/>
          <w:bCs/>
          <w:sz w:val="19"/>
          <w:szCs w:val="19"/>
        </w:rPr>
        <w:t>A circunstância de um dos integrantes do núcleo familiar desempenhar atividade urbana não implica, por si só, a descaracterização do trabalhador rural como segurado especial, condição que deve ser analisada no caso concreto</w:t>
      </w:r>
      <w:r w:rsidRPr="00AE3FE4">
        <w:rPr>
          <w:rFonts w:ascii="Book Antiqua" w:hAnsi="Book Antiqua"/>
          <w:sz w:val="16"/>
          <w:szCs w:val="16"/>
        </w:rPr>
        <w:t>.</w:t>
      </w:r>
      <w:r w:rsidR="00B42829" w:rsidRPr="00AE3FE4">
        <w:rPr>
          <w:rFonts w:ascii="Book Antiqua" w:hAnsi="Book Antiqua"/>
          <w:sz w:val="16"/>
          <w:szCs w:val="16"/>
        </w:rPr>
        <w:t xml:space="preserve"> </w:t>
      </w:r>
      <w:r w:rsidR="00611722" w:rsidRPr="00AE3FE4">
        <w:rPr>
          <w:rFonts w:ascii="Book Antiqua" w:eastAsia="Times New Roman" w:hAnsi="Book Antiqua" w:cs="Arial"/>
          <w:b/>
          <w:bCs/>
          <w:color w:val="FF0000"/>
          <w:sz w:val="16"/>
          <w:szCs w:val="16"/>
          <w:u w:val="single"/>
          <w:lang w:eastAsia="pt-BR"/>
        </w:rPr>
        <w:t>(TRF2-2014)</w:t>
      </w:r>
      <w:r w:rsidR="00472A83" w:rsidRPr="00AE3FE4">
        <w:rPr>
          <w:rFonts w:ascii="Book Antiqua" w:eastAsia="Times New Roman" w:hAnsi="Book Antiqua" w:cs="Arial"/>
          <w:b/>
          <w:bCs/>
          <w:color w:val="FF0000"/>
          <w:sz w:val="16"/>
          <w:szCs w:val="16"/>
          <w:lang w:eastAsia="pt-BR"/>
        </w:rPr>
        <w:t xml:space="preserve"> </w:t>
      </w:r>
      <w:r w:rsidR="00472A83" w:rsidRPr="00AE3FE4">
        <w:rPr>
          <w:rFonts w:ascii="Book Antiqua" w:eastAsia="Times New Roman" w:hAnsi="Book Antiqua" w:cs="Arial"/>
          <w:b/>
          <w:bCs/>
          <w:color w:val="FF0000"/>
          <w:sz w:val="16"/>
          <w:szCs w:val="16"/>
          <w:u w:val="single"/>
          <w:lang w:eastAsia="pt-BR"/>
        </w:rPr>
        <w:t>(TRF1-2013/2015)</w:t>
      </w:r>
      <w:r w:rsidR="00C03D34" w:rsidRPr="00AE3FE4">
        <w:rPr>
          <w:rFonts w:ascii="Book Antiqua" w:eastAsia="Times New Roman" w:hAnsi="Book Antiqua" w:cs="Arial"/>
          <w:b/>
          <w:bCs/>
          <w:color w:val="FF0000"/>
          <w:sz w:val="16"/>
          <w:szCs w:val="16"/>
          <w:lang w:eastAsia="pt-BR"/>
        </w:rPr>
        <w:t xml:space="preserve"> </w:t>
      </w:r>
      <w:r w:rsidR="00C03D34" w:rsidRPr="00AE3FE4">
        <w:rPr>
          <w:rFonts w:ascii="Book Antiqua" w:eastAsia="Times New Roman" w:hAnsi="Book Antiqua" w:cs="Arial"/>
          <w:b/>
          <w:bCs/>
          <w:color w:val="FF0000"/>
          <w:sz w:val="16"/>
          <w:szCs w:val="16"/>
          <w:u w:val="single"/>
          <w:lang w:eastAsia="pt-BR"/>
        </w:rPr>
        <w:t>(D</w:t>
      </w:r>
      <w:r w:rsidR="005F6C3B" w:rsidRPr="00AE3FE4">
        <w:rPr>
          <w:rFonts w:ascii="Book Antiqua" w:eastAsia="Times New Roman" w:hAnsi="Book Antiqua" w:cs="Arial"/>
          <w:b/>
          <w:bCs/>
          <w:color w:val="FF0000"/>
          <w:sz w:val="16"/>
          <w:szCs w:val="16"/>
          <w:u w:val="single"/>
          <w:lang w:eastAsia="pt-BR"/>
        </w:rPr>
        <w:t>P</w:t>
      </w:r>
      <w:r w:rsidR="00C03D34" w:rsidRPr="00AE3FE4">
        <w:rPr>
          <w:rFonts w:ascii="Book Antiqua" w:eastAsia="Times New Roman" w:hAnsi="Book Antiqua" w:cs="Arial"/>
          <w:b/>
          <w:bCs/>
          <w:color w:val="FF0000"/>
          <w:sz w:val="16"/>
          <w:szCs w:val="16"/>
          <w:u w:val="single"/>
          <w:lang w:eastAsia="pt-BR"/>
        </w:rPr>
        <w:t>U-2015)</w:t>
      </w:r>
    </w:p>
    <w:tbl>
      <w:tblPr>
        <w:tblStyle w:val="Tabelacomgrade"/>
        <w:tblW w:w="0" w:type="auto"/>
        <w:tblLook w:val="04A0" w:firstRow="1" w:lastRow="0" w:firstColumn="1" w:lastColumn="0" w:noHBand="0" w:noVBand="1"/>
      </w:tblPr>
      <w:tblGrid>
        <w:gridCol w:w="8494"/>
      </w:tblGrid>
      <w:tr w:rsidR="00251A7E" w14:paraId="51D7EAC6" w14:textId="77777777" w:rsidTr="00251A7E">
        <w:tc>
          <w:tcPr>
            <w:tcW w:w="8494" w:type="dxa"/>
            <w:shd w:val="clear" w:color="auto" w:fill="CCFFFF"/>
          </w:tcPr>
          <w:p w14:paraId="470CD1C2" w14:textId="749493D6" w:rsidR="00251A7E" w:rsidRPr="00251A7E" w:rsidRDefault="00251A7E" w:rsidP="00251A7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251A7E">
              <w:rPr>
                <w:rFonts w:ascii="Book Antiqua" w:hAnsi="Book Antiqua"/>
                <w:b/>
                <w:bCs/>
                <w:sz w:val="19"/>
                <w:szCs w:val="19"/>
                <w:highlight w:val="yellow"/>
              </w:rPr>
              <w:t>DPU-2015-CESPE</w:t>
            </w:r>
            <w:r>
              <w:rPr>
                <w:rFonts w:ascii="Book Antiqua" w:hAnsi="Book Antiqua"/>
                <w:b/>
                <w:bCs/>
                <w:sz w:val="19"/>
                <w:szCs w:val="19"/>
              </w:rPr>
              <w:t>)</w:t>
            </w:r>
            <w:r>
              <w:rPr>
                <w:rFonts w:ascii="Book Antiqua" w:hAnsi="Book Antiqua"/>
                <w:sz w:val="19"/>
                <w:szCs w:val="19"/>
              </w:rPr>
              <w:t xml:space="preserve">: </w:t>
            </w:r>
            <w:r w:rsidRPr="00251A7E">
              <w:rPr>
                <w:rFonts w:ascii="Book Antiqua" w:hAnsi="Book Antiqua"/>
                <w:sz w:val="19"/>
                <w:szCs w:val="19"/>
              </w:rPr>
              <w:t>Em relação aos segurados do RGPS e seus dependentes, julgue o item subsecutivo</w:t>
            </w:r>
            <w:r>
              <w:rPr>
                <w:rFonts w:ascii="Book Antiqua" w:hAnsi="Book Antiqua"/>
                <w:sz w:val="19"/>
                <w:szCs w:val="19"/>
              </w:rPr>
              <w:t xml:space="preserve">: </w:t>
            </w:r>
            <w:r w:rsidRPr="00251A7E">
              <w:rPr>
                <w:rFonts w:ascii="Book Antiqua" w:hAnsi="Book Antiqua"/>
                <w:sz w:val="19"/>
                <w:szCs w:val="19"/>
              </w:rPr>
              <w:t>O fato de um dos integrantes do seu núcleo familiar desempenhar atividade urbana não implica, por si só, a descaracterização do trabalhador rural como segurado especial, devendo-se proceder à análise do caso concreto.</w:t>
            </w:r>
            <w:r>
              <w:rPr>
                <w:rFonts w:ascii="Book Antiqua" w:hAnsi="Book Antiqua"/>
                <w:sz w:val="19"/>
                <w:szCs w:val="19"/>
              </w:rPr>
              <w:t xml:space="preserve"> </w:t>
            </w:r>
            <w:r>
              <w:rPr>
                <w:rFonts w:ascii="Book Antiqua" w:hAnsi="Book Antiqua"/>
                <w:b/>
                <w:bCs/>
                <w:sz w:val="19"/>
                <w:szCs w:val="19"/>
              </w:rPr>
              <w:t>BL: 41, TNU.</w:t>
            </w:r>
          </w:p>
        </w:tc>
      </w:tr>
    </w:tbl>
    <w:p w14:paraId="41597C67"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0C002363" w14:textId="3CB18C99"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40</w:t>
      </w:r>
      <w:r w:rsidR="0089549E">
        <w:rPr>
          <w:rFonts w:ascii="Book Antiqua" w:hAnsi="Book Antiqua"/>
          <w:sz w:val="19"/>
          <w:szCs w:val="19"/>
        </w:rPr>
        <w:t xml:space="preserve">: </w:t>
      </w:r>
      <w:r w:rsidRPr="00A61297">
        <w:rPr>
          <w:rFonts w:ascii="Book Antiqua" w:hAnsi="Book Antiqua"/>
          <w:sz w:val="19"/>
          <w:szCs w:val="19"/>
        </w:rPr>
        <w:t>Nenhuma diferença é devida a título de correção monetária dos depósitos do FGTS relativos ao mês de fevereiro de 1989.</w:t>
      </w:r>
    </w:p>
    <w:p w14:paraId="026BB0EA"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7B751300" w14:textId="0DA04837"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39</w:t>
      </w:r>
      <w:r w:rsidR="0089549E">
        <w:rPr>
          <w:rFonts w:ascii="Book Antiqua" w:hAnsi="Book Antiqua"/>
          <w:sz w:val="19"/>
          <w:szCs w:val="19"/>
        </w:rPr>
        <w:t xml:space="preserve">: </w:t>
      </w:r>
      <w:r w:rsidRPr="00A61297">
        <w:rPr>
          <w:rFonts w:ascii="Book Antiqua" w:hAnsi="Book Antiqua"/>
          <w:sz w:val="19"/>
          <w:szCs w:val="19"/>
        </w:rPr>
        <w:t>Nas ações contra a Fazenda Pública, que versem sobre pagamento de diferenças decorrentes de reajuste nos vencimentos de servidores públicos, ajuizadas após 24/08/2001, os juros de mora devem ser fixados em 6% (seis por cento) ao ano (art. 1º-F da Lei 9.494/97).</w:t>
      </w:r>
    </w:p>
    <w:p w14:paraId="4CC59795"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4BEE809F" w14:textId="1E1F7B3C"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38</w:t>
      </w:r>
      <w:r w:rsidR="0089549E">
        <w:rPr>
          <w:rFonts w:ascii="Book Antiqua" w:hAnsi="Book Antiqua"/>
          <w:sz w:val="19"/>
          <w:szCs w:val="19"/>
        </w:rPr>
        <w:t xml:space="preserve">: </w:t>
      </w:r>
      <w:r w:rsidRPr="00A61297">
        <w:rPr>
          <w:rFonts w:ascii="Book Antiqua" w:hAnsi="Book Antiqua"/>
          <w:sz w:val="19"/>
          <w:szCs w:val="19"/>
        </w:rPr>
        <w:t>Aplica-se subsidiariamente a Tabela de Cálculos de Santa Catarina aos pedidos de revisão de RMI - OTN/ORTN, na atualização dos salários de contribuição.</w:t>
      </w:r>
    </w:p>
    <w:p w14:paraId="4A655E2C"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76164242" w14:textId="7A6AF38E"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F5489A">
        <w:rPr>
          <w:rFonts w:ascii="Book Antiqua" w:hAnsi="Book Antiqua"/>
          <w:b/>
          <w:bCs/>
          <w:sz w:val="19"/>
          <w:szCs w:val="19"/>
          <w:highlight w:val="magenta"/>
        </w:rPr>
        <w:t>SÚMULA 37</w:t>
      </w:r>
      <w:r w:rsidR="0089549E">
        <w:rPr>
          <w:rFonts w:ascii="Book Antiqua" w:hAnsi="Book Antiqua"/>
          <w:sz w:val="19"/>
          <w:szCs w:val="19"/>
        </w:rPr>
        <w:t xml:space="preserve">: </w:t>
      </w:r>
      <w:r w:rsidRPr="005F6C3B">
        <w:rPr>
          <w:rFonts w:ascii="Book Antiqua" w:hAnsi="Book Antiqua"/>
          <w:b/>
          <w:bCs/>
          <w:sz w:val="19"/>
          <w:szCs w:val="19"/>
        </w:rPr>
        <w:t>A pensão por morte, devida ao filho até os 21 anos de idade, não se prorroga pela pendência do curso universitário</w:t>
      </w:r>
      <w:r w:rsidRPr="00AE3FE4">
        <w:rPr>
          <w:rFonts w:ascii="Book Antiqua" w:hAnsi="Book Antiqua"/>
          <w:b/>
          <w:bCs/>
          <w:sz w:val="16"/>
          <w:szCs w:val="16"/>
        </w:rPr>
        <w:t>.</w:t>
      </w:r>
      <w:r w:rsidR="00F5489A" w:rsidRPr="00AE3FE4">
        <w:rPr>
          <w:rFonts w:ascii="Book Antiqua" w:hAnsi="Book Antiqua"/>
          <w:b/>
          <w:bCs/>
          <w:sz w:val="16"/>
          <w:szCs w:val="16"/>
        </w:rPr>
        <w:t xml:space="preserve"> </w:t>
      </w:r>
      <w:r w:rsidR="00F5489A" w:rsidRPr="00AE3FE4">
        <w:rPr>
          <w:rFonts w:ascii="Book Antiqua" w:eastAsia="Times New Roman" w:hAnsi="Book Antiqua" w:cs="Arial"/>
          <w:b/>
          <w:bCs/>
          <w:color w:val="FF0000"/>
          <w:sz w:val="16"/>
          <w:szCs w:val="16"/>
          <w:u w:val="single"/>
          <w:lang w:eastAsia="pt-BR"/>
        </w:rPr>
        <w:t>(DPEDF-2013)</w:t>
      </w:r>
      <w:r w:rsidR="00017EBF" w:rsidRPr="00AE3FE4">
        <w:rPr>
          <w:rFonts w:ascii="Book Antiqua" w:eastAsia="Times New Roman" w:hAnsi="Book Antiqua" w:cs="Arial"/>
          <w:b/>
          <w:bCs/>
          <w:color w:val="FF0000"/>
          <w:sz w:val="16"/>
          <w:szCs w:val="16"/>
          <w:lang w:eastAsia="pt-BR"/>
        </w:rPr>
        <w:t xml:space="preserve"> </w:t>
      </w:r>
      <w:r w:rsidR="00017EBF" w:rsidRPr="00AE3FE4">
        <w:rPr>
          <w:rFonts w:ascii="Book Antiqua" w:eastAsia="Times New Roman" w:hAnsi="Book Antiqua" w:cs="Arial"/>
          <w:b/>
          <w:bCs/>
          <w:color w:val="FF0000"/>
          <w:sz w:val="16"/>
          <w:szCs w:val="16"/>
          <w:u w:val="single"/>
          <w:lang w:eastAsia="pt-BR"/>
        </w:rPr>
        <w:t>(TRF2-2017)</w:t>
      </w:r>
      <w:r w:rsidR="00F622C8" w:rsidRPr="00AE3FE4">
        <w:rPr>
          <w:rFonts w:ascii="Book Antiqua" w:eastAsia="Times New Roman" w:hAnsi="Book Antiqua" w:cs="Arial"/>
          <w:b/>
          <w:bCs/>
          <w:color w:val="FF0000"/>
          <w:sz w:val="16"/>
          <w:szCs w:val="16"/>
          <w:lang w:eastAsia="pt-BR"/>
        </w:rPr>
        <w:t xml:space="preserve"> </w:t>
      </w:r>
      <w:r w:rsidR="00F622C8" w:rsidRPr="00AE3FE4">
        <w:rPr>
          <w:rFonts w:ascii="Book Antiqua" w:eastAsia="Times New Roman" w:hAnsi="Book Antiqua" w:cs="Times New Roman"/>
          <w:b/>
          <w:bCs/>
          <w:color w:val="FF0000"/>
          <w:sz w:val="16"/>
          <w:szCs w:val="16"/>
          <w:u w:val="single"/>
          <w:lang w:eastAsia="pt-BR"/>
        </w:rPr>
        <w:t>(TRF3-2018)</w:t>
      </w:r>
    </w:p>
    <w:p w14:paraId="711634AB" w14:textId="77777777" w:rsidR="0089549E" w:rsidRPr="005F6C3B" w:rsidRDefault="0089549E" w:rsidP="00A61297">
      <w:pPr>
        <w:spacing w:before="100" w:beforeAutospacing="1" w:after="100" w:afterAutospacing="1" w:line="240" w:lineRule="auto"/>
        <w:jc w:val="both"/>
        <w:rPr>
          <w:rFonts w:ascii="Book Antiqua" w:hAnsi="Book Antiqua"/>
          <w:b/>
          <w:bCs/>
          <w:sz w:val="19"/>
          <w:szCs w:val="19"/>
        </w:rPr>
      </w:pPr>
    </w:p>
    <w:p w14:paraId="416BFFDB" w14:textId="46325607" w:rsidR="00A61297" w:rsidRPr="00306A7C" w:rsidRDefault="00A61297" w:rsidP="00A61297">
      <w:pPr>
        <w:spacing w:before="100" w:beforeAutospacing="1" w:after="100" w:afterAutospacing="1" w:line="240" w:lineRule="auto"/>
        <w:jc w:val="both"/>
        <w:rPr>
          <w:rFonts w:ascii="Book Antiqua" w:hAnsi="Book Antiqua"/>
          <w:b/>
          <w:bCs/>
          <w:sz w:val="16"/>
          <w:szCs w:val="16"/>
        </w:rPr>
      </w:pPr>
      <w:r w:rsidRPr="005F6C3B">
        <w:rPr>
          <w:rFonts w:ascii="Book Antiqua" w:hAnsi="Book Antiqua"/>
          <w:b/>
          <w:bCs/>
          <w:sz w:val="19"/>
          <w:szCs w:val="19"/>
          <w:highlight w:val="magenta"/>
        </w:rPr>
        <w:t>SÚMULA 36</w:t>
      </w:r>
      <w:r w:rsidR="0089549E" w:rsidRPr="005F6C3B">
        <w:rPr>
          <w:rFonts w:ascii="Book Antiqua" w:hAnsi="Book Antiqua"/>
          <w:b/>
          <w:bCs/>
          <w:sz w:val="19"/>
          <w:szCs w:val="19"/>
        </w:rPr>
        <w:t xml:space="preserve">: </w:t>
      </w:r>
      <w:r w:rsidRPr="005F6C3B">
        <w:rPr>
          <w:rFonts w:ascii="Book Antiqua" w:hAnsi="Book Antiqua"/>
          <w:b/>
          <w:bCs/>
          <w:sz w:val="19"/>
          <w:szCs w:val="19"/>
        </w:rPr>
        <w:t>Não há vedação legal à cumulação da pensão por morte de trabalhador rural com o benefício da aposentadoria por invalidez, por apresentarem pressupostos fáticos e fatos geradores distintos</w:t>
      </w:r>
      <w:r w:rsidRPr="00AE3FE4">
        <w:rPr>
          <w:rFonts w:ascii="Book Antiqua" w:hAnsi="Book Antiqua"/>
          <w:b/>
          <w:bCs/>
          <w:sz w:val="16"/>
          <w:szCs w:val="16"/>
        </w:rPr>
        <w:t>.</w:t>
      </w:r>
      <w:r w:rsidR="00CB7067" w:rsidRPr="00AE3FE4">
        <w:rPr>
          <w:rFonts w:ascii="Book Antiqua" w:hAnsi="Book Antiqua"/>
          <w:b/>
          <w:bCs/>
          <w:sz w:val="16"/>
          <w:szCs w:val="16"/>
        </w:rPr>
        <w:t xml:space="preserve"> </w:t>
      </w:r>
      <w:r w:rsidR="00CB7067" w:rsidRPr="00AE3FE4">
        <w:rPr>
          <w:rFonts w:ascii="Book Antiqua" w:hAnsi="Book Antiqua"/>
          <w:b/>
          <w:bCs/>
          <w:color w:val="FF0000"/>
          <w:sz w:val="16"/>
          <w:szCs w:val="16"/>
          <w:u w:val="single"/>
        </w:rPr>
        <w:t>(AGU-2010)</w:t>
      </w:r>
      <w:r w:rsidR="00111D2D" w:rsidRPr="00AE3FE4">
        <w:rPr>
          <w:rFonts w:ascii="Book Antiqua" w:hAnsi="Book Antiqua"/>
          <w:b/>
          <w:bCs/>
          <w:sz w:val="16"/>
          <w:szCs w:val="16"/>
        </w:rPr>
        <w:t xml:space="preserve"> </w:t>
      </w:r>
      <w:r w:rsidR="00111D2D" w:rsidRPr="00AE3FE4">
        <w:rPr>
          <w:rFonts w:ascii="Book Antiqua" w:eastAsia="Times New Roman" w:hAnsi="Book Antiqua" w:cs="Arial"/>
          <w:b/>
          <w:bCs/>
          <w:color w:val="FF0000"/>
          <w:sz w:val="16"/>
          <w:szCs w:val="16"/>
          <w:u w:val="single"/>
          <w:lang w:eastAsia="pt-BR"/>
        </w:rPr>
        <w:t>(TRF5-2011)</w:t>
      </w:r>
      <w:r w:rsidR="000666A3" w:rsidRPr="00AE3FE4">
        <w:rPr>
          <w:rFonts w:ascii="Book Antiqua" w:eastAsia="Times New Roman" w:hAnsi="Book Antiqua" w:cs="Arial"/>
          <w:b/>
          <w:bCs/>
          <w:color w:val="FF0000"/>
          <w:sz w:val="16"/>
          <w:szCs w:val="16"/>
          <w:lang w:eastAsia="pt-BR"/>
        </w:rPr>
        <w:t xml:space="preserve"> </w:t>
      </w:r>
      <w:r w:rsidR="000666A3" w:rsidRPr="00AE3FE4">
        <w:rPr>
          <w:rFonts w:ascii="Book Antiqua" w:eastAsia="Times New Roman" w:hAnsi="Book Antiqua" w:cs="Arial"/>
          <w:b/>
          <w:bCs/>
          <w:color w:val="FF0000"/>
          <w:sz w:val="16"/>
          <w:szCs w:val="16"/>
          <w:u w:val="single"/>
          <w:lang w:eastAsia="pt-BR"/>
        </w:rPr>
        <w:t>(DPU-2015)</w:t>
      </w:r>
      <w:r w:rsidR="00306A7C">
        <w:rPr>
          <w:rFonts w:ascii="Book Antiqua" w:eastAsia="Times New Roman" w:hAnsi="Book Antiqua" w:cs="Arial"/>
          <w:b/>
          <w:bCs/>
          <w:color w:val="FF0000"/>
          <w:sz w:val="16"/>
          <w:szCs w:val="16"/>
          <w:lang w:eastAsia="pt-BR"/>
        </w:rPr>
        <w:t xml:space="preserve"> </w:t>
      </w:r>
      <w:r w:rsidR="00306A7C">
        <w:rPr>
          <w:rFonts w:ascii="Book Antiqua" w:hAnsi="Book Antiqua"/>
          <w:b/>
          <w:color w:val="FF0000"/>
          <w:sz w:val="16"/>
          <w:szCs w:val="16"/>
          <w:u w:val="single"/>
        </w:rPr>
        <w:t>(PGM-Manaus/AM-2018)</w:t>
      </w:r>
    </w:p>
    <w:tbl>
      <w:tblPr>
        <w:tblStyle w:val="Tabelacomgrade"/>
        <w:tblW w:w="0" w:type="auto"/>
        <w:tblLook w:val="04A0" w:firstRow="1" w:lastRow="0" w:firstColumn="1" w:lastColumn="0" w:noHBand="0" w:noVBand="1"/>
      </w:tblPr>
      <w:tblGrid>
        <w:gridCol w:w="8494"/>
      </w:tblGrid>
      <w:tr w:rsidR="00CB7067" w14:paraId="12DD0833" w14:textId="77777777" w:rsidTr="00CB7067">
        <w:tc>
          <w:tcPr>
            <w:tcW w:w="8494" w:type="dxa"/>
            <w:shd w:val="clear" w:color="auto" w:fill="CCFFFF"/>
          </w:tcPr>
          <w:p w14:paraId="413B168D" w14:textId="6B40C6FF" w:rsidR="00CB7067" w:rsidRPr="00CB7067" w:rsidRDefault="00CB7067" w:rsidP="00CB706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B7067">
              <w:rPr>
                <w:rFonts w:ascii="Book Antiqua" w:hAnsi="Book Antiqua"/>
                <w:b/>
                <w:bCs/>
                <w:sz w:val="19"/>
                <w:szCs w:val="19"/>
                <w:highlight w:val="yellow"/>
              </w:rPr>
              <w:t>AGU-2010-CESPE</w:t>
            </w:r>
            <w:r>
              <w:rPr>
                <w:rFonts w:ascii="Book Antiqua" w:hAnsi="Book Antiqua"/>
                <w:b/>
                <w:bCs/>
                <w:sz w:val="19"/>
                <w:szCs w:val="19"/>
              </w:rPr>
              <w:t>)</w:t>
            </w:r>
            <w:r>
              <w:rPr>
                <w:rFonts w:ascii="Book Antiqua" w:hAnsi="Book Antiqua"/>
                <w:sz w:val="19"/>
                <w:szCs w:val="19"/>
              </w:rPr>
              <w:t xml:space="preserve">: </w:t>
            </w:r>
            <w:r w:rsidRPr="00CB7067">
              <w:rPr>
                <w:rFonts w:ascii="Book Antiqua" w:hAnsi="Book Antiqua"/>
                <w:sz w:val="19"/>
                <w:szCs w:val="19"/>
              </w:rPr>
              <w:t>A respeito dos benefícios previdenciários, julgue o ite</w:t>
            </w:r>
            <w:r>
              <w:rPr>
                <w:rFonts w:ascii="Book Antiqua" w:hAnsi="Book Antiqua"/>
                <w:sz w:val="19"/>
                <w:szCs w:val="19"/>
              </w:rPr>
              <w:t xml:space="preserve">m </w:t>
            </w:r>
            <w:r w:rsidRPr="00CB7067">
              <w:rPr>
                <w:rFonts w:ascii="Book Antiqua" w:hAnsi="Book Antiqua"/>
                <w:sz w:val="19"/>
                <w:szCs w:val="19"/>
              </w:rPr>
              <w:t>seguintes</w:t>
            </w:r>
            <w:r>
              <w:rPr>
                <w:rFonts w:ascii="Book Antiqua" w:hAnsi="Book Antiqua"/>
                <w:sz w:val="19"/>
                <w:szCs w:val="19"/>
              </w:rPr>
              <w:t xml:space="preserve">: </w:t>
            </w:r>
            <w:r w:rsidRPr="00CB7067">
              <w:rPr>
                <w:rFonts w:ascii="Book Antiqua" w:hAnsi="Book Antiqua"/>
                <w:sz w:val="19"/>
                <w:szCs w:val="19"/>
              </w:rPr>
              <w:t>Por apresentarem pressupostos fáticos e fatos geradores distintos, não há vedação legal à cumulação da pensão por morte de trabalhador rural com o benefício da aposentadoria por invalidez.</w:t>
            </w:r>
            <w:r>
              <w:rPr>
                <w:rFonts w:ascii="Book Antiqua" w:hAnsi="Book Antiqua"/>
                <w:sz w:val="19"/>
                <w:szCs w:val="19"/>
              </w:rPr>
              <w:t xml:space="preserve"> </w:t>
            </w:r>
            <w:r>
              <w:rPr>
                <w:rFonts w:ascii="Book Antiqua" w:hAnsi="Book Antiqua"/>
                <w:b/>
                <w:bCs/>
                <w:sz w:val="19"/>
                <w:szCs w:val="19"/>
              </w:rPr>
              <w:t>BL: S. 36, TNU.</w:t>
            </w:r>
          </w:p>
        </w:tc>
      </w:tr>
    </w:tbl>
    <w:p w14:paraId="67044B8E" w14:textId="77777777" w:rsidR="00CB7067" w:rsidRPr="00A61297" w:rsidRDefault="00CB7067" w:rsidP="00A61297">
      <w:pPr>
        <w:spacing w:before="100" w:beforeAutospacing="1" w:after="100" w:afterAutospacing="1" w:line="240" w:lineRule="auto"/>
        <w:jc w:val="both"/>
        <w:rPr>
          <w:rFonts w:ascii="Book Antiqua" w:hAnsi="Book Antiqua"/>
          <w:sz w:val="19"/>
          <w:szCs w:val="19"/>
        </w:rPr>
      </w:pPr>
    </w:p>
    <w:p w14:paraId="36E031F4" w14:textId="1A244390"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lastRenderedPageBreak/>
        <w:t>SÚMULA 35</w:t>
      </w:r>
      <w:r w:rsidR="0089549E">
        <w:rPr>
          <w:rFonts w:ascii="Book Antiqua" w:hAnsi="Book Antiqua"/>
          <w:sz w:val="19"/>
          <w:szCs w:val="19"/>
        </w:rPr>
        <w:t xml:space="preserve">: </w:t>
      </w:r>
      <w:r w:rsidRPr="00A61297">
        <w:rPr>
          <w:rFonts w:ascii="Book Antiqua" w:hAnsi="Book Antiqua"/>
          <w:sz w:val="19"/>
          <w:szCs w:val="19"/>
        </w:rPr>
        <w:t>A Taxa Selic, composta por juros de mora e correção monetária, incide nas repetições de indébito tributário.</w:t>
      </w:r>
    </w:p>
    <w:p w14:paraId="7C409AAA"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1E53519E" w14:textId="03C1AD0E" w:rsidR="00A61297" w:rsidRPr="00AE3FE4" w:rsidRDefault="00A61297" w:rsidP="00A61297">
      <w:pPr>
        <w:spacing w:before="100" w:beforeAutospacing="1" w:after="100" w:afterAutospacing="1" w:line="240" w:lineRule="auto"/>
        <w:jc w:val="both"/>
        <w:rPr>
          <w:rFonts w:ascii="Book Antiqua" w:hAnsi="Book Antiqua"/>
          <w:sz w:val="16"/>
          <w:szCs w:val="16"/>
        </w:rPr>
      </w:pPr>
      <w:r w:rsidRPr="00611722">
        <w:rPr>
          <w:rFonts w:ascii="Book Antiqua" w:hAnsi="Book Antiqua"/>
          <w:b/>
          <w:bCs/>
          <w:sz w:val="19"/>
          <w:szCs w:val="19"/>
          <w:highlight w:val="magenta"/>
        </w:rPr>
        <w:t>SÚMULA 34</w:t>
      </w:r>
      <w:r w:rsidR="0089549E">
        <w:rPr>
          <w:rFonts w:ascii="Book Antiqua" w:hAnsi="Book Antiqua"/>
          <w:sz w:val="19"/>
          <w:szCs w:val="19"/>
        </w:rPr>
        <w:t xml:space="preserve">: </w:t>
      </w:r>
      <w:r w:rsidRPr="005F6C3B">
        <w:rPr>
          <w:rFonts w:ascii="Book Antiqua" w:hAnsi="Book Antiqua"/>
          <w:b/>
          <w:bCs/>
          <w:sz w:val="19"/>
          <w:szCs w:val="19"/>
        </w:rPr>
        <w:t>Para fins de comprovação do tempo de labor rural, o início de prova material deve ser contemporâneo à época dos fatos a provar</w:t>
      </w:r>
      <w:r w:rsidRPr="00AE3FE4">
        <w:rPr>
          <w:rFonts w:ascii="Book Antiqua" w:hAnsi="Book Antiqua"/>
          <w:b/>
          <w:bCs/>
          <w:sz w:val="16"/>
          <w:szCs w:val="16"/>
        </w:rPr>
        <w:t>.</w:t>
      </w:r>
      <w:r w:rsidR="00611722" w:rsidRPr="00AE3FE4">
        <w:rPr>
          <w:rFonts w:ascii="Book Antiqua" w:hAnsi="Book Antiqua"/>
          <w:b/>
          <w:bCs/>
          <w:sz w:val="16"/>
          <w:szCs w:val="16"/>
        </w:rPr>
        <w:t xml:space="preserve"> </w:t>
      </w:r>
      <w:r w:rsidR="00611722" w:rsidRPr="00AE3FE4">
        <w:rPr>
          <w:rFonts w:ascii="Book Antiqua" w:eastAsia="Times New Roman" w:hAnsi="Book Antiqua" w:cs="Arial"/>
          <w:b/>
          <w:bCs/>
          <w:color w:val="FF0000"/>
          <w:sz w:val="16"/>
          <w:szCs w:val="16"/>
          <w:u w:val="single"/>
          <w:lang w:eastAsia="pt-BR"/>
        </w:rPr>
        <w:t>(TRF2-2014)</w:t>
      </w:r>
    </w:p>
    <w:p w14:paraId="066B3E5D"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5B048619" w14:textId="32F88C16"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33</w:t>
      </w:r>
      <w:r w:rsidR="0089549E">
        <w:rPr>
          <w:rFonts w:ascii="Book Antiqua" w:hAnsi="Book Antiqua"/>
          <w:sz w:val="19"/>
          <w:szCs w:val="19"/>
        </w:rPr>
        <w:t xml:space="preserve">: </w:t>
      </w:r>
      <w:r w:rsidRPr="00A61297">
        <w:rPr>
          <w:rFonts w:ascii="Book Antiqua" w:hAnsi="Book Antiqua"/>
          <w:sz w:val="19"/>
          <w:szCs w:val="19"/>
        </w:rPr>
        <w:t>Quando o segurado houver preenchido os requisitos legais para concessão da aposentadoria por tempo de serviço na data do requerimento administrativo, esta data será o termo inicial da concessão do benefício.</w:t>
      </w:r>
    </w:p>
    <w:p w14:paraId="0422F028"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3081838B" w14:textId="49DBE860" w:rsidR="00A61297" w:rsidRPr="00A61297" w:rsidRDefault="00A61297" w:rsidP="00A61297">
      <w:pPr>
        <w:spacing w:before="100" w:beforeAutospacing="1" w:after="100" w:afterAutospacing="1" w:line="240" w:lineRule="auto"/>
        <w:jc w:val="both"/>
        <w:rPr>
          <w:rFonts w:ascii="Book Antiqua" w:hAnsi="Book Antiqua"/>
          <w:sz w:val="19"/>
          <w:szCs w:val="19"/>
        </w:rPr>
      </w:pPr>
      <w:r w:rsidRPr="0089549E">
        <w:rPr>
          <w:rFonts w:ascii="Book Antiqua" w:hAnsi="Book Antiqua"/>
          <w:strike/>
          <w:sz w:val="19"/>
          <w:szCs w:val="19"/>
          <w:highlight w:val="red"/>
        </w:rPr>
        <w:t>SÚMULA 32</w:t>
      </w:r>
      <w:r w:rsidR="0089549E" w:rsidRPr="0089549E">
        <w:rPr>
          <w:rFonts w:ascii="Book Antiqua" w:hAnsi="Book Antiqua"/>
          <w:strike/>
          <w:sz w:val="19"/>
          <w:szCs w:val="19"/>
        </w:rPr>
        <w:t xml:space="preserve">: </w:t>
      </w:r>
      <w:r w:rsidR="0089549E" w:rsidRPr="0089549E">
        <w:rPr>
          <w:rFonts w:ascii="Book Antiqua" w:hAnsi="Book Antiqua"/>
          <w:strike/>
          <w:sz w:val="19"/>
          <w:szCs w:val="19"/>
          <w:highlight w:val="red"/>
        </w:rPr>
        <w:t>O tempo de trabalho laborado com exposição a ruído é considerado especial, para fins de conversão em comum, nos seguintes níveis: superior a 80 decibéis, na vigência do Decreto n. 53.831/64 e, a contar de 5 de março de 1997, superior a 85 decibéis, por força da edição do Decreto n. 4.882, de 18 de novembro de 2003, quando a Administração Pública reconheceu e declarou a nocividade à saúde de tal índice de ruído. CANCELAMENTO: A Turma Nacional de Uniformização, na Oitava sessão ordinária de 9 de outubro de 2013, aprovou, por unanimidade, o cancelamento da súmula nº 32 (PET 9059/STJ)</w:t>
      </w:r>
      <w:r w:rsidR="0089549E" w:rsidRPr="00A61297">
        <w:rPr>
          <w:rFonts w:ascii="Book Antiqua" w:hAnsi="Book Antiqua"/>
          <w:sz w:val="19"/>
          <w:szCs w:val="19"/>
        </w:rPr>
        <w:t>.</w:t>
      </w:r>
      <w:r w:rsidR="0089549E">
        <w:rPr>
          <w:rFonts w:ascii="Book Antiqua" w:hAnsi="Book Antiqua"/>
          <w:sz w:val="19"/>
          <w:szCs w:val="19"/>
        </w:rPr>
        <w:t xml:space="preserve"> </w:t>
      </w:r>
      <w:r w:rsidRPr="00A61297">
        <w:rPr>
          <w:rFonts w:ascii="Book Antiqua" w:hAnsi="Book Antiqua"/>
          <w:sz w:val="19"/>
          <w:szCs w:val="19"/>
        </w:rPr>
        <w:t>(CANCELADA EM 9/10/2013)</w:t>
      </w:r>
    </w:p>
    <w:p w14:paraId="6FC947EF"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7A73DA31" w14:textId="1E817771" w:rsidR="00A61297" w:rsidRPr="00AE3FE4" w:rsidRDefault="00A61297" w:rsidP="00A61297">
      <w:pPr>
        <w:spacing w:before="100" w:beforeAutospacing="1" w:after="100" w:afterAutospacing="1" w:line="240" w:lineRule="auto"/>
        <w:jc w:val="both"/>
        <w:rPr>
          <w:rFonts w:ascii="Book Antiqua" w:hAnsi="Book Antiqua"/>
          <w:b/>
          <w:bCs/>
          <w:sz w:val="16"/>
          <w:szCs w:val="16"/>
          <w:u w:val="single"/>
        </w:rPr>
      </w:pPr>
      <w:r w:rsidRPr="00E032F5">
        <w:rPr>
          <w:rFonts w:ascii="Book Antiqua" w:hAnsi="Book Antiqua"/>
          <w:b/>
          <w:bCs/>
          <w:sz w:val="19"/>
          <w:szCs w:val="19"/>
          <w:highlight w:val="magenta"/>
        </w:rPr>
        <w:t>SÚMULA 31</w:t>
      </w:r>
      <w:r w:rsidR="0089549E">
        <w:rPr>
          <w:rFonts w:ascii="Book Antiqua" w:hAnsi="Book Antiqua"/>
          <w:sz w:val="19"/>
          <w:szCs w:val="19"/>
        </w:rPr>
        <w:t xml:space="preserve">: </w:t>
      </w:r>
      <w:r w:rsidRPr="005F6C3B">
        <w:rPr>
          <w:rFonts w:ascii="Book Antiqua" w:hAnsi="Book Antiqua"/>
          <w:b/>
          <w:bCs/>
          <w:sz w:val="19"/>
          <w:szCs w:val="19"/>
        </w:rPr>
        <w:t>A anotação na CTPS decorrente de sentença trabalhista homologatória constitui início de prova material para fins previdenciários</w:t>
      </w:r>
      <w:r w:rsidRPr="00AE3FE4">
        <w:rPr>
          <w:rFonts w:ascii="Book Antiqua" w:hAnsi="Book Antiqua"/>
          <w:b/>
          <w:bCs/>
          <w:sz w:val="16"/>
          <w:szCs w:val="16"/>
        </w:rPr>
        <w:t>.</w:t>
      </w:r>
      <w:r w:rsidR="00E032F5" w:rsidRPr="00AE3FE4">
        <w:rPr>
          <w:rFonts w:ascii="Book Antiqua" w:hAnsi="Book Antiqua"/>
          <w:b/>
          <w:bCs/>
          <w:sz w:val="16"/>
          <w:szCs w:val="16"/>
        </w:rPr>
        <w:t xml:space="preserve"> </w:t>
      </w:r>
      <w:bookmarkStart w:id="8" w:name="_Hlk65752555"/>
      <w:r w:rsidR="00E032F5" w:rsidRPr="00AE3FE4">
        <w:rPr>
          <w:rFonts w:ascii="Book Antiqua" w:hAnsi="Book Antiqua"/>
          <w:b/>
          <w:bCs/>
          <w:color w:val="FF0000"/>
          <w:sz w:val="16"/>
          <w:szCs w:val="16"/>
          <w:u w:val="single"/>
        </w:rPr>
        <w:t>(TRF2-2011)</w:t>
      </w:r>
      <w:bookmarkEnd w:id="8"/>
    </w:p>
    <w:p w14:paraId="665F0DF3" w14:textId="77777777" w:rsidR="0089549E" w:rsidRPr="005F6C3B" w:rsidRDefault="0089549E" w:rsidP="00A61297">
      <w:pPr>
        <w:spacing w:before="100" w:beforeAutospacing="1" w:after="100" w:afterAutospacing="1" w:line="240" w:lineRule="auto"/>
        <w:jc w:val="both"/>
        <w:rPr>
          <w:rFonts w:ascii="Book Antiqua" w:hAnsi="Book Antiqua"/>
          <w:b/>
          <w:bCs/>
          <w:sz w:val="19"/>
          <w:szCs w:val="19"/>
        </w:rPr>
      </w:pPr>
    </w:p>
    <w:p w14:paraId="21778DDC" w14:textId="557EED9E" w:rsidR="00A61297" w:rsidRPr="00AE3FE4" w:rsidRDefault="00A61297" w:rsidP="00A61297">
      <w:pPr>
        <w:spacing w:before="100" w:beforeAutospacing="1" w:after="100" w:afterAutospacing="1" w:line="240" w:lineRule="auto"/>
        <w:jc w:val="both"/>
        <w:rPr>
          <w:rFonts w:ascii="Book Antiqua" w:hAnsi="Book Antiqua"/>
          <w:b/>
          <w:bCs/>
          <w:sz w:val="16"/>
          <w:szCs w:val="16"/>
          <w:u w:val="single"/>
        </w:rPr>
      </w:pPr>
      <w:r w:rsidRPr="005F6C3B">
        <w:rPr>
          <w:rFonts w:ascii="Book Antiqua" w:hAnsi="Book Antiqua"/>
          <w:b/>
          <w:bCs/>
          <w:sz w:val="19"/>
          <w:szCs w:val="19"/>
          <w:highlight w:val="magenta"/>
        </w:rPr>
        <w:t>SÚMULA 30</w:t>
      </w:r>
      <w:r w:rsidR="0089549E" w:rsidRPr="005F6C3B">
        <w:rPr>
          <w:rFonts w:ascii="Book Antiqua" w:hAnsi="Book Antiqua"/>
          <w:b/>
          <w:bCs/>
          <w:sz w:val="19"/>
          <w:szCs w:val="19"/>
        </w:rPr>
        <w:t xml:space="preserve">: </w:t>
      </w:r>
      <w:r w:rsidRPr="005F6C3B">
        <w:rPr>
          <w:rFonts w:ascii="Book Antiqua" w:hAnsi="Book Antiqua"/>
          <w:b/>
          <w:bCs/>
          <w:sz w:val="19"/>
          <w:szCs w:val="19"/>
        </w:rPr>
        <w:t>Tratando-se de demanda previdenciária, o fato de o imóvel ser superior ao módulo rural não afasta, por si só, a qualificação de seu proprietário como segurado especial, desde que comprovada, nos autos, a sua exploração em regime de economia familiar</w:t>
      </w:r>
      <w:r w:rsidRPr="00AE3FE4">
        <w:rPr>
          <w:rFonts w:ascii="Book Antiqua" w:hAnsi="Book Antiqua"/>
          <w:b/>
          <w:bCs/>
          <w:sz w:val="16"/>
          <w:szCs w:val="16"/>
        </w:rPr>
        <w:t>.</w:t>
      </w:r>
      <w:r w:rsidR="00111D2D" w:rsidRPr="00AE3FE4">
        <w:rPr>
          <w:rFonts w:ascii="Book Antiqua" w:hAnsi="Book Antiqua"/>
          <w:b/>
          <w:bCs/>
          <w:sz w:val="16"/>
          <w:szCs w:val="16"/>
        </w:rPr>
        <w:t xml:space="preserve"> </w:t>
      </w:r>
      <w:r w:rsidR="00111D2D" w:rsidRPr="00AE3FE4">
        <w:rPr>
          <w:rFonts w:ascii="Book Antiqua" w:eastAsia="Times New Roman" w:hAnsi="Book Antiqua" w:cs="Arial"/>
          <w:b/>
          <w:bCs/>
          <w:color w:val="FF0000"/>
          <w:sz w:val="16"/>
          <w:szCs w:val="16"/>
          <w:u w:val="single"/>
          <w:lang w:eastAsia="pt-BR"/>
        </w:rPr>
        <w:t>(TRF5-2011)</w:t>
      </w:r>
      <w:r w:rsidR="00611722" w:rsidRPr="00AE3FE4">
        <w:rPr>
          <w:rFonts w:ascii="Book Antiqua" w:eastAsia="Times New Roman" w:hAnsi="Book Antiqua" w:cs="Arial"/>
          <w:b/>
          <w:bCs/>
          <w:color w:val="FF0000"/>
          <w:sz w:val="16"/>
          <w:szCs w:val="16"/>
          <w:lang w:eastAsia="pt-BR"/>
        </w:rPr>
        <w:t xml:space="preserve"> </w:t>
      </w:r>
      <w:r w:rsidR="00611722" w:rsidRPr="00AE3FE4">
        <w:rPr>
          <w:rFonts w:ascii="Book Antiqua" w:eastAsia="Times New Roman" w:hAnsi="Book Antiqua" w:cs="Arial"/>
          <w:b/>
          <w:bCs/>
          <w:color w:val="FF0000"/>
          <w:sz w:val="16"/>
          <w:szCs w:val="16"/>
          <w:u w:val="single"/>
          <w:lang w:eastAsia="pt-BR"/>
        </w:rPr>
        <w:t>(TRF2-2014)</w:t>
      </w:r>
    </w:p>
    <w:p w14:paraId="213AAA32"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6E3923A0" w14:textId="68A5D41B"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29</w:t>
      </w:r>
      <w:r w:rsidR="0089549E">
        <w:rPr>
          <w:rFonts w:ascii="Book Antiqua" w:hAnsi="Book Antiqua"/>
          <w:sz w:val="19"/>
          <w:szCs w:val="19"/>
        </w:rPr>
        <w:t xml:space="preserve">: </w:t>
      </w:r>
      <w:r w:rsidRPr="00A61297">
        <w:rPr>
          <w:rFonts w:ascii="Book Antiqua" w:hAnsi="Book Antiqua"/>
          <w:sz w:val="19"/>
          <w:szCs w:val="19"/>
        </w:rPr>
        <w:t>Para os efeitos do art. 20, § 2º, da Lei n. 8.742, de 1993, incapacidade para a vida independente não é só aquela que impede as atividades mais elementares da pessoa, mas também a impossibilita de prover ao próprio sustento.</w:t>
      </w:r>
    </w:p>
    <w:p w14:paraId="38D87621"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61EA45D3" w14:textId="7F628DEB"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28</w:t>
      </w:r>
      <w:r w:rsidR="0089549E">
        <w:rPr>
          <w:rFonts w:ascii="Book Antiqua" w:hAnsi="Book Antiqua"/>
          <w:sz w:val="19"/>
          <w:szCs w:val="19"/>
        </w:rPr>
        <w:t xml:space="preserve">: </w:t>
      </w:r>
      <w:r w:rsidRPr="00A61297">
        <w:rPr>
          <w:rFonts w:ascii="Book Antiqua" w:hAnsi="Book Antiqua"/>
          <w:sz w:val="19"/>
          <w:szCs w:val="19"/>
        </w:rPr>
        <w:t>Encontra-se prescrita a pretensão de ressarcimento de perdas sofridas na atualização monetária da conta do Plano de Integração Social - PIS-, em virtude de expurgos ocorridos por ocasião dos Planos Econômicos Verão e Collor I.</w:t>
      </w:r>
    </w:p>
    <w:p w14:paraId="02EB60B1"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080AF7C9" w14:textId="4684DE20"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A61297">
        <w:rPr>
          <w:rFonts w:ascii="Book Antiqua" w:hAnsi="Book Antiqua"/>
          <w:b/>
          <w:bCs/>
          <w:sz w:val="19"/>
          <w:szCs w:val="19"/>
          <w:highlight w:val="magenta"/>
        </w:rPr>
        <w:t>SÚMULA 27</w:t>
      </w:r>
      <w:r>
        <w:rPr>
          <w:rFonts w:ascii="Book Antiqua" w:hAnsi="Book Antiqua"/>
          <w:sz w:val="19"/>
          <w:szCs w:val="19"/>
        </w:rPr>
        <w:t xml:space="preserve">: </w:t>
      </w:r>
      <w:r w:rsidRPr="005F6C3B">
        <w:rPr>
          <w:rFonts w:ascii="Book Antiqua" w:hAnsi="Book Antiqua"/>
          <w:b/>
          <w:bCs/>
          <w:sz w:val="19"/>
          <w:szCs w:val="19"/>
        </w:rPr>
        <w:t>A ausência de registro em órgão do Ministério do Trabalho não impede a comprovação do desemprego por outros meios admitidos em Direito</w:t>
      </w:r>
      <w:r w:rsidRPr="00AE3FE4">
        <w:rPr>
          <w:rFonts w:ascii="Book Antiqua" w:hAnsi="Book Antiqua"/>
          <w:b/>
          <w:bCs/>
          <w:sz w:val="16"/>
          <w:szCs w:val="16"/>
        </w:rPr>
        <w:t>.</w:t>
      </w:r>
      <w:r w:rsidR="00E032F5" w:rsidRPr="00AE3FE4">
        <w:rPr>
          <w:rFonts w:ascii="Book Antiqua" w:hAnsi="Book Antiqua"/>
          <w:b/>
          <w:bCs/>
          <w:sz w:val="16"/>
          <w:szCs w:val="16"/>
        </w:rPr>
        <w:t xml:space="preserve"> </w:t>
      </w:r>
      <w:r w:rsidR="00E032F5" w:rsidRPr="00AE3FE4">
        <w:rPr>
          <w:rFonts w:ascii="Book Antiqua" w:hAnsi="Book Antiqua"/>
          <w:b/>
          <w:bCs/>
          <w:color w:val="FF0000"/>
          <w:sz w:val="16"/>
          <w:szCs w:val="16"/>
          <w:u w:val="single"/>
        </w:rPr>
        <w:t>(TRF2-2011)</w:t>
      </w:r>
      <w:r w:rsidRPr="00AE3FE4">
        <w:rPr>
          <w:rFonts w:ascii="Book Antiqua" w:hAnsi="Book Antiqua"/>
          <w:b/>
          <w:bCs/>
          <w:sz w:val="16"/>
          <w:szCs w:val="16"/>
        </w:rPr>
        <w:t xml:space="preserve"> </w:t>
      </w:r>
      <w:r w:rsidRPr="00AE3FE4">
        <w:rPr>
          <w:rFonts w:ascii="Book Antiqua" w:hAnsi="Book Antiqua"/>
          <w:b/>
          <w:bCs/>
          <w:color w:val="FF0000"/>
          <w:sz w:val="16"/>
          <w:szCs w:val="16"/>
          <w:u w:val="single"/>
        </w:rPr>
        <w:t>(TRF5-2011)</w:t>
      </w:r>
      <w:r w:rsidR="000666A3" w:rsidRPr="00AE3FE4">
        <w:rPr>
          <w:rFonts w:ascii="Book Antiqua" w:hAnsi="Book Antiqua"/>
          <w:b/>
          <w:bCs/>
          <w:color w:val="FF0000"/>
          <w:sz w:val="16"/>
          <w:szCs w:val="16"/>
        </w:rPr>
        <w:t xml:space="preserve"> </w:t>
      </w:r>
      <w:r w:rsidR="000666A3" w:rsidRPr="00AE3FE4">
        <w:rPr>
          <w:rFonts w:ascii="Book Antiqua" w:eastAsia="Times New Roman" w:hAnsi="Book Antiqua" w:cs="Arial"/>
          <w:b/>
          <w:bCs/>
          <w:color w:val="FF0000"/>
          <w:sz w:val="16"/>
          <w:szCs w:val="16"/>
          <w:u w:val="single"/>
          <w:lang w:eastAsia="pt-BR"/>
        </w:rPr>
        <w:t>(DPU-2015)</w:t>
      </w:r>
    </w:p>
    <w:p w14:paraId="7D2CA657"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5EED9B81" w14:textId="3062C703"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26</w:t>
      </w:r>
      <w:r w:rsidR="0089549E">
        <w:rPr>
          <w:rFonts w:ascii="Book Antiqua" w:hAnsi="Book Antiqua"/>
          <w:sz w:val="19"/>
          <w:szCs w:val="19"/>
        </w:rPr>
        <w:t xml:space="preserve">: </w:t>
      </w:r>
      <w:r w:rsidRPr="00A61297">
        <w:rPr>
          <w:rFonts w:ascii="Book Antiqua" w:hAnsi="Book Antiqua"/>
          <w:sz w:val="19"/>
          <w:szCs w:val="19"/>
        </w:rPr>
        <w:t>A atividade de vigilante enquadra-se como especial, equiparando-se à de guarda, elencada no item 2.5.7. do Anexo III do Decreto n. 53.831/64.</w:t>
      </w:r>
    </w:p>
    <w:p w14:paraId="58799934"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2FE21C48" w14:textId="7D286746"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25</w:t>
      </w:r>
      <w:r w:rsidR="0089549E">
        <w:rPr>
          <w:rFonts w:ascii="Book Antiqua" w:hAnsi="Book Antiqua"/>
          <w:sz w:val="19"/>
          <w:szCs w:val="19"/>
        </w:rPr>
        <w:t xml:space="preserve">: </w:t>
      </w:r>
      <w:r w:rsidRPr="00A61297">
        <w:rPr>
          <w:rFonts w:ascii="Book Antiqua" w:hAnsi="Book Antiqua"/>
          <w:sz w:val="19"/>
          <w:szCs w:val="19"/>
        </w:rPr>
        <w:t>A revisão dos valores dos benefícios previdenciários, prevista no art. 58 do ADCT, deve ser feita com base no número de salários mínimos apurado na data da concessão, e não no mês de recolhimento da última contribuição.</w:t>
      </w:r>
    </w:p>
    <w:p w14:paraId="120ED5C1"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58E0908E" w14:textId="5D3EE863" w:rsidR="00A61297" w:rsidRPr="00472133" w:rsidRDefault="00A61297" w:rsidP="00A61297">
      <w:pPr>
        <w:spacing w:before="100" w:beforeAutospacing="1" w:after="100" w:afterAutospacing="1" w:line="240" w:lineRule="auto"/>
        <w:jc w:val="both"/>
        <w:rPr>
          <w:rFonts w:ascii="Book Antiqua" w:hAnsi="Book Antiqua"/>
          <w:sz w:val="16"/>
          <w:szCs w:val="16"/>
        </w:rPr>
      </w:pPr>
      <w:r w:rsidRPr="00111D2D">
        <w:rPr>
          <w:rFonts w:ascii="Book Antiqua" w:hAnsi="Book Antiqua"/>
          <w:b/>
          <w:bCs/>
          <w:sz w:val="19"/>
          <w:szCs w:val="19"/>
          <w:highlight w:val="magenta"/>
        </w:rPr>
        <w:t>SÚMULA 24</w:t>
      </w:r>
      <w:r w:rsidR="0089549E">
        <w:rPr>
          <w:rFonts w:ascii="Book Antiqua" w:hAnsi="Book Antiqua"/>
          <w:sz w:val="19"/>
          <w:szCs w:val="19"/>
        </w:rPr>
        <w:t xml:space="preserve">: </w:t>
      </w:r>
      <w:r w:rsidRPr="005F6C3B">
        <w:rPr>
          <w:rFonts w:ascii="Book Antiqua" w:hAnsi="Book Antiqua"/>
          <w:b/>
          <w:bCs/>
          <w:sz w:val="19"/>
          <w:szCs w:val="19"/>
        </w:rPr>
        <w:t>O tempo de serviço do segurado trabalhador rural anterior ao advento da Lei nº 8.213/91, sem o recolhimento de contribuições previdenciárias, pode ser considerado para a concessão de benefício previdenciário do Regime Geral de Previdência Social (RGPS), exceto para efeito de carência, conforme a regra do art. 55, §2º, da Lei nº 8.213/91</w:t>
      </w:r>
      <w:r w:rsidRPr="00AE3FE4">
        <w:rPr>
          <w:rFonts w:ascii="Book Antiqua" w:hAnsi="Book Antiqua"/>
          <w:b/>
          <w:bCs/>
          <w:sz w:val="16"/>
          <w:szCs w:val="16"/>
        </w:rPr>
        <w:t>.</w:t>
      </w:r>
      <w:r w:rsidR="00111D2D" w:rsidRPr="00AE3FE4">
        <w:rPr>
          <w:rFonts w:ascii="Book Antiqua" w:hAnsi="Book Antiqua"/>
          <w:sz w:val="16"/>
          <w:szCs w:val="16"/>
        </w:rPr>
        <w:t xml:space="preserve"> </w:t>
      </w:r>
      <w:r w:rsidR="00111D2D" w:rsidRPr="00AE3FE4">
        <w:rPr>
          <w:rFonts w:ascii="Book Antiqua" w:eastAsia="Times New Roman" w:hAnsi="Book Antiqua" w:cs="Arial"/>
          <w:b/>
          <w:bCs/>
          <w:color w:val="FF0000"/>
          <w:sz w:val="16"/>
          <w:szCs w:val="16"/>
          <w:u w:val="single"/>
          <w:lang w:eastAsia="pt-BR"/>
        </w:rPr>
        <w:t>(TRF5-2011</w:t>
      </w:r>
      <w:r w:rsidR="00AA22A6" w:rsidRPr="00AE3FE4">
        <w:rPr>
          <w:rFonts w:ascii="Book Antiqua" w:eastAsia="Times New Roman" w:hAnsi="Book Antiqua" w:cs="Arial"/>
          <w:b/>
          <w:bCs/>
          <w:color w:val="FF0000"/>
          <w:sz w:val="16"/>
          <w:szCs w:val="16"/>
          <w:u w:val="single"/>
          <w:lang w:eastAsia="pt-BR"/>
        </w:rPr>
        <w:t>/2017</w:t>
      </w:r>
      <w:r w:rsidR="00111D2D" w:rsidRPr="00AE3FE4">
        <w:rPr>
          <w:rFonts w:ascii="Book Antiqua" w:eastAsia="Times New Roman" w:hAnsi="Book Antiqua" w:cs="Arial"/>
          <w:b/>
          <w:bCs/>
          <w:color w:val="FF0000"/>
          <w:sz w:val="16"/>
          <w:szCs w:val="16"/>
          <w:u w:val="single"/>
          <w:lang w:eastAsia="pt-BR"/>
        </w:rPr>
        <w:t>)</w:t>
      </w:r>
      <w:r w:rsidR="00472133">
        <w:rPr>
          <w:rFonts w:ascii="Book Antiqua" w:eastAsia="Times New Roman" w:hAnsi="Book Antiqua" w:cs="Arial"/>
          <w:b/>
          <w:bCs/>
          <w:color w:val="FF0000"/>
          <w:sz w:val="16"/>
          <w:szCs w:val="16"/>
          <w:lang w:eastAsia="pt-BR"/>
        </w:rPr>
        <w:t xml:space="preserve"> </w:t>
      </w:r>
      <w:r w:rsidR="00472133">
        <w:rPr>
          <w:rFonts w:ascii="Book Antiqua" w:eastAsia="Times New Roman" w:hAnsi="Book Antiqua" w:cs="Arial"/>
          <w:b/>
          <w:bCs/>
          <w:color w:val="FF0000"/>
          <w:sz w:val="16"/>
          <w:szCs w:val="16"/>
          <w:u w:val="single"/>
          <w:lang w:eastAsia="pt-BR"/>
        </w:rPr>
        <w:t>(TRT/Unificado-2023)</w:t>
      </w:r>
    </w:p>
    <w:p w14:paraId="0A1345EE"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19BB2968" w14:textId="19E9A412"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23</w:t>
      </w:r>
      <w:r w:rsidR="0089549E">
        <w:rPr>
          <w:rFonts w:ascii="Book Antiqua" w:hAnsi="Book Antiqua"/>
          <w:sz w:val="19"/>
          <w:szCs w:val="19"/>
        </w:rPr>
        <w:t xml:space="preserve">: </w:t>
      </w:r>
      <w:r w:rsidRPr="00A61297">
        <w:rPr>
          <w:rFonts w:ascii="Book Antiqua" w:hAnsi="Book Antiqua"/>
          <w:sz w:val="19"/>
          <w:szCs w:val="19"/>
        </w:rPr>
        <w:t>As substituições de cargos ou funções de direção ou chefia ou de cargo de natureza especial ocorridas a partir da vigência da Medida Provisória nº 1.522, de 11/10/1996, e até o advento da Lei nº 9.527, de 10/12/1997, quando iguais ou inferiores a trinta dias, não geram direito à remuneração correspondente ao cargo ou função substituída.</w:t>
      </w:r>
    </w:p>
    <w:p w14:paraId="6DB38193"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7A0A3482" w14:textId="65FD7180"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611722">
        <w:rPr>
          <w:rFonts w:ascii="Book Antiqua" w:hAnsi="Book Antiqua"/>
          <w:b/>
          <w:bCs/>
          <w:sz w:val="19"/>
          <w:szCs w:val="19"/>
          <w:highlight w:val="magenta"/>
        </w:rPr>
        <w:t>SÚMULA 22</w:t>
      </w:r>
      <w:r w:rsidR="0089549E">
        <w:rPr>
          <w:rFonts w:ascii="Book Antiqua" w:hAnsi="Book Antiqua"/>
          <w:sz w:val="19"/>
          <w:szCs w:val="19"/>
        </w:rPr>
        <w:t xml:space="preserve">: </w:t>
      </w:r>
      <w:r w:rsidRPr="005F6C3B">
        <w:rPr>
          <w:rFonts w:ascii="Book Antiqua" w:hAnsi="Book Antiqua"/>
          <w:b/>
          <w:bCs/>
          <w:sz w:val="19"/>
          <w:szCs w:val="19"/>
        </w:rPr>
        <w:t>Se a prova pericial realizada em juízo dá conta de que a incapacidade já existia na data do requerimento administrativo, esta é o termo inicial do benefício assistencial</w:t>
      </w:r>
      <w:r w:rsidRPr="00AE3FE4">
        <w:rPr>
          <w:rFonts w:ascii="Book Antiqua" w:hAnsi="Book Antiqua"/>
          <w:b/>
          <w:bCs/>
          <w:sz w:val="16"/>
          <w:szCs w:val="16"/>
        </w:rPr>
        <w:t>.</w:t>
      </w:r>
      <w:r w:rsidR="00611722" w:rsidRPr="00AE3FE4">
        <w:rPr>
          <w:rFonts w:ascii="Book Antiqua" w:hAnsi="Book Antiqua"/>
          <w:b/>
          <w:bCs/>
          <w:sz w:val="16"/>
          <w:szCs w:val="16"/>
        </w:rPr>
        <w:t xml:space="preserve"> </w:t>
      </w:r>
      <w:r w:rsidR="00611722" w:rsidRPr="00AE3FE4">
        <w:rPr>
          <w:rFonts w:ascii="Book Antiqua" w:eastAsia="Times New Roman" w:hAnsi="Book Antiqua" w:cs="Arial"/>
          <w:b/>
          <w:bCs/>
          <w:color w:val="FF0000"/>
          <w:sz w:val="16"/>
          <w:szCs w:val="16"/>
          <w:u w:val="single"/>
          <w:lang w:eastAsia="pt-BR"/>
        </w:rPr>
        <w:t>(TRF2-2014)</w:t>
      </w:r>
    </w:p>
    <w:p w14:paraId="2BEE33F1"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21F1080B" w14:textId="39B8CA60"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21</w:t>
      </w:r>
      <w:r w:rsidR="0089549E">
        <w:rPr>
          <w:rFonts w:ascii="Book Antiqua" w:hAnsi="Book Antiqua"/>
          <w:sz w:val="19"/>
          <w:szCs w:val="19"/>
        </w:rPr>
        <w:t xml:space="preserve">: </w:t>
      </w:r>
      <w:r w:rsidRPr="00A61297">
        <w:rPr>
          <w:rFonts w:ascii="Book Antiqua" w:hAnsi="Book Antiqua"/>
          <w:sz w:val="19"/>
          <w:szCs w:val="19"/>
        </w:rPr>
        <w:t>Não há direito adquirido a reajuste de benefícios previdenciários com base na variação do IPC (Índice de Preço ao Consumidor), de janeiro de 1989 (42,72%) e abril de 1990 (44,80%).</w:t>
      </w:r>
    </w:p>
    <w:p w14:paraId="013889E3"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69E8ADDB" w14:textId="10DD2E7A"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20</w:t>
      </w:r>
      <w:r w:rsidR="0089549E">
        <w:rPr>
          <w:rFonts w:ascii="Book Antiqua" w:hAnsi="Book Antiqua"/>
          <w:sz w:val="19"/>
          <w:szCs w:val="19"/>
        </w:rPr>
        <w:t xml:space="preserve">: </w:t>
      </w:r>
      <w:r w:rsidRPr="00A61297">
        <w:rPr>
          <w:rFonts w:ascii="Book Antiqua" w:hAnsi="Book Antiqua"/>
          <w:sz w:val="19"/>
          <w:szCs w:val="19"/>
        </w:rPr>
        <w:t>A Lei nº 8.112, de 11 de dezembro de 1990, não modificou a situação do servidor celetista anteriormente aposentado pela Previdência Social Urbana.</w:t>
      </w:r>
    </w:p>
    <w:p w14:paraId="104CBD7D"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383ABF3C" w14:textId="1400A7AF"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19</w:t>
      </w:r>
      <w:r w:rsidR="0089549E">
        <w:rPr>
          <w:rFonts w:ascii="Book Antiqua" w:hAnsi="Book Antiqua"/>
          <w:sz w:val="19"/>
          <w:szCs w:val="19"/>
        </w:rPr>
        <w:t xml:space="preserve">: </w:t>
      </w:r>
      <w:r w:rsidRPr="00A61297">
        <w:rPr>
          <w:rFonts w:ascii="Book Antiqua" w:hAnsi="Book Antiqua"/>
          <w:sz w:val="19"/>
          <w:szCs w:val="19"/>
        </w:rPr>
        <w:t>Para o cálculo da renda mensal inicial do benefício previdenciário, deve ser considerada, na atualização dos salários de contribuição anteriores a março de 1994, a variação integral do IRSM de fevereiro de 1994, na ordem de 39,67% (art. 21, § 1º, da Lei nº 8.880/94).</w:t>
      </w:r>
    </w:p>
    <w:p w14:paraId="782D8E28"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6A7DDC65" w14:textId="50CD3F77"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18</w:t>
      </w:r>
      <w:r w:rsidR="0089549E">
        <w:rPr>
          <w:rFonts w:ascii="Book Antiqua" w:hAnsi="Book Antiqua"/>
          <w:sz w:val="19"/>
          <w:szCs w:val="19"/>
        </w:rPr>
        <w:t xml:space="preserve">: </w:t>
      </w:r>
      <w:r w:rsidR="0089549E" w:rsidRPr="00A61297">
        <w:rPr>
          <w:rFonts w:ascii="Book Antiqua" w:hAnsi="Book Antiqua"/>
          <w:sz w:val="19"/>
          <w:szCs w:val="19"/>
        </w:rPr>
        <w:t xml:space="preserve">Para fins previdenciários, o cômputo do tempo de serviço prestado como aluno-aprendiz exige a comprovação de que, durante o período de </w:t>
      </w:r>
      <w:proofErr w:type="spellStart"/>
      <w:proofErr w:type="gramStart"/>
      <w:r w:rsidR="0089549E" w:rsidRPr="00A61297">
        <w:rPr>
          <w:rFonts w:ascii="Book Antiqua" w:hAnsi="Book Antiqua"/>
          <w:sz w:val="19"/>
          <w:szCs w:val="19"/>
        </w:rPr>
        <w:t>aprendizado,houve</w:t>
      </w:r>
      <w:proofErr w:type="spellEnd"/>
      <w:proofErr w:type="gramEnd"/>
      <w:r w:rsidR="0089549E" w:rsidRPr="00A61297">
        <w:rPr>
          <w:rFonts w:ascii="Book Antiqua" w:hAnsi="Book Antiqua"/>
          <w:sz w:val="19"/>
          <w:szCs w:val="19"/>
        </w:rPr>
        <w:t xml:space="preserve"> simultaneamente: (i) retribuição consubstanciada em prestação pecuniária ou em auxílios materiais; (</w:t>
      </w:r>
      <w:proofErr w:type="spellStart"/>
      <w:r w:rsidR="0089549E" w:rsidRPr="00A61297">
        <w:rPr>
          <w:rFonts w:ascii="Book Antiqua" w:hAnsi="Book Antiqua"/>
          <w:sz w:val="19"/>
          <w:szCs w:val="19"/>
        </w:rPr>
        <w:t>ii</w:t>
      </w:r>
      <w:proofErr w:type="spellEnd"/>
      <w:r w:rsidR="0089549E" w:rsidRPr="00A61297">
        <w:rPr>
          <w:rFonts w:ascii="Book Antiqua" w:hAnsi="Book Antiqua"/>
          <w:sz w:val="19"/>
          <w:szCs w:val="19"/>
        </w:rPr>
        <w:t>) à conta do Orçamento; (</w:t>
      </w:r>
      <w:proofErr w:type="spellStart"/>
      <w:r w:rsidR="0089549E" w:rsidRPr="00A61297">
        <w:rPr>
          <w:rFonts w:ascii="Book Antiqua" w:hAnsi="Book Antiqua"/>
          <w:sz w:val="19"/>
          <w:szCs w:val="19"/>
        </w:rPr>
        <w:t>iii</w:t>
      </w:r>
      <w:proofErr w:type="spellEnd"/>
      <w:r w:rsidR="0089549E" w:rsidRPr="00A61297">
        <w:rPr>
          <w:rFonts w:ascii="Book Antiqua" w:hAnsi="Book Antiqua"/>
          <w:sz w:val="19"/>
          <w:szCs w:val="19"/>
        </w:rPr>
        <w:t xml:space="preserve">) a título </w:t>
      </w:r>
      <w:proofErr w:type="spellStart"/>
      <w:r w:rsidR="0089549E" w:rsidRPr="00A61297">
        <w:rPr>
          <w:rFonts w:ascii="Book Antiqua" w:hAnsi="Book Antiqua"/>
          <w:sz w:val="19"/>
          <w:szCs w:val="19"/>
        </w:rPr>
        <w:t>decontraprestação</w:t>
      </w:r>
      <w:proofErr w:type="spellEnd"/>
      <w:r w:rsidR="0089549E" w:rsidRPr="00A61297">
        <w:rPr>
          <w:rFonts w:ascii="Book Antiqua" w:hAnsi="Book Antiqua"/>
          <w:sz w:val="19"/>
          <w:szCs w:val="19"/>
        </w:rPr>
        <w:t xml:space="preserve"> por labor; (</w:t>
      </w:r>
      <w:proofErr w:type="spellStart"/>
      <w:r w:rsidR="0089549E" w:rsidRPr="00A61297">
        <w:rPr>
          <w:rFonts w:ascii="Book Antiqua" w:hAnsi="Book Antiqua"/>
          <w:sz w:val="19"/>
          <w:szCs w:val="19"/>
        </w:rPr>
        <w:t>iv</w:t>
      </w:r>
      <w:proofErr w:type="spellEnd"/>
      <w:r w:rsidR="0089549E" w:rsidRPr="00A61297">
        <w:rPr>
          <w:rFonts w:ascii="Book Antiqua" w:hAnsi="Book Antiqua"/>
          <w:sz w:val="19"/>
          <w:szCs w:val="19"/>
        </w:rPr>
        <w:t>) na execução de bens e serviços destinados a terceiros.</w:t>
      </w:r>
      <w:r w:rsidR="0089549E">
        <w:rPr>
          <w:rFonts w:ascii="Book Antiqua" w:hAnsi="Book Antiqua"/>
          <w:sz w:val="19"/>
          <w:szCs w:val="19"/>
        </w:rPr>
        <w:t xml:space="preserve"> </w:t>
      </w:r>
      <w:r w:rsidRPr="00A61297">
        <w:rPr>
          <w:rFonts w:ascii="Book Antiqua" w:hAnsi="Book Antiqua"/>
          <w:sz w:val="19"/>
          <w:szCs w:val="19"/>
        </w:rPr>
        <w:t>(ALTERADA NA SESSÃO DE 14/02/2020)</w:t>
      </w:r>
    </w:p>
    <w:p w14:paraId="7EEF3627"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7DF81291" w14:textId="7C5F6E27"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17</w:t>
      </w:r>
      <w:r w:rsidR="0089549E">
        <w:rPr>
          <w:rFonts w:ascii="Book Antiqua" w:hAnsi="Book Antiqua"/>
          <w:sz w:val="19"/>
          <w:szCs w:val="19"/>
        </w:rPr>
        <w:t xml:space="preserve">: </w:t>
      </w:r>
      <w:r w:rsidRPr="00A61297">
        <w:rPr>
          <w:rFonts w:ascii="Book Antiqua" w:hAnsi="Book Antiqua"/>
          <w:sz w:val="19"/>
          <w:szCs w:val="19"/>
        </w:rPr>
        <w:t>Não há renúncia tácita no Juizado Especial Federal, para fins de competência.</w:t>
      </w:r>
    </w:p>
    <w:p w14:paraId="7411D8EF"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115C9B85" w14:textId="620A4AB9" w:rsidR="00A61297" w:rsidRDefault="00A61297" w:rsidP="00A61297">
      <w:pPr>
        <w:spacing w:before="100" w:beforeAutospacing="1" w:after="100" w:afterAutospacing="1" w:line="240" w:lineRule="auto"/>
        <w:jc w:val="both"/>
        <w:rPr>
          <w:rFonts w:ascii="Book Antiqua" w:hAnsi="Book Antiqua"/>
          <w:sz w:val="19"/>
          <w:szCs w:val="19"/>
        </w:rPr>
      </w:pPr>
      <w:r w:rsidRPr="0089549E">
        <w:rPr>
          <w:rFonts w:ascii="Book Antiqua" w:hAnsi="Book Antiqua"/>
          <w:strike/>
          <w:sz w:val="19"/>
          <w:szCs w:val="19"/>
          <w:highlight w:val="red"/>
        </w:rPr>
        <w:lastRenderedPageBreak/>
        <w:t>SÚMULA 16</w:t>
      </w:r>
      <w:r w:rsidR="0089549E" w:rsidRPr="0089549E">
        <w:rPr>
          <w:rFonts w:ascii="Book Antiqua" w:hAnsi="Book Antiqua"/>
          <w:strike/>
          <w:sz w:val="19"/>
          <w:szCs w:val="19"/>
        </w:rPr>
        <w:t xml:space="preserve">: </w:t>
      </w:r>
      <w:r w:rsidR="0089549E" w:rsidRPr="0089549E">
        <w:rPr>
          <w:rFonts w:ascii="Book Antiqua" w:hAnsi="Book Antiqua"/>
          <w:strike/>
          <w:sz w:val="19"/>
          <w:szCs w:val="19"/>
          <w:highlight w:val="red"/>
        </w:rPr>
        <w:t>A conversão em tempo de serviço comum, do período trabalhado em condições especiais, somente é possível relativamente à atividade exercida até 28 de maio de 1998 (art. 28 da Lei nº 9.711/98)</w:t>
      </w:r>
      <w:r w:rsidR="0089549E" w:rsidRPr="00A61297">
        <w:rPr>
          <w:rFonts w:ascii="Book Antiqua" w:hAnsi="Book Antiqua"/>
          <w:sz w:val="19"/>
          <w:szCs w:val="19"/>
        </w:rPr>
        <w:t>.</w:t>
      </w:r>
      <w:r w:rsidR="0089549E">
        <w:rPr>
          <w:rFonts w:ascii="Book Antiqua" w:hAnsi="Book Antiqua"/>
          <w:sz w:val="19"/>
          <w:szCs w:val="19"/>
        </w:rPr>
        <w:t xml:space="preserve"> </w:t>
      </w:r>
      <w:r w:rsidRPr="00A61297">
        <w:rPr>
          <w:rFonts w:ascii="Book Antiqua" w:hAnsi="Book Antiqua"/>
          <w:sz w:val="19"/>
          <w:szCs w:val="19"/>
        </w:rPr>
        <w:t>(CANCELADA EM 27.03.09)</w:t>
      </w:r>
    </w:p>
    <w:p w14:paraId="3FE18D53"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7A080A59" w14:textId="0D8646FB" w:rsidR="00A61297" w:rsidRDefault="00A61297" w:rsidP="00A61297">
      <w:pPr>
        <w:spacing w:before="100" w:beforeAutospacing="1" w:after="100" w:afterAutospacing="1" w:line="240" w:lineRule="auto"/>
        <w:jc w:val="both"/>
        <w:rPr>
          <w:rFonts w:ascii="Book Antiqua" w:hAnsi="Book Antiqua"/>
          <w:sz w:val="19"/>
          <w:szCs w:val="19"/>
        </w:rPr>
      </w:pPr>
      <w:r w:rsidRPr="0089549E">
        <w:rPr>
          <w:rFonts w:ascii="Book Antiqua" w:hAnsi="Book Antiqua"/>
          <w:strike/>
          <w:sz w:val="19"/>
          <w:szCs w:val="19"/>
          <w:highlight w:val="red"/>
        </w:rPr>
        <w:t>SÚMULA 15</w:t>
      </w:r>
      <w:r w:rsidR="0089549E" w:rsidRPr="0089549E">
        <w:rPr>
          <w:rFonts w:ascii="Book Antiqua" w:hAnsi="Book Antiqua"/>
          <w:strike/>
          <w:sz w:val="19"/>
          <w:szCs w:val="19"/>
        </w:rPr>
        <w:t xml:space="preserve">: </w:t>
      </w:r>
      <w:r w:rsidR="0089549E" w:rsidRPr="0089549E">
        <w:rPr>
          <w:rFonts w:ascii="Book Antiqua" w:hAnsi="Book Antiqua"/>
          <w:strike/>
          <w:sz w:val="19"/>
          <w:szCs w:val="19"/>
          <w:highlight w:val="red"/>
        </w:rPr>
        <w:t>O valor mensal da pensão por morte concedida antes da Lei nº 9.032, de 28 de abril de 1995, deve ser revisado de acordo com a nova redação dada ao art. 75 da Lei nº 8.213, de 24 de julho de 1991</w:t>
      </w:r>
      <w:r w:rsidR="0089549E" w:rsidRPr="00A61297">
        <w:rPr>
          <w:rFonts w:ascii="Book Antiqua" w:hAnsi="Book Antiqua"/>
          <w:sz w:val="19"/>
          <w:szCs w:val="19"/>
        </w:rPr>
        <w:t>.</w:t>
      </w:r>
      <w:r w:rsidR="0089549E">
        <w:rPr>
          <w:rFonts w:ascii="Book Antiqua" w:hAnsi="Book Antiqua"/>
          <w:sz w:val="19"/>
          <w:szCs w:val="19"/>
        </w:rPr>
        <w:t xml:space="preserve"> (</w:t>
      </w:r>
      <w:r w:rsidRPr="00A61297">
        <w:rPr>
          <w:rFonts w:ascii="Book Antiqua" w:hAnsi="Book Antiqua"/>
          <w:sz w:val="19"/>
          <w:szCs w:val="19"/>
        </w:rPr>
        <w:t>CANCELADA EM:26/03/2007</w:t>
      </w:r>
      <w:r w:rsidR="0089549E">
        <w:rPr>
          <w:rFonts w:ascii="Book Antiqua" w:hAnsi="Book Antiqua"/>
          <w:sz w:val="19"/>
          <w:szCs w:val="19"/>
        </w:rPr>
        <w:t>)</w:t>
      </w:r>
    </w:p>
    <w:p w14:paraId="735DD270"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3B8894FA" w14:textId="38D1E52A" w:rsidR="00A61297" w:rsidRPr="00E56456" w:rsidRDefault="00A61297" w:rsidP="00A61297">
      <w:pPr>
        <w:spacing w:before="100" w:beforeAutospacing="1" w:after="100" w:afterAutospacing="1" w:line="240" w:lineRule="auto"/>
        <w:jc w:val="both"/>
        <w:rPr>
          <w:rFonts w:ascii="Book Antiqua" w:hAnsi="Book Antiqua"/>
          <w:sz w:val="16"/>
          <w:szCs w:val="16"/>
        </w:rPr>
      </w:pPr>
      <w:r w:rsidRPr="00B42829">
        <w:rPr>
          <w:rFonts w:ascii="Book Antiqua" w:hAnsi="Book Antiqua"/>
          <w:b/>
          <w:bCs/>
          <w:sz w:val="19"/>
          <w:szCs w:val="19"/>
          <w:highlight w:val="magenta"/>
        </w:rPr>
        <w:t>SÚMULA 14</w:t>
      </w:r>
      <w:r w:rsidR="0089549E">
        <w:rPr>
          <w:rFonts w:ascii="Book Antiqua" w:hAnsi="Book Antiqua"/>
          <w:sz w:val="19"/>
          <w:szCs w:val="19"/>
        </w:rPr>
        <w:t xml:space="preserve">: </w:t>
      </w:r>
      <w:r w:rsidRPr="005F6C3B">
        <w:rPr>
          <w:rFonts w:ascii="Book Antiqua" w:hAnsi="Book Antiqua"/>
          <w:b/>
          <w:bCs/>
          <w:sz w:val="19"/>
          <w:szCs w:val="19"/>
        </w:rPr>
        <w:t>Para a concessão de aposentadoria rural por idade, não se exige que o início de prova material corresponda a todo o período equivalente à carência do benefício</w:t>
      </w:r>
      <w:r w:rsidRPr="00AE3FE4">
        <w:rPr>
          <w:rFonts w:ascii="Book Antiqua" w:hAnsi="Book Antiqua"/>
          <w:sz w:val="16"/>
          <w:szCs w:val="16"/>
        </w:rPr>
        <w:t>.</w:t>
      </w:r>
      <w:r w:rsidR="00B42829" w:rsidRPr="00AE3FE4">
        <w:rPr>
          <w:rFonts w:ascii="Book Antiqua" w:hAnsi="Book Antiqua"/>
          <w:sz w:val="16"/>
          <w:szCs w:val="16"/>
        </w:rPr>
        <w:t xml:space="preserve"> </w:t>
      </w:r>
      <w:r w:rsidR="00B42829" w:rsidRPr="00AE3FE4">
        <w:rPr>
          <w:rFonts w:ascii="Book Antiqua" w:hAnsi="Book Antiqua"/>
          <w:b/>
          <w:bCs/>
          <w:color w:val="FF0000"/>
          <w:sz w:val="16"/>
          <w:szCs w:val="16"/>
          <w:u w:val="single"/>
        </w:rPr>
        <w:t>(TRF1-2013)</w:t>
      </w:r>
      <w:r w:rsidR="00E56456">
        <w:rPr>
          <w:rFonts w:ascii="Book Antiqua" w:hAnsi="Book Antiqua"/>
          <w:b/>
          <w:bCs/>
          <w:color w:val="FF0000"/>
          <w:sz w:val="16"/>
          <w:szCs w:val="16"/>
        </w:rPr>
        <w:t xml:space="preserve"> </w:t>
      </w:r>
      <w:r w:rsidR="00E56456">
        <w:rPr>
          <w:rFonts w:ascii="Book Antiqua" w:hAnsi="Book Antiqua"/>
          <w:b/>
          <w:color w:val="FF0000"/>
          <w:sz w:val="16"/>
          <w:szCs w:val="16"/>
          <w:u w:val="single"/>
        </w:rPr>
        <w:t>(TRT1-2013)</w:t>
      </w:r>
    </w:p>
    <w:p w14:paraId="215B9D0F"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43AB1C98" w14:textId="08FABCB5"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13</w:t>
      </w:r>
      <w:r w:rsidR="0089549E">
        <w:rPr>
          <w:rFonts w:ascii="Book Antiqua" w:hAnsi="Book Antiqua"/>
          <w:sz w:val="19"/>
          <w:szCs w:val="19"/>
        </w:rPr>
        <w:t xml:space="preserve">: </w:t>
      </w:r>
      <w:r w:rsidRPr="00A61297">
        <w:rPr>
          <w:rFonts w:ascii="Book Antiqua" w:hAnsi="Book Antiqua"/>
          <w:sz w:val="19"/>
          <w:szCs w:val="19"/>
        </w:rPr>
        <w:t xml:space="preserve">O reajuste concedido pelas Leis </w:t>
      </w:r>
      <w:proofErr w:type="spellStart"/>
      <w:r w:rsidRPr="00A61297">
        <w:rPr>
          <w:rFonts w:ascii="Book Antiqua" w:hAnsi="Book Antiqua"/>
          <w:sz w:val="19"/>
          <w:szCs w:val="19"/>
        </w:rPr>
        <w:t>nºs</w:t>
      </w:r>
      <w:proofErr w:type="spellEnd"/>
      <w:r w:rsidRPr="00A61297">
        <w:rPr>
          <w:rFonts w:ascii="Book Antiqua" w:hAnsi="Book Antiqua"/>
          <w:sz w:val="19"/>
          <w:szCs w:val="19"/>
        </w:rPr>
        <w:t xml:space="preserve"> 8.622/93 e 8.627/93 (28,86%) constituiu revisão geral dos vencimentos e, por isso, é devido também aos militares que não o receberam em sua integralidade, compensado o índice então concedido, sendo limite temporal desse reajuste o advento da MP nº 2.131 de 28/12/2000.</w:t>
      </w:r>
    </w:p>
    <w:p w14:paraId="16262B4C"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22D802B4" w14:textId="440BFD46"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12</w:t>
      </w:r>
      <w:r w:rsidR="0089549E">
        <w:rPr>
          <w:rFonts w:ascii="Book Antiqua" w:hAnsi="Book Antiqua"/>
          <w:sz w:val="19"/>
          <w:szCs w:val="19"/>
        </w:rPr>
        <w:t xml:space="preserve">: </w:t>
      </w:r>
      <w:r w:rsidRPr="00A61297">
        <w:rPr>
          <w:rFonts w:ascii="Book Antiqua" w:hAnsi="Book Antiqua"/>
          <w:sz w:val="19"/>
          <w:szCs w:val="19"/>
        </w:rPr>
        <w:t>Os juros moratórios são devidos pelo gestor do FGTS e incidem a partir da citação nas ações em que se reclamam diferenças de correção monetária, tenha havido ou não levantamento do saldo, parcial ou integralmente.</w:t>
      </w:r>
    </w:p>
    <w:p w14:paraId="1B004691"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454CEC55" w14:textId="72DE5A62" w:rsidR="00A61297" w:rsidRDefault="00A61297" w:rsidP="00A61297">
      <w:pPr>
        <w:spacing w:before="100" w:beforeAutospacing="1" w:after="100" w:afterAutospacing="1" w:line="240" w:lineRule="auto"/>
        <w:jc w:val="both"/>
        <w:rPr>
          <w:rFonts w:ascii="Book Antiqua" w:hAnsi="Book Antiqua"/>
          <w:sz w:val="19"/>
          <w:szCs w:val="19"/>
        </w:rPr>
      </w:pPr>
      <w:r w:rsidRPr="0089549E">
        <w:rPr>
          <w:rFonts w:ascii="Book Antiqua" w:hAnsi="Book Antiqua"/>
          <w:strike/>
          <w:sz w:val="19"/>
          <w:szCs w:val="19"/>
          <w:highlight w:val="red"/>
        </w:rPr>
        <w:t>SÚMULA 11</w:t>
      </w:r>
      <w:r w:rsidR="0089549E" w:rsidRPr="0089549E">
        <w:rPr>
          <w:rFonts w:ascii="Book Antiqua" w:hAnsi="Book Antiqua"/>
          <w:strike/>
          <w:sz w:val="19"/>
          <w:szCs w:val="19"/>
        </w:rPr>
        <w:t xml:space="preserve">: </w:t>
      </w:r>
      <w:r w:rsidR="0089549E" w:rsidRPr="0089549E">
        <w:rPr>
          <w:rFonts w:ascii="Book Antiqua" w:hAnsi="Book Antiqua"/>
          <w:strike/>
          <w:sz w:val="19"/>
          <w:szCs w:val="19"/>
          <w:highlight w:val="red"/>
        </w:rPr>
        <w:t>A renda mensal, per capita, familiar, superior a ¼ (um quarto) do salário mínimo não impede a concessão do benefício assistencial previsto no art. 20, § 3º da Lei nº. 8.742 de 1993, desde que comprovada, por outros meios, a miserabilidade do postulante</w:t>
      </w:r>
      <w:r w:rsidR="0089549E" w:rsidRPr="00A61297">
        <w:rPr>
          <w:rFonts w:ascii="Book Antiqua" w:hAnsi="Book Antiqua"/>
          <w:sz w:val="19"/>
          <w:szCs w:val="19"/>
        </w:rPr>
        <w:t>.</w:t>
      </w:r>
      <w:r w:rsidR="0089549E">
        <w:rPr>
          <w:rFonts w:ascii="Book Antiqua" w:hAnsi="Book Antiqua"/>
          <w:sz w:val="19"/>
          <w:szCs w:val="19"/>
        </w:rPr>
        <w:t xml:space="preserve"> </w:t>
      </w:r>
      <w:r w:rsidRPr="00A61297">
        <w:rPr>
          <w:rFonts w:ascii="Book Antiqua" w:hAnsi="Book Antiqua"/>
          <w:sz w:val="19"/>
          <w:szCs w:val="19"/>
        </w:rPr>
        <w:t>CANCELADA EM:24/04/2006</w:t>
      </w:r>
      <w:r w:rsidR="0089549E">
        <w:rPr>
          <w:rFonts w:ascii="Book Antiqua" w:hAnsi="Book Antiqua"/>
          <w:sz w:val="19"/>
          <w:szCs w:val="19"/>
        </w:rPr>
        <w:t>.</w:t>
      </w:r>
    </w:p>
    <w:p w14:paraId="573E67B9"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4E60BC7C" w14:textId="158C1236" w:rsidR="00A61297" w:rsidRPr="00AE3FE4" w:rsidRDefault="00A61297" w:rsidP="00A61297">
      <w:pPr>
        <w:spacing w:before="100" w:beforeAutospacing="1" w:after="100" w:afterAutospacing="1" w:line="240" w:lineRule="auto"/>
        <w:jc w:val="both"/>
        <w:rPr>
          <w:rFonts w:ascii="Book Antiqua" w:hAnsi="Book Antiqua"/>
          <w:b/>
          <w:bCs/>
          <w:sz w:val="16"/>
          <w:szCs w:val="16"/>
        </w:rPr>
      </w:pPr>
      <w:r w:rsidRPr="0043683A">
        <w:rPr>
          <w:rFonts w:ascii="Book Antiqua" w:hAnsi="Book Antiqua"/>
          <w:b/>
          <w:bCs/>
          <w:sz w:val="19"/>
          <w:szCs w:val="19"/>
          <w:highlight w:val="magenta"/>
        </w:rPr>
        <w:t>SÚMULA 10</w:t>
      </w:r>
      <w:r w:rsidR="0089549E">
        <w:rPr>
          <w:rFonts w:ascii="Book Antiqua" w:hAnsi="Book Antiqua"/>
          <w:sz w:val="19"/>
          <w:szCs w:val="19"/>
        </w:rPr>
        <w:t xml:space="preserve">: </w:t>
      </w:r>
      <w:r w:rsidRPr="005F6C3B">
        <w:rPr>
          <w:rFonts w:ascii="Book Antiqua" w:hAnsi="Book Antiqua"/>
          <w:b/>
          <w:bCs/>
          <w:sz w:val="19"/>
          <w:szCs w:val="19"/>
        </w:rPr>
        <w:t>O tempo de serviço rural anterior à vigência da Lei nº. 8.213/91 pode ser utilizado para fins de contagem recíproca, assim entendida aquela que soma tempo de atividade privada, rural ou urbana, ao de serviço público estatutário, desde que sejam recolhidas as respectivas contribuições previdenciárias</w:t>
      </w:r>
      <w:r w:rsidRPr="00AE3FE4">
        <w:rPr>
          <w:rFonts w:ascii="Book Antiqua" w:hAnsi="Book Antiqua"/>
          <w:b/>
          <w:bCs/>
          <w:sz w:val="16"/>
          <w:szCs w:val="16"/>
        </w:rPr>
        <w:t>.</w:t>
      </w:r>
      <w:r w:rsidR="0043683A" w:rsidRPr="00AE3FE4">
        <w:rPr>
          <w:rFonts w:ascii="Book Antiqua" w:hAnsi="Book Antiqua"/>
          <w:b/>
          <w:bCs/>
          <w:sz w:val="16"/>
          <w:szCs w:val="16"/>
        </w:rPr>
        <w:t xml:space="preserve"> </w:t>
      </w:r>
      <w:r w:rsidR="0043683A" w:rsidRPr="00AE3FE4">
        <w:rPr>
          <w:rFonts w:ascii="Book Antiqua" w:eastAsia="Times New Roman" w:hAnsi="Book Antiqua" w:cs="Times New Roman"/>
          <w:b/>
          <w:bCs/>
          <w:color w:val="FF0000"/>
          <w:sz w:val="16"/>
          <w:szCs w:val="16"/>
          <w:u w:val="single"/>
          <w:lang w:eastAsia="pt-BR"/>
        </w:rPr>
        <w:t>(DPEAC-2012)</w:t>
      </w:r>
      <w:r w:rsidR="00AA22A6" w:rsidRPr="00AE3FE4">
        <w:rPr>
          <w:rFonts w:ascii="Book Antiqua" w:eastAsia="Times New Roman" w:hAnsi="Book Antiqua" w:cs="Times New Roman"/>
          <w:b/>
          <w:bCs/>
          <w:color w:val="FF0000"/>
          <w:sz w:val="16"/>
          <w:szCs w:val="16"/>
          <w:lang w:eastAsia="pt-BR"/>
        </w:rPr>
        <w:t xml:space="preserve"> </w:t>
      </w:r>
      <w:r w:rsidR="00AA22A6" w:rsidRPr="00AE3FE4">
        <w:rPr>
          <w:rFonts w:ascii="Book Antiqua" w:hAnsi="Book Antiqua"/>
          <w:b/>
          <w:bCs/>
          <w:color w:val="FF0000"/>
          <w:sz w:val="16"/>
          <w:szCs w:val="16"/>
          <w:u w:val="single"/>
        </w:rPr>
        <w:t>(TRF5-2017)</w:t>
      </w:r>
    </w:p>
    <w:p w14:paraId="1EC41D11" w14:textId="77777777" w:rsidR="0089549E" w:rsidRPr="005F6C3B" w:rsidRDefault="0089549E" w:rsidP="00A61297">
      <w:pPr>
        <w:spacing w:before="100" w:beforeAutospacing="1" w:after="100" w:afterAutospacing="1" w:line="240" w:lineRule="auto"/>
        <w:jc w:val="both"/>
        <w:rPr>
          <w:rFonts w:ascii="Book Antiqua" w:hAnsi="Book Antiqua"/>
          <w:b/>
          <w:bCs/>
          <w:sz w:val="19"/>
          <w:szCs w:val="19"/>
        </w:rPr>
      </w:pPr>
    </w:p>
    <w:p w14:paraId="6F45C2B2" w14:textId="2EBF595E" w:rsidR="00A61297" w:rsidRPr="00AE3FE4" w:rsidRDefault="00A61297" w:rsidP="00A61297">
      <w:pPr>
        <w:spacing w:before="100" w:beforeAutospacing="1" w:after="100" w:afterAutospacing="1" w:line="240" w:lineRule="auto"/>
        <w:jc w:val="both"/>
        <w:rPr>
          <w:rFonts w:ascii="Book Antiqua" w:hAnsi="Book Antiqua"/>
          <w:b/>
          <w:bCs/>
          <w:sz w:val="18"/>
          <w:szCs w:val="18"/>
        </w:rPr>
      </w:pPr>
      <w:r w:rsidRPr="005F6C3B">
        <w:rPr>
          <w:rFonts w:ascii="Book Antiqua" w:hAnsi="Book Antiqua"/>
          <w:b/>
          <w:bCs/>
          <w:sz w:val="19"/>
          <w:szCs w:val="19"/>
          <w:highlight w:val="magenta"/>
        </w:rPr>
        <w:t>SÚMULA 9</w:t>
      </w:r>
      <w:r w:rsidR="0089549E" w:rsidRPr="005F6C3B">
        <w:rPr>
          <w:rFonts w:ascii="Book Antiqua" w:hAnsi="Book Antiqua"/>
          <w:b/>
          <w:bCs/>
          <w:sz w:val="19"/>
          <w:szCs w:val="19"/>
        </w:rPr>
        <w:t xml:space="preserve">: </w:t>
      </w:r>
      <w:r w:rsidRPr="005F6C3B">
        <w:rPr>
          <w:rFonts w:ascii="Book Antiqua" w:hAnsi="Book Antiqua"/>
          <w:b/>
          <w:bCs/>
          <w:sz w:val="19"/>
          <w:szCs w:val="19"/>
        </w:rPr>
        <w:t>O uso de Equipamento de Proteção Individual (EPI), ainda que elimine a insalubridade, no caso de exposição a ruído, não descaracteriza o tempo de serviço especial prestado</w:t>
      </w:r>
      <w:r w:rsidRPr="00AE3FE4">
        <w:rPr>
          <w:rFonts w:ascii="Book Antiqua" w:hAnsi="Book Antiqua"/>
          <w:b/>
          <w:bCs/>
          <w:sz w:val="18"/>
          <w:szCs w:val="18"/>
        </w:rPr>
        <w:t>.</w:t>
      </w:r>
      <w:r w:rsidR="00C03D34" w:rsidRPr="00AE3FE4">
        <w:rPr>
          <w:rFonts w:ascii="Book Antiqua" w:hAnsi="Book Antiqua"/>
          <w:b/>
          <w:bCs/>
          <w:sz w:val="18"/>
          <w:szCs w:val="18"/>
        </w:rPr>
        <w:t xml:space="preserve"> </w:t>
      </w:r>
      <w:r w:rsidR="00C03D34" w:rsidRPr="00AE3FE4">
        <w:rPr>
          <w:rFonts w:ascii="Book Antiqua" w:hAnsi="Book Antiqua"/>
          <w:b/>
          <w:bCs/>
          <w:color w:val="FF0000"/>
          <w:sz w:val="16"/>
          <w:szCs w:val="16"/>
          <w:u w:val="single"/>
        </w:rPr>
        <w:t>(AGU-2010)</w:t>
      </w:r>
    </w:p>
    <w:p w14:paraId="1790DA23"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3E773759" w14:textId="44104B4C"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8</w:t>
      </w:r>
      <w:r w:rsidR="0089549E">
        <w:rPr>
          <w:rFonts w:ascii="Book Antiqua" w:hAnsi="Book Antiqua"/>
          <w:sz w:val="19"/>
          <w:szCs w:val="19"/>
        </w:rPr>
        <w:t xml:space="preserve">: </w:t>
      </w:r>
      <w:r w:rsidRPr="00A61297">
        <w:rPr>
          <w:rFonts w:ascii="Book Antiqua" w:hAnsi="Book Antiqua"/>
          <w:sz w:val="19"/>
          <w:szCs w:val="19"/>
        </w:rPr>
        <w:t>Os benefícios de prestação continuada, no regime geral da Previdência Social, não serão reajustados com base no IGP-DI nos anos de 1997, 1999, 2000 e 2001.</w:t>
      </w:r>
    </w:p>
    <w:p w14:paraId="4025697E"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55B7B22B" w14:textId="187B0F8D"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7</w:t>
      </w:r>
      <w:r w:rsidR="0089549E">
        <w:rPr>
          <w:rFonts w:ascii="Book Antiqua" w:hAnsi="Book Antiqua"/>
          <w:sz w:val="19"/>
          <w:szCs w:val="19"/>
        </w:rPr>
        <w:t xml:space="preserve">: </w:t>
      </w:r>
      <w:r w:rsidRPr="00A61297">
        <w:rPr>
          <w:rFonts w:ascii="Book Antiqua" w:hAnsi="Book Antiqua"/>
          <w:sz w:val="19"/>
          <w:szCs w:val="19"/>
        </w:rPr>
        <w:t>Descabe incidente de uniformização versando sobre honorários advocatícios por se tratar de questão de direito processual.</w:t>
      </w:r>
    </w:p>
    <w:p w14:paraId="7D5A83D3"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2B2812D2" w14:textId="03916004" w:rsidR="00A61297"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lastRenderedPageBreak/>
        <w:t>SÚMULA 6</w:t>
      </w:r>
      <w:r w:rsidR="0089549E">
        <w:rPr>
          <w:rFonts w:ascii="Book Antiqua" w:hAnsi="Book Antiqua"/>
          <w:sz w:val="19"/>
          <w:szCs w:val="19"/>
        </w:rPr>
        <w:t xml:space="preserve">: </w:t>
      </w:r>
      <w:r w:rsidRPr="00A61297">
        <w:rPr>
          <w:rFonts w:ascii="Book Antiqua" w:hAnsi="Book Antiqua"/>
          <w:sz w:val="19"/>
          <w:szCs w:val="19"/>
        </w:rPr>
        <w:t>A certidão de casamento ou outro documento idôneo que evidencie a condição de trabalhador rural do cônjuge constitui início razoável de prova material da atividade rurícola.</w:t>
      </w:r>
    </w:p>
    <w:p w14:paraId="27B94A80" w14:textId="77777777" w:rsidR="0089549E" w:rsidRDefault="0089549E" w:rsidP="00A61297">
      <w:pPr>
        <w:spacing w:before="100" w:beforeAutospacing="1" w:after="100" w:afterAutospacing="1" w:line="240" w:lineRule="auto"/>
        <w:jc w:val="both"/>
        <w:rPr>
          <w:rFonts w:ascii="Book Antiqua" w:hAnsi="Book Antiqua"/>
          <w:sz w:val="19"/>
          <w:szCs w:val="19"/>
        </w:rPr>
      </w:pPr>
    </w:p>
    <w:p w14:paraId="18529461" w14:textId="102FE600" w:rsidR="00A61297" w:rsidRPr="00AE3FE4" w:rsidRDefault="00A61297" w:rsidP="00A61297">
      <w:pPr>
        <w:spacing w:before="100" w:beforeAutospacing="1" w:after="100" w:afterAutospacing="1" w:line="240" w:lineRule="auto"/>
        <w:jc w:val="both"/>
        <w:rPr>
          <w:rFonts w:ascii="Book Antiqua" w:hAnsi="Book Antiqua"/>
          <w:b/>
          <w:bCs/>
          <w:sz w:val="16"/>
          <w:szCs w:val="16"/>
          <w:u w:val="single"/>
        </w:rPr>
      </w:pPr>
      <w:r w:rsidRPr="00AA22A6">
        <w:rPr>
          <w:rFonts w:ascii="Book Antiqua" w:hAnsi="Book Antiqua"/>
          <w:b/>
          <w:bCs/>
          <w:sz w:val="19"/>
          <w:szCs w:val="19"/>
          <w:highlight w:val="magenta"/>
        </w:rPr>
        <w:t>SÚMULA 5</w:t>
      </w:r>
      <w:r w:rsidR="0089549E">
        <w:rPr>
          <w:rFonts w:ascii="Book Antiqua" w:hAnsi="Book Antiqua"/>
          <w:sz w:val="19"/>
          <w:szCs w:val="19"/>
        </w:rPr>
        <w:t xml:space="preserve">: </w:t>
      </w:r>
      <w:r w:rsidRPr="005F6C3B">
        <w:rPr>
          <w:rFonts w:ascii="Book Antiqua" w:hAnsi="Book Antiqua"/>
          <w:b/>
          <w:bCs/>
          <w:sz w:val="19"/>
          <w:szCs w:val="19"/>
        </w:rPr>
        <w:t>A prestação de serviço rural por menor de 12 a 14 anos, até o advento da Lei 8.213, de 24 de julho de 1991, devidamente comprovada, pode ser reconhecida para fins previdenciários</w:t>
      </w:r>
      <w:r w:rsidRPr="00AE3FE4">
        <w:rPr>
          <w:rFonts w:ascii="Book Antiqua" w:hAnsi="Book Antiqua"/>
          <w:b/>
          <w:bCs/>
          <w:sz w:val="16"/>
          <w:szCs w:val="16"/>
        </w:rPr>
        <w:t>.</w:t>
      </w:r>
      <w:r w:rsidR="00AA22A6" w:rsidRPr="00AE3FE4">
        <w:rPr>
          <w:rFonts w:ascii="Book Antiqua" w:hAnsi="Book Antiqua"/>
          <w:b/>
          <w:bCs/>
          <w:sz w:val="16"/>
          <w:szCs w:val="16"/>
        </w:rPr>
        <w:t xml:space="preserve"> </w:t>
      </w:r>
      <w:r w:rsidR="00AA22A6" w:rsidRPr="00AE3FE4">
        <w:rPr>
          <w:rFonts w:ascii="Book Antiqua" w:hAnsi="Book Antiqua"/>
          <w:b/>
          <w:bCs/>
          <w:color w:val="FF0000"/>
          <w:sz w:val="16"/>
          <w:szCs w:val="16"/>
          <w:u w:val="single"/>
        </w:rPr>
        <w:t>(TRF5-2017)</w:t>
      </w:r>
    </w:p>
    <w:p w14:paraId="2051358F"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34A8C518" w14:textId="1E154396"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4</w:t>
      </w:r>
      <w:r w:rsidR="0089549E">
        <w:rPr>
          <w:rFonts w:ascii="Book Antiqua" w:hAnsi="Book Antiqua"/>
          <w:sz w:val="19"/>
          <w:szCs w:val="19"/>
        </w:rPr>
        <w:t xml:space="preserve">: </w:t>
      </w:r>
      <w:r w:rsidRPr="00A61297">
        <w:rPr>
          <w:rFonts w:ascii="Book Antiqua" w:hAnsi="Book Antiqua"/>
          <w:sz w:val="19"/>
          <w:szCs w:val="19"/>
        </w:rPr>
        <w:t xml:space="preserve">Não há direito adquirido à condição de dependente de pessoa designada, quando o falecimento do segurado </w:t>
      </w:r>
      <w:proofErr w:type="gramStart"/>
      <w:r w:rsidRPr="00A61297">
        <w:rPr>
          <w:rFonts w:ascii="Book Antiqua" w:hAnsi="Book Antiqua"/>
          <w:sz w:val="19"/>
          <w:szCs w:val="19"/>
        </w:rPr>
        <w:t>deu-se</w:t>
      </w:r>
      <w:proofErr w:type="gramEnd"/>
      <w:r w:rsidRPr="00A61297">
        <w:rPr>
          <w:rFonts w:ascii="Book Antiqua" w:hAnsi="Book Antiqua"/>
          <w:sz w:val="19"/>
          <w:szCs w:val="19"/>
        </w:rPr>
        <w:t xml:space="preserve"> após o advento da Lei 9.032/95.</w:t>
      </w:r>
    </w:p>
    <w:p w14:paraId="30CE80B3"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65CCF600" w14:textId="523C4E90" w:rsidR="00A61297" w:rsidRDefault="00A61297" w:rsidP="00A61297">
      <w:pPr>
        <w:spacing w:before="100" w:beforeAutospacing="1" w:after="100" w:afterAutospacing="1" w:line="240" w:lineRule="auto"/>
        <w:jc w:val="both"/>
        <w:rPr>
          <w:rFonts w:ascii="Book Antiqua" w:hAnsi="Book Antiqua"/>
          <w:sz w:val="19"/>
          <w:szCs w:val="19"/>
        </w:rPr>
      </w:pPr>
      <w:r w:rsidRPr="0089549E">
        <w:rPr>
          <w:rFonts w:ascii="Book Antiqua" w:hAnsi="Book Antiqua"/>
          <w:strike/>
          <w:sz w:val="19"/>
          <w:szCs w:val="19"/>
          <w:highlight w:val="red"/>
        </w:rPr>
        <w:t>SÚMULA 3</w:t>
      </w:r>
      <w:r w:rsidR="0089549E" w:rsidRPr="0089549E">
        <w:rPr>
          <w:rFonts w:ascii="Book Antiqua" w:hAnsi="Book Antiqua"/>
          <w:strike/>
          <w:sz w:val="19"/>
          <w:szCs w:val="19"/>
        </w:rPr>
        <w:t xml:space="preserve">: </w:t>
      </w:r>
      <w:r w:rsidR="0089549E" w:rsidRPr="0089549E">
        <w:rPr>
          <w:rFonts w:ascii="Book Antiqua" w:hAnsi="Book Antiqua"/>
          <w:strike/>
          <w:sz w:val="19"/>
          <w:szCs w:val="19"/>
          <w:highlight w:val="red"/>
        </w:rPr>
        <w:t>Os benefícios de prestação continuada, no regime geral da Previdência Social, devem ser reajustados com base no IGP-DI nos anos de 1997, 1999, 2000 e 2001</w:t>
      </w:r>
      <w:r w:rsidR="0089549E" w:rsidRPr="00A61297">
        <w:rPr>
          <w:rFonts w:ascii="Book Antiqua" w:hAnsi="Book Antiqua"/>
          <w:sz w:val="19"/>
          <w:szCs w:val="19"/>
        </w:rPr>
        <w:t>.</w:t>
      </w:r>
      <w:r w:rsidR="0089549E">
        <w:rPr>
          <w:rFonts w:ascii="Book Antiqua" w:hAnsi="Book Antiqua"/>
          <w:sz w:val="19"/>
          <w:szCs w:val="19"/>
        </w:rPr>
        <w:t xml:space="preserve"> (</w:t>
      </w:r>
      <w:r w:rsidRPr="00A61297">
        <w:rPr>
          <w:rFonts w:ascii="Book Antiqua" w:hAnsi="Book Antiqua"/>
          <w:sz w:val="19"/>
          <w:szCs w:val="19"/>
        </w:rPr>
        <w:t>CANCELADA EM:30/09/2003</w:t>
      </w:r>
      <w:r w:rsidR="0089549E">
        <w:rPr>
          <w:rFonts w:ascii="Book Antiqua" w:hAnsi="Book Antiqua"/>
          <w:sz w:val="19"/>
          <w:szCs w:val="19"/>
        </w:rPr>
        <w:t>)</w:t>
      </w:r>
    </w:p>
    <w:p w14:paraId="6E9ED8E7"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67ABD332" w14:textId="2B8D96A4" w:rsid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2</w:t>
      </w:r>
      <w:r w:rsidR="0089549E">
        <w:rPr>
          <w:rFonts w:ascii="Book Antiqua" w:hAnsi="Book Antiqua"/>
          <w:sz w:val="19"/>
          <w:szCs w:val="19"/>
        </w:rPr>
        <w:t xml:space="preserve">: </w:t>
      </w:r>
      <w:r w:rsidRPr="00A61297">
        <w:rPr>
          <w:rFonts w:ascii="Book Antiqua" w:hAnsi="Book Antiqua"/>
          <w:sz w:val="19"/>
          <w:szCs w:val="19"/>
        </w:rPr>
        <w:t>Os benefícios previdenciários, em maio de 1996, deverão ser reajustados na forma da Medida Provisória 1.415, de 29 de abril de 1996, convertida na Lei 9.711, de 20 de novembro de 1998.</w:t>
      </w:r>
    </w:p>
    <w:p w14:paraId="71D8E665" w14:textId="77777777" w:rsidR="0089549E" w:rsidRPr="00A61297" w:rsidRDefault="0089549E" w:rsidP="00A61297">
      <w:pPr>
        <w:spacing w:before="100" w:beforeAutospacing="1" w:after="100" w:afterAutospacing="1" w:line="240" w:lineRule="auto"/>
        <w:jc w:val="both"/>
        <w:rPr>
          <w:rFonts w:ascii="Book Antiqua" w:hAnsi="Book Antiqua"/>
          <w:sz w:val="19"/>
          <w:szCs w:val="19"/>
        </w:rPr>
      </w:pPr>
    </w:p>
    <w:p w14:paraId="4513F290" w14:textId="37904EFA" w:rsidR="004D1786" w:rsidRPr="00A61297" w:rsidRDefault="00A61297" w:rsidP="00A61297">
      <w:pPr>
        <w:spacing w:before="100" w:beforeAutospacing="1" w:after="100" w:afterAutospacing="1" w:line="240" w:lineRule="auto"/>
        <w:jc w:val="both"/>
        <w:rPr>
          <w:rFonts w:ascii="Book Antiqua" w:hAnsi="Book Antiqua"/>
          <w:sz w:val="19"/>
          <w:szCs w:val="19"/>
        </w:rPr>
      </w:pPr>
      <w:r w:rsidRPr="00A61297">
        <w:rPr>
          <w:rFonts w:ascii="Book Antiqua" w:hAnsi="Book Antiqua"/>
          <w:sz w:val="19"/>
          <w:szCs w:val="19"/>
        </w:rPr>
        <w:t>SÚMULA 1</w:t>
      </w:r>
      <w:r w:rsidR="0089549E">
        <w:rPr>
          <w:rFonts w:ascii="Book Antiqua" w:hAnsi="Book Antiqua"/>
          <w:sz w:val="19"/>
          <w:szCs w:val="19"/>
        </w:rPr>
        <w:t xml:space="preserve">: </w:t>
      </w:r>
      <w:r w:rsidRPr="00A61297">
        <w:rPr>
          <w:rFonts w:ascii="Book Antiqua" w:hAnsi="Book Antiqua"/>
          <w:sz w:val="19"/>
          <w:szCs w:val="19"/>
        </w:rPr>
        <w:t>A conversão dos benefícios previdenciários em URV, em março/94, obedece às disposições do art. 20, incisos I e II da Lei 8.880/94 (MP nº 434/94).</w:t>
      </w:r>
    </w:p>
    <w:sectPr w:rsidR="004D1786" w:rsidRPr="00A61297" w:rsidSect="000262CA">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867F1"/>
    <w:multiLevelType w:val="hybridMultilevel"/>
    <w:tmpl w:val="BAEC854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9943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786"/>
    <w:rsid w:val="00017EBF"/>
    <w:rsid w:val="000262CA"/>
    <w:rsid w:val="000666A3"/>
    <w:rsid w:val="00111D2D"/>
    <w:rsid w:val="0017722C"/>
    <w:rsid w:val="001936F2"/>
    <w:rsid w:val="002078B7"/>
    <w:rsid w:val="00251A7E"/>
    <w:rsid w:val="002F7BFA"/>
    <w:rsid w:val="00306A7C"/>
    <w:rsid w:val="003818C9"/>
    <w:rsid w:val="003A1717"/>
    <w:rsid w:val="00424CAE"/>
    <w:rsid w:val="0043683A"/>
    <w:rsid w:val="00455ADF"/>
    <w:rsid w:val="00472133"/>
    <w:rsid w:val="00472A83"/>
    <w:rsid w:val="004812FA"/>
    <w:rsid w:val="004D1786"/>
    <w:rsid w:val="0056063B"/>
    <w:rsid w:val="00587EAA"/>
    <w:rsid w:val="005F4C8A"/>
    <w:rsid w:val="005F6C3B"/>
    <w:rsid w:val="00611722"/>
    <w:rsid w:val="006178A9"/>
    <w:rsid w:val="00651D07"/>
    <w:rsid w:val="00690DD6"/>
    <w:rsid w:val="006E50BD"/>
    <w:rsid w:val="007468BD"/>
    <w:rsid w:val="0075218F"/>
    <w:rsid w:val="00841757"/>
    <w:rsid w:val="0089549E"/>
    <w:rsid w:val="008C0851"/>
    <w:rsid w:val="00A61297"/>
    <w:rsid w:val="00AA22A6"/>
    <w:rsid w:val="00AE3FE4"/>
    <w:rsid w:val="00B42829"/>
    <w:rsid w:val="00B51BEE"/>
    <w:rsid w:val="00B52BA8"/>
    <w:rsid w:val="00BD4489"/>
    <w:rsid w:val="00C03D34"/>
    <w:rsid w:val="00C40A83"/>
    <w:rsid w:val="00CB7067"/>
    <w:rsid w:val="00D13189"/>
    <w:rsid w:val="00D2012E"/>
    <w:rsid w:val="00D32DF0"/>
    <w:rsid w:val="00E00309"/>
    <w:rsid w:val="00E032F5"/>
    <w:rsid w:val="00E105DE"/>
    <w:rsid w:val="00E56456"/>
    <w:rsid w:val="00E7196B"/>
    <w:rsid w:val="00EF529C"/>
    <w:rsid w:val="00F5489A"/>
    <w:rsid w:val="00F622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E8942"/>
  <w15:chartTrackingRefBased/>
  <w15:docId w15:val="{118328FF-F6B3-4D2C-A9F9-EE297036D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A61297"/>
    <w:rPr>
      <w:color w:val="0563C1" w:themeColor="hyperlink"/>
      <w:u w:val="single"/>
    </w:rPr>
  </w:style>
  <w:style w:type="character" w:styleId="MenoPendente">
    <w:name w:val="Unresolved Mention"/>
    <w:basedOn w:val="Fontepargpadro"/>
    <w:uiPriority w:val="99"/>
    <w:semiHidden/>
    <w:unhideWhenUsed/>
    <w:rsid w:val="00A61297"/>
    <w:rPr>
      <w:color w:val="605E5C"/>
      <w:shd w:val="clear" w:color="auto" w:fill="E1DFDD"/>
    </w:rPr>
  </w:style>
  <w:style w:type="paragraph" w:styleId="PargrafodaLista">
    <w:name w:val="List Paragraph"/>
    <w:basedOn w:val="Normal"/>
    <w:uiPriority w:val="34"/>
    <w:qFormat/>
    <w:rsid w:val="00A61297"/>
    <w:pPr>
      <w:ind w:left="720"/>
      <w:contextualSpacing/>
    </w:pPr>
  </w:style>
  <w:style w:type="table" w:styleId="Tabelacomgrade">
    <w:name w:val="Table Grid"/>
    <w:basedOn w:val="Tabelanormal"/>
    <w:uiPriority w:val="39"/>
    <w:rsid w:val="00017E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286008">
      <w:bodyDiv w:val="1"/>
      <w:marLeft w:val="0"/>
      <w:marRight w:val="0"/>
      <w:marTop w:val="0"/>
      <w:marBottom w:val="0"/>
      <w:divBdr>
        <w:top w:val="none" w:sz="0" w:space="0" w:color="auto"/>
        <w:left w:val="none" w:sz="0" w:space="0" w:color="auto"/>
        <w:bottom w:val="none" w:sz="0" w:space="0" w:color="auto"/>
        <w:right w:val="none" w:sz="0" w:space="0" w:color="auto"/>
      </w:divBdr>
      <w:divsChild>
        <w:div w:id="86311894">
          <w:marLeft w:val="0"/>
          <w:marRight w:val="225"/>
          <w:marTop w:val="0"/>
          <w:marBottom w:val="0"/>
          <w:divBdr>
            <w:top w:val="none" w:sz="0" w:space="0" w:color="auto"/>
            <w:left w:val="none" w:sz="0" w:space="0" w:color="auto"/>
            <w:bottom w:val="none" w:sz="0" w:space="0" w:color="auto"/>
            <w:right w:val="none" w:sz="0" w:space="0" w:color="auto"/>
          </w:divBdr>
        </w:div>
      </w:divsChild>
    </w:div>
    <w:div w:id="508104797">
      <w:bodyDiv w:val="1"/>
      <w:marLeft w:val="0"/>
      <w:marRight w:val="0"/>
      <w:marTop w:val="0"/>
      <w:marBottom w:val="0"/>
      <w:divBdr>
        <w:top w:val="none" w:sz="0" w:space="0" w:color="auto"/>
        <w:left w:val="none" w:sz="0" w:space="0" w:color="auto"/>
        <w:bottom w:val="none" w:sz="0" w:space="0" w:color="auto"/>
        <w:right w:val="none" w:sz="0" w:space="0" w:color="auto"/>
      </w:divBdr>
      <w:divsChild>
        <w:div w:id="936448301">
          <w:marLeft w:val="0"/>
          <w:marRight w:val="225"/>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3553</Words>
  <Characters>19192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34</cp:revision>
  <dcterms:created xsi:type="dcterms:W3CDTF">2021-02-02T14:41:00Z</dcterms:created>
  <dcterms:modified xsi:type="dcterms:W3CDTF">2025-03-11T17:44:00Z</dcterms:modified>
</cp:coreProperties>
</file>