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5D7D" w14:textId="3CFE6BAE" w:rsidR="007563E1" w:rsidRPr="007563E1" w:rsidRDefault="007563E1" w:rsidP="00C47572">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7563E1">
        <w:rPr>
          <w:rFonts w:ascii="Book Antiqua" w:eastAsia="Times New Roman" w:hAnsi="Book Antiqua" w:cs="Times New Roman"/>
          <w:b/>
          <w:bCs/>
          <w:color w:val="FF0000"/>
          <w:kern w:val="0"/>
          <w:sz w:val="19"/>
          <w:szCs w:val="19"/>
          <w:lang w:eastAsia="pt-BR"/>
          <w14:ligatures w14:val="none"/>
        </w:rPr>
        <w:t>(Atualização em 2</w:t>
      </w:r>
      <w:r w:rsidR="00AC2F86">
        <w:rPr>
          <w:rFonts w:ascii="Book Antiqua" w:eastAsia="Times New Roman" w:hAnsi="Book Antiqua" w:cs="Times New Roman"/>
          <w:b/>
          <w:bCs/>
          <w:color w:val="FF0000"/>
          <w:kern w:val="0"/>
          <w:sz w:val="19"/>
          <w:szCs w:val="19"/>
          <w:lang w:eastAsia="pt-BR"/>
          <w14:ligatures w14:val="none"/>
        </w:rPr>
        <w:t>4</w:t>
      </w:r>
      <w:r w:rsidRPr="007563E1">
        <w:rPr>
          <w:rFonts w:ascii="Book Antiqua" w:eastAsia="Times New Roman" w:hAnsi="Book Antiqua" w:cs="Times New Roman"/>
          <w:b/>
          <w:bCs/>
          <w:color w:val="FF0000"/>
          <w:kern w:val="0"/>
          <w:sz w:val="19"/>
          <w:szCs w:val="19"/>
          <w:lang w:eastAsia="pt-BR"/>
          <w14:ligatures w14:val="none"/>
        </w:rPr>
        <w:t>/04/2023: questões de concurso)</w:t>
      </w:r>
    </w:p>
    <w:p w14:paraId="0870EBDD" w14:textId="46517A1C" w:rsidR="00C47572" w:rsidRPr="00C47572" w:rsidRDefault="00000000" w:rsidP="00C4757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C47572" w:rsidRPr="00C47572">
          <w:rPr>
            <w:rFonts w:ascii="Book Antiqua" w:eastAsia="Times New Roman" w:hAnsi="Book Antiqua" w:cs="Arial"/>
            <w:b/>
            <w:bCs/>
            <w:color w:val="000080"/>
            <w:kern w:val="0"/>
            <w:sz w:val="19"/>
            <w:szCs w:val="19"/>
            <w:lang w:eastAsia="pt-BR"/>
            <w14:ligatures w14:val="none"/>
          </w:rPr>
          <w:t>LEI N</w:t>
        </w:r>
        <w:r w:rsidR="00C47572" w:rsidRPr="00C47572">
          <w:rPr>
            <w:rFonts w:ascii="Book Antiqua" w:eastAsia="Times New Roman" w:hAnsi="Book Antiqua" w:cs="Arial"/>
            <w:b/>
            <w:bCs/>
            <w:color w:val="000080"/>
            <w:kern w:val="0"/>
            <w:sz w:val="19"/>
            <w:szCs w:val="19"/>
            <w:vertAlign w:val="superscript"/>
            <w:lang w:eastAsia="pt-BR"/>
            <w14:ligatures w14:val="none"/>
          </w:rPr>
          <w:t>o</w:t>
        </w:r>
        <w:r w:rsidR="00C47572" w:rsidRPr="00C47572">
          <w:rPr>
            <w:rFonts w:ascii="Book Antiqua" w:eastAsia="Times New Roman" w:hAnsi="Book Antiqua" w:cs="Arial"/>
            <w:b/>
            <w:bCs/>
            <w:color w:val="000080"/>
            <w:kern w:val="0"/>
            <w:sz w:val="19"/>
            <w:szCs w:val="19"/>
            <w:lang w:eastAsia="pt-BR"/>
            <w14:ligatures w14:val="none"/>
          </w:rPr>
          <w:t> 10.169, DE 29 DE DEZEMBRO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47572" w:rsidRPr="00C47572" w14:paraId="39508024" w14:textId="77777777" w:rsidTr="00C47572">
        <w:trPr>
          <w:tblCellSpacing w:w="0" w:type="dxa"/>
        </w:trPr>
        <w:tc>
          <w:tcPr>
            <w:tcW w:w="1333" w:type="pct"/>
            <w:vAlign w:val="center"/>
            <w:hideMark/>
          </w:tcPr>
          <w:p w14:paraId="6F153C4C" w14:textId="588F13EA" w:rsidR="00C47572" w:rsidRPr="00C47572" w:rsidRDefault="00C47572" w:rsidP="00C4757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1CB72699" w14:textId="77777777" w:rsidR="00C47572" w:rsidRPr="00C47572" w:rsidRDefault="00C47572" w:rsidP="00C4757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C47572">
              <w:rPr>
                <w:rFonts w:ascii="Book Antiqua" w:eastAsia="Times New Roman" w:hAnsi="Book Antiqua" w:cs="Arial"/>
                <w:color w:val="800000"/>
                <w:kern w:val="0"/>
                <w:sz w:val="18"/>
                <w:szCs w:val="18"/>
                <w:lang w:eastAsia="pt-BR"/>
                <w14:ligatures w14:val="none"/>
              </w:rPr>
              <w:t>Regula o </w:t>
            </w:r>
            <w:hyperlink r:id="rId5" w:anchor="art236%C2%A72" w:history="1">
              <w:r w:rsidRPr="00C47572">
                <w:rPr>
                  <w:rFonts w:ascii="Book Antiqua" w:eastAsia="Times New Roman" w:hAnsi="Book Antiqua" w:cs="Arial"/>
                  <w:color w:val="800000"/>
                  <w:kern w:val="0"/>
                  <w:sz w:val="18"/>
                  <w:szCs w:val="18"/>
                  <w:u w:val="single"/>
                  <w:lang w:eastAsia="pt-BR"/>
                  <w14:ligatures w14:val="none"/>
                </w:rPr>
                <w:t>§ 2</w:t>
              </w:r>
              <w:r w:rsidRPr="00C47572">
                <w:rPr>
                  <w:rFonts w:ascii="Book Antiqua" w:eastAsia="Times New Roman" w:hAnsi="Book Antiqua" w:cs="Arial"/>
                  <w:color w:val="800000"/>
                  <w:kern w:val="0"/>
                  <w:sz w:val="18"/>
                  <w:szCs w:val="18"/>
                  <w:u w:val="single"/>
                  <w:vertAlign w:val="superscript"/>
                  <w:lang w:eastAsia="pt-BR"/>
                  <w14:ligatures w14:val="none"/>
                </w:rPr>
                <w:t>o</w:t>
              </w:r>
              <w:r w:rsidRPr="00C47572">
                <w:rPr>
                  <w:rFonts w:ascii="Book Antiqua" w:eastAsia="Times New Roman" w:hAnsi="Book Antiqua" w:cs="Arial"/>
                  <w:color w:val="800000"/>
                  <w:kern w:val="0"/>
                  <w:sz w:val="18"/>
                  <w:szCs w:val="18"/>
                  <w:u w:val="single"/>
                  <w:lang w:eastAsia="pt-BR"/>
                  <w14:ligatures w14:val="none"/>
                </w:rPr>
                <w:t> do art. 236 da Constituição Federal</w:t>
              </w:r>
            </w:hyperlink>
            <w:r w:rsidRPr="00C47572">
              <w:rPr>
                <w:rFonts w:ascii="Book Antiqua" w:eastAsia="Times New Roman" w:hAnsi="Book Antiqua" w:cs="Arial"/>
                <w:color w:val="800000"/>
                <w:kern w:val="0"/>
                <w:sz w:val="18"/>
                <w:szCs w:val="18"/>
                <w:lang w:eastAsia="pt-BR"/>
                <w14:ligatures w14:val="none"/>
              </w:rPr>
              <w:t>, mediante o estabelecimento de normas gerais para a fixação de emolumentos relativos aos atos praticados pelos serviços notariais e de registro.</w:t>
            </w:r>
          </w:p>
        </w:tc>
      </w:tr>
    </w:tbl>
    <w:p w14:paraId="6050C6A2"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b/>
          <w:bCs/>
          <w:color w:val="000000"/>
          <w:kern w:val="0"/>
          <w:sz w:val="19"/>
          <w:szCs w:val="19"/>
          <w:lang w:eastAsia="pt-BR"/>
          <w14:ligatures w14:val="none"/>
        </w:rPr>
        <w:t>O PRESIDENTE DA REPÚBLICA </w:t>
      </w:r>
      <w:r w:rsidRPr="00C47572">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5E121BA" w14:textId="5C61BFAB" w:rsidR="00C47572" w:rsidRPr="00795ACD"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0" w:name="art1"/>
      <w:bookmarkEnd w:id="0"/>
      <w:r w:rsidRPr="006B3EBB">
        <w:rPr>
          <w:rFonts w:ascii="Book Antiqua" w:eastAsia="Times New Roman" w:hAnsi="Book Antiqua" w:cs="Arial"/>
          <w:b/>
          <w:bCs/>
          <w:color w:val="000000"/>
          <w:kern w:val="0"/>
          <w:sz w:val="19"/>
          <w:szCs w:val="19"/>
          <w:highlight w:val="magenta"/>
          <w:lang w:eastAsia="pt-BR"/>
          <w14:ligatures w14:val="none"/>
        </w:rPr>
        <w:t>Art. 1</w:t>
      </w:r>
      <w:r w:rsidRPr="006B3EBB">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6B3EBB">
        <w:rPr>
          <w:rFonts w:ascii="Book Antiqua" w:eastAsia="Times New Roman" w:hAnsi="Book Antiqua" w:cs="Arial"/>
          <w:b/>
          <w:bCs/>
          <w:color w:val="000000"/>
          <w:kern w:val="0"/>
          <w:sz w:val="19"/>
          <w:szCs w:val="19"/>
          <w:lang w:eastAsia="pt-BR"/>
          <w14:ligatures w14:val="none"/>
        </w:rPr>
        <w:t> Os Estados e o Distrito Federal fixarão o valor dos emolumentos relativos aos atos praticados pelos respectivos serviços notariais e de registro, observadas as normas desta Lei.</w:t>
      </w:r>
      <w:r w:rsidR="006B3EBB" w:rsidRPr="006B3EBB">
        <w:rPr>
          <w:rFonts w:ascii="Book Antiqua" w:eastAsia="Times New Roman" w:hAnsi="Book Antiqua" w:cs="Arial"/>
          <w:b/>
          <w:bCs/>
          <w:color w:val="000000"/>
          <w:kern w:val="0"/>
          <w:sz w:val="19"/>
          <w:szCs w:val="19"/>
          <w:lang w:eastAsia="pt-BR"/>
          <w14:ligatures w14:val="none"/>
        </w:rPr>
        <w:t xml:space="preserve"> </w:t>
      </w:r>
      <w:r w:rsidR="006B3EBB" w:rsidRPr="006B3EBB">
        <w:rPr>
          <w:rFonts w:ascii="Book Antiqua" w:hAnsi="Book Antiqua" w:cs="Arial"/>
          <w:b/>
          <w:bCs/>
          <w:color w:val="FF0000"/>
          <w:sz w:val="18"/>
          <w:szCs w:val="18"/>
          <w:u w:val="single"/>
        </w:rPr>
        <w:t>(Cartórios/TJSE-2014)</w:t>
      </w:r>
      <w:r w:rsidR="00795ACD">
        <w:rPr>
          <w:rFonts w:ascii="Book Antiqua" w:hAnsi="Book Antiqua" w:cs="Arial"/>
          <w:b/>
          <w:bCs/>
          <w:color w:val="FF0000"/>
          <w:sz w:val="18"/>
          <w:szCs w:val="18"/>
        </w:rPr>
        <w:t xml:space="preserve"> </w:t>
      </w:r>
      <w:r w:rsidR="00795ACD">
        <w:rPr>
          <w:rFonts w:ascii="Book Antiqua" w:eastAsia="Times New Roman" w:hAnsi="Book Antiqua" w:cs="Times New Roman"/>
          <w:b/>
          <w:bCs/>
          <w:color w:val="FF0000"/>
          <w:sz w:val="18"/>
          <w:szCs w:val="18"/>
          <w:u w:val="single"/>
          <w:lang w:eastAsia="pt-BR"/>
        </w:rPr>
        <w:t>(Cartórios/TJPR-2019)</w:t>
      </w:r>
    </w:p>
    <w:p w14:paraId="78D78D1F"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 w:name="art1p"/>
      <w:bookmarkEnd w:id="1"/>
      <w:r w:rsidRPr="00C47572">
        <w:rPr>
          <w:rFonts w:ascii="Book Antiqua" w:eastAsia="Times New Roman" w:hAnsi="Book Antiqua" w:cs="Arial"/>
          <w:color w:val="000000"/>
          <w:kern w:val="0"/>
          <w:sz w:val="19"/>
          <w:szCs w:val="19"/>
          <w:lang w:eastAsia="pt-BR"/>
          <w14:ligatures w14:val="none"/>
        </w:rPr>
        <w:t>Parágrafo único. O valor fixado para os emolumentos deverá corresponder ao efetivo custo e à adequada e suficiente remuneração dos serviços prestados.</w:t>
      </w:r>
    </w:p>
    <w:p w14:paraId="004DD314" w14:textId="618A7F0C"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2" w:name="art2"/>
      <w:bookmarkEnd w:id="2"/>
      <w:r w:rsidRPr="00C47572">
        <w:rPr>
          <w:rFonts w:ascii="Book Antiqua" w:eastAsia="Times New Roman" w:hAnsi="Book Antiqua" w:cs="Arial"/>
          <w:b/>
          <w:bCs/>
          <w:color w:val="000000"/>
          <w:kern w:val="0"/>
          <w:sz w:val="19"/>
          <w:szCs w:val="19"/>
          <w:highlight w:val="magenta"/>
          <w:lang w:eastAsia="pt-BR"/>
          <w14:ligatures w14:val="none"/>
        </w:rPr>
        <w:t>Art. 2</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w:t>
      </w:r>
      <w:r w:rsidRPr="00C47572">
        <w:rPr>
          <w:rFonts w:ascii="Book Antiqua" w:eastAsia="Times New Roman" w:hAnsi="Book Antiqua" w:cs="Arial"/>
          <w:b/>
          <w:bCs/>
          <w:color w:val="000000"/>
          <w:kern w:val="0"/>
          <w:sz w:val="19"/>
          <w:szCs w:val="19"/>
          <w:lang w:eastAsia="pt-BR"/>
          <w14:ligatures w14:val="none"/>
        </w:rPr>
        <w:t>Para a fixação do valor dos emolumentos, a Lei dos Estados e do Distrito Federal levará em conta a natureza pública e o caráter social dos serviços notariais e de registro, atendidas ainda as seguintes regras:</w:t>
      </w:r>
      <w:r>
        <w:rPr>
          <w:rFonts w:ascii="Book Antiqua" w:eastAsia="Times New Roman" w:hAnsi="Book Antiqua" w:cs="Arial"/>
          <w:b/>
          <w:bCs/>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RJ</w:t>
      </w:r>
      <w:r w:rsidRPr="008C5F87">
        <w:rPr>
          <w:rFonts w:ascii="Book Antiqua" w:hAnsi="Book Antiqua"/>
          <w:b/>
          <w:bCs/>
          <w:color w:val="FF0000"/>
          <w:sz w:val="18"/>
          <w:szCs w:val="18"/>
          <w:u w:val="single"/>
        </w:rPr>
        <w:t>-201</w:t>
      </w:r>
      <w:r>
        <w:rPr>
          <w:rFonts w:ascii="Book Antiqua" w:hAnsi="Book Antiqua"/>
          <w:b/>
          <w:bCs/>
          <w:color w:val="FF0000"/>
          <w:sz w:val="18"/>
          <w:szCs w:val="18"/>
          <w:u w:val="single"/>
        </w:rPr>
        <w:t>2</w:t>
      </w:r>
      <w:r w:rsidRPr="008C5F87">
        <w:rPr>
          <w:rFonts w:ascii="Book Antiqua" w:hAnsi="Book Antiqua"/>
          <w:b/>
          <w:bCs/>
          <w:color w:val="FF0000"/>
          <w:sz w:val="18"/>
          <w:szCs w:val="18"/>
          <w:u w:val="single"/>
        </w:rPr>
        <w:t>)</w:t>
      </w:r>
      <w:r>
        <w:rPr>
          <w:rFonts w:ascii="Book Antiqua" w:eastAsia="Times New Roman" w:hAnsi="Book Antiqua" w:cs="Arial"/>
          <w:b/>
          <w:bCs/>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ES</w:t>
      </w:r>
      <w:r w:rsidRPr="008C5F87">
        <w:rPr>
          <w:rFonts w:ascii="Book Antiqua" w:hAnsi="Book Antiqua"/>
          <w:b/>
          <w:bCs/>
          <w:color w:val="FF0000"/>
          <w:sz w:val="18"/>
          <w:szCs w:val="18"/>
          <w:u w:val="single"/>
        </w:rPr>
        <w:t>-2013)</w:t>
      </w:r>
      <w:r w:rsidR="00795ACD">
        <w:rPr>
          <w:rFonts w:ascii="Book Antiqua" w:hAnsi="Book Antiqua"/>
          <w:b/>
          <w:bCs/>
          <w:color w:val="FF0000"/>
          <w:sz w:val="18"/>
          <w:szCs w:val="18"/>
        </w:rPr>
        <w:t xml:space="preserve"> </w:t>
      </w:r>
      <w:r w:rsidR="00795ACD">
        <w:rPr>
          <w:rFonts w:ascii="Book Antiqua" w:eastAsia="Times New Roman" w:hAnsi="Book Antiqua" w:cs="Times New Roman"/>
          <w:b/>
          <w:bCs/>
          <w:color w:val="FF0000"/>
          <w:sz w:val="18"/>
          <w:szCs w:val="18"/>
          <w:u w:val="single"/>
          <w:lang w:eastAsia="pt-BR"/>
        </w:rPr>
        <w:t>(Cartórios/TJPR-2019)</w:t>
      </w:r>
      <w:r w:rsidRPr="00C47572">
        <w:rPr>
          <w:rFonts w:ascii="Book Antiqua" w:eastAsia="Times New Roman" w:hAnsi="Book Antiqua" w:cs="Arial"/>
          <w:b/>
          <w:bCs/>
          <w:color w:val="000000"/>
          <w:kern w:val="0"/>
          <w:sz w:val="19"/>
          <w:szCs w:val="19"/>
          <w:lang w:eastAsia="pt-BR"/>
          <w14:ligatures w14:val="none"/>
        </w:rPr>
        <w:t xml:space="preserve"> </w:t>
      </w:r>
      <w:r w:rsidRPr="00C47572">
        <w:rPr>
          <w:rFonts w:ascii="Book Antiqua" w:hAnsi="Book Antiqua"/>
          <w:b/>
          <w:bCs/>
          <w:color w:val="FF0000"/>
          <w:sz w:val="18"/>
          <w:szCs w:val="18"/>
          <w:u w:val="single"/>
        </w:rPr>
        <w:t>(Cartórios/TJSC-2019)</w:t>
      </w:r>
    </w:p>
    <w:p w14:paraId="44A760A3" w14:textId="19966679"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3" w:name="art2i"/>
      <w:bookmarkEnd w:id="3"/>
      <w:r w:rsidRPr="00C47572">
        <w:rPr>
          <w:rFonts w:ascii="Book Antiqua" w:eastAsia="Times New Roman" w:hAnsi="Book Antiqua" w:cs="Arial"/>
          <w:b/>
          <w:bCs/>
          <w:color w:val="000000"/>
          <w:kern w:val="0"/>
          <w:sz w:val="19"/>
          <w:szCs w:val="19"/>
          <w:lang w:eastAsia="pt-BR"/>
          <w14:ligatures w14:val="none"/>
        </w:rPr>
        <w:t xml:space="preserve">I – </w:t>
      </w:r>
      <w:proofErr w:type="gramStart"/>
      <w:r w:rsidRPr="00C47572">
        <w:rPr>
          <w:rFonts w:ascii="Book Antiqua" w:eastAsia="Times New Roman" w:hAnsi="Book Antiqua" w:cs="Arial"/>
          <w:b/>
          <w:bCs/>
          <w:color w:val="000000"/>
          <w:kern w:val="0"/>
          <w:sz w:val="19"/>
          <w:szCs w:val="19"/>
          <w:lang w:eastAsia="pt-BR"/>
          <w14:ligatures w14:val="none"/>
        </w:rPr>
        <w:t>os</w:t>
      </w:r>
      <w:proofErr w:type="gramEnd"/>
      <w:r w:rsidRPr="00C47572">
        <w:rPr>
          <w:rFonts w:ascii="Book Antiqua" w:eastAsia="Times New Roman" w:hAnsi="Book Antiqua" w:cs="Arial"/>
          <w:b/>
          <w:bCs/>
          <w:color w:val="000000"/>
          <w:kern w:val="0"/>
          <w:sz w:val="19"/>
          <w:szCs w:val="19"/>
          <w:lang w:eastAsia="pt-BR"/>
          <w14:ligatures w14:val="none"/>
        </w:rPr>
        <w:t xml:space="preserve"> valores dos emolumentos constarão de tabelas e serão expressos em moeda corrente do País; </w:t>
      </w:r>
      <w:r w:rsidRPr="00C47572">
        <w:rPr>
          <w:rFonts w:ascii="Book Antiqua" w:hAnsi="Book Antiqua"/>
          <w:b/>
          <w:bCs/>
          <w:color w:val="FF0000"/>
          <w:sz w:val="18"/>
          <w:szCs w:val="18"/>
          <w:u w:val="single"/>
        </w:rPr>
        <w:t>(Cartórios/TJ</w:t>
      </w:r>
      <w:r>
        <w:rPr>
          <w:rFonts w:ascii="Book Antiqua" w:hAnsi="Book Antiqua"/>
          <w:b/>
          <w:bCs/>
          <w:color w:val="FF0000"/>
          <w:sz w:val="18"/>
          <w:szCs w:val="18"/>
          <w:u w:val="single"/>
        </w:rPr>
        <w:t>RJ</w:t>
      </w:r>
      <w:r w:rsidRPr="00C47572">
        <w:rPr>
          <w:rFonts w:ascii="Book Antiqua" w:hAnsi="Book Antiqua"/>
          <w:b/>
          <w:bCs/>
          <w:color w:val="FF0000"/>
          <w:sz w:val="18"/>
          <w:szCs w:val="18"/>
          <w:u w:val="single"/>
        </w:rPr>
        <w:t>-201</w:t>
      </w:r>
      <w:r>
        <w:rPr>
          <w:rFonts w:ascii="Book Antiqua" w:hAnsi="Book Antiqua"/>
          <w:b/>
          <w:bCs/>
          <w:color w:val="FF0000"/>
          <w:sz w:val="18"/>
          <w:szCs w:val="18"/>
          <w:u w:val="single"/>
        </w:rPr>
        <w:t>2</w:t>
      </w:r>
      <w:r w:rsidRPr="00C47572">
        <w:rPr>
          <w:rFonts w:ascii="Book Antiqua" w:hAnsi="Book Antiqua"/>
          <w:b/>
          <w:bCs/>
          <w:color w:val="FF0000"/>
          <w:sz w:val="18"/>
          <w:szCs w:val="18"/>
          <w:u w:val="single"/>
        </w:rPr>
        <w:t>)</w:t>
      </w:r>
    </w:p>
    <w:p w14:paraId="643313CC" w14:textId="26C6595F"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4" w:name="art2ii"/>
      <w:bookmarkEnd w:id="4"/>
      <w:r w:rsidRPr="00C47572">
        <w:rPr>
          <w:rFonts w:ascii="Book Antiqua" w:eastAsia="Times New Roman" w:hAnsi="Book Antiqua" w:cs="Arial"/>
          <w:b/>
          <w:bCs/>
          <w:color w:val="000000"/>
          <w:kern w:val="0"/>
          <w:sz w:val="19"/>
          <w:szCs w:val="19"/>
          <w:lang w:eastAsia="pt-BR"/>
          <w14:ligatures w14:val="none"/>
        </w:rPr>
        <w:t>II – os atos comuns aos vários tipos de serviços notariais e de registro serão remunerados por emolumentos específicos, fixados para cada espécie de ato;</w:t>
      </w:r>
      <w:r>
        <w:rPr>
          <w:rFonts w:ascii="Book Antiqua" w:eastAsia="Times New Roman" w:hAnsi="Book Antiqua" w:cs="Arial"/>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RJ</w:t>
      </w:r>
      <w:r w:rsidRPr="008C5F87">
        <w:rPr>
          <w:rFonts w:ascii="Book Antiqua" w:hAnsi="Book Antiqua"/>
          <w:b/>
          <w:bCs/>
          <w:color w:val="FF0000"/>
          <w:sz w:val="18"/>
          <w:szCs w:val="18"/>
          <w:u w:val="single"/>
        </w:rPr>
        <w:t>-201</w:t>
      </w:r>
      <w:r>
        <w:rPr>
          <w:rFonts w:ascii="Book Antiqua" w:hAnsi="Book Antiqua"/>
          <w:b/>
          <w:bCs/>
          <w:color w:val="FF0000"/>
          <w:sz w:val="18"/>
          <w:szCs w:val="18"/>
          <w:u w:val="single"/>
        </w:rPr>
        <w:t>2</w:t>
      </w:r>
      <w:r w:rsidRPr="008C5F87">
        <w:rPr>
          <w:rFonts w:ascii="Book Antiqua" w:hAnsi="Book Antiqua"/>
          <w:b/>
          <w:bCs/>
          <w:color w:val="FF0000"/>
          <w:sz w:val="18"/>
          <w:szCs w:val="18"/>
          <w:u w:val="single"/>
        </w:rPr>
        <w:t>)</w:t>
      </w:r>
    </w:p>
    <w:p w14:paraId="168B6562" w14:textId="3C4539D6"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5" w:name="art2iii"/>
      <w:bookmarkEnd w:id="5"/>
      <w:r w:rsidRPr="00C47572">
        <w:rPr>
          <w:rFonts w:ascii="Book Antiqua" w:eastAsia="Times New Roman" w:hAnsi="Book Antiqua" w:cs="Arial"/>
          <w:b/>
          <w:bCs/>
          <w:color w:val="000000"/>
          <w:kern w:val="0"/>
          <w:sz w:val="19"/>
          <w:szCs w:val="19"/>
          <w:lang w:eastAsia="pt-BR"/>
          <w14:ligatures w14:val="none"/>
        </w:rPr>
        <w:t>III – os atos específicos de cada serviço serão classificados em:</w:t>
      </w:r>
      <w:r>
        <w:rPr>
          <w:rFonts w:ascii="Book Antiqua" w:eastAsia="Times New Roman" w:hAnsi="Book Antiqua" w:cs="Arial"/>
          <w:b/>
          <w:bCs/>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ES</w:t>
      </w:r>
      <w:r w:rsidRPr="008C5F87">
        <w:rPr>
          <w:rFonts w:ascii="Book Antiqua" w:hAnsi="Book Antiqua"/>
          <w:b/>
          <w:bCs/>
          <w:color w:val="FF0000"/>
          <w:sz w:val="18"/>
          <w:szCs w:val="18"/>
          <w:u w:val="single"/>
        </w:rPr>
        <w:t>-2013)</w:t>
      </w:r>
      <w:r w:rsidRPr="00C47572">
        <w:rPr>
          <w:rFonts w:ascii="Book Antiqua" w:eastAsia="Times New Roman" w:hAnsi="Book Antiqua" w:cs="Arial"/>
          <w:b/>
          <w:bCs/>
          <w:color w:val="000000"/>
          <w:kern w:val="0"/>
          <w:sz w:val="19"/>
          <w:szCs w:val="19"/>
          <w:lang w:eastAsia="pt-BR"/>
          <w14:ligatures w14:val="none"/>
        </w:rPr>
        <w:t xml:space="preserve"> </w:t>
      </w:r>
      <w:r w:rsidRPr="00C47572">
        <w:rPr>
          <w:rFonts w:ascii="Book Antiqua" w:hAnsi="Book Antiqua"/>
          <w:b/>
          <w:bCs/>
          <w:color w:val="FF0000"/>
          <w:sz w:val="18"/>
          <w:szCs w:val="18"/>
          <w:u w:val="single"/>
        </w:rPr>
        <w:t>(Cartórios/TJSC-2019)</w:t>
      </w:r>
    </w:p>
    <w:p w14:paraId="7CBD2622" w14:textId="0C0AB7D6"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6" w:name="art2iiia"/>
      <w:bookmarkEnd w:id="6"/>
      <w:r w:rsidRPr="00C47572">
        <w:rPr>
          <w:rFonts w:ascii="Book Antiqua" w:eastAsia="Times New Roman" w:hAnsi="Book Antiqua" w:cs="Arial"/>
          <w:b/>
          <w:bCs/>
          <w:color w:val="000000"/>
          <w:kern w:val="0"/>
          <w:sz w:val="19"/>
          <w:szCs w:val="19"/>
          <w:lang w:eastAsia="pt-BR"/>
          <w14:ligatures w14:val="none"/>
        </w:rPr>
        <w:t>a) atos relativos a situações jurídicas, sem conteúdo financeiro, cujos emolumentos atenderão às peculiaridades socioeconômicas de cada região</w:t>
      </w:r>
      <w:r w:rsidRPr="00C4757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ES</w:t>
      </w:r>
      <w:r w:rsidRPr="008C5F87">
        <w:rPr>
          <w:rFonts w:ascii="Book Antiqua" w:hAnsi="Book Antiqua"/>
          <w:b/>
          <w:bCs/>
          <w:color w:val="FF0000"/>
          <w:sz w:val="18"/>
          <w:szCs w:val="18"/>
          <w:u w:val="single"/>
        </w:rPr>
        <w:t>-2013)</w:t>
      </w:r>
      <w:r>
        <w:rPr>
          <w:rFonts w:ascii="Book Antiqua" w:eastAsia="Times New Roman" w:hAnsi="Book Antiqua" w:cs="Arial"/>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SC</w:t>
      </w:r>
      <w:r w:rsidRPr="008C5F87">
        <w:rPr>
          <w:rFonts w:ascii="Book Antiqua" w:hAnsi="Book Antiqua"/>
          <w:b/>
          <w:bCs/>
          <w:color w:val="FF0000"/>
          <w:sz w:val="18"/>
          <w:szCs w:val="18"/>
          <w:u w:val="single"/>
        </w:rPr>
        <w:t>-201</w:t>
      </w:r>
      <w:r>
        <w:rPr>
          <w:rFonts w:ascii="Book Antiqua" w:hAnsi="Book Antiqua"/>
          <w:b/>
          <w:bCs/>
          <w:color w:val="FF0000"/>
          <w:sz w:val="18"/>
          <w:szCs w:val="18"/>
          <w:u w:val="single"/>
        </w:rPr>
        <w:t>9</w:t>
      </w:r>
      <w:r w:rsidRPr="008C5F87">
        <w:rPr>
          <w:rFonts w:ascii="Book Antiqua" w:hAnsi="Book Antiqua"/>
          <w:b/>
          <w:bCs/>
          <w:color w:val="FF0000"/>
          <w:sz w:val="18"/>
          <w:szCs w:val="18"/>
          <w:u w:val="single"/>
        </w:rPr>
        <w:t>)</w:t>
      </w:r>
    </w:p>
    <w:p w14:paraId="7F6CD5C4"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7" w:name="art2iiib"/>
      <w:bookmarkEnd w:id="7"/>
      <w:r w:rsidRPr="00C47572">
        <w:rPr>
          <w:rFonts w:ascii="Book Antiqua" w:eastAsia="Times New Roman" w:hAnsi="Book Antiqua" w:cs="Arial"/>
          <w:color w:val="000000"/>
          <w:kern w:val="0"/>
          <w:sz w:val="19"/>
          <w:szCs w:val="19"/>
          <w:lang w:eastAsia="pt-BR"/>
          <w14:ligatures w14:val="none"/>
        </w:rPr>
        <w:t>b) atos relativos a situações jurídicas, com conteúdo financeiro, cujos emolumentos serão fixados mediante a observância de faixas que estabeleçam valores mínimos e máximos, nas quais enquadrar-se-á o valor constante do documento apresentado aos serviços notariais e de registro.</w:t>
      </w:r>
    </w:p>
    <w:p w14:paraId="14E4A0CE"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bookmarkStart w:id="8" w:name="art2p"/>
      <w:bookmarkStart w:id="9" w:name="art2§1"/>
      <w:bookmarkEnd w:id="8"/>
      <w:bookmarkEnd w:id="9"/>
      <w:r w:rsidRPr="00C47572">
        <w:rPr>
          <w:rFonts w:ascii="Book Antiqua" w:eastAsia="Times New Roman" w:hAnsi="Book Antiqua" w:cs="Arial"/>
          <w:color w:val="000000"/>
          <w:kern w:val="0"/>
          <w:sz w:val="19"/>
          <w:szCs w:val="19"/>
          <w:lang w:eastAsia="pt-BR"/>
          <w14:ligatures w14:val="none"/>
        </w:rPr>
        <w:t>§ 1º Nos casos em que, por força de lei, devam ser utilizados valores decorrentes de avaliação judicial ou fiscal, esses serão os valores considerados para os fins do disposto na alínea “b” do inciso III do </w:t>
      </w:r>
      <w:r w:rsidRPr="00C47572">
        <w:rPr>
          <w:rFonts w:ascii="Book Antiqua" w:eastAsia="Times New Roman" w:hAnsi="Book Antiqua" w:cs="Arial"/>
          <w:b/>
          <w:bCs/>
          <w:color w:val="000000"/>
          <w:kern w:val="0"/>
          <w:sz w:val="19"/>
          <w:szCs w:val="19"/>
          <w:lang w:eastAsia="pt-BR"/>
          <w14:ligatures w14:val="none"/>
        </w:rPr>
        <w:t>caput </w:t>
      </w:r>
      <w:r w:rsidRPr="00C47572">
        <w:rPr>
          <w:rFonts w:ascii="Book Antiqua" w:eastAsia="Times New Roman" w:hAnsi="Book Antiqua" w:cs="Arial"/>
          <w:color w:val="000000"/>
          <w:kern w:val="0"/>
          <w:sz w:val="19"/>
          <w:szCs w:val="19"/>
          <w:lang w:eastAsia="pt-BR"/>
          <w14:ligatures w14:val="none"/>
        </w:rPr>
        <w:t>deste artigo</w:t>
      </w:r>
      <w:r w:rsidRPr="00585D80">
        <w:rPr>
          <w:rFonts w:ascii="Book Antiqua" w:eastAsia="Times New Roman" w:hAnsi="Book Antiqua" w:cs="Arial"/>
          <w:color w:val="000000"/>
          <w:kern w:val="0"/>
          <w:sz w:val="18"/>
          <w:szCs w:val="18"/>
          <w:lang w:eastAsia="pt-BR"/>
          <w14:ligatures w14:val="none"/>
        </w:rPr>
        <w:t>.      </w:t>
      </w:r>
      <w:hyperlink r:id="rId6"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21F9C8B8"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 2º Os emolumentos devidos pela constituição de direitos reais de garantia mobiliária ou imobiliária destinados ao crédito rural não poderão exceder o menor dos seguintes valores</w:t>
      </w:r>
      <w:r w:rsidRPr="00585D80">
        <w:rPr>
          <w:rFonts w:ascii="Book Antiqua" w:eastAsia="Times New Roman" w:hAnsi="Book Antiqua" w:cs="Arial"/>
          <w:color w:val="000000"/>
          <w:kern w:val="0"/>
          <w:sz w:val="18"/>
          <w:szCs w:val="18"/>
          <w:lang w:eastAsia="pt-BR"/>
          <w14:ligatures w14:val="none"/>
        </w:rPr>
        <w:t>:   </w:t>
      </w:r>
      <w:hyperlink r:id="rId7"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0695F212"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I - 0,3% (zero vírgula três por cento) do valor do crédito concedido, incluída a taxa de fiscalização judicial, limitada a 5% (cinco por cento) do valor pago pelo usuário, vedados quaisquer outros acréscimos a título de taxas, custas e contribuições para o Estado ou Distrito Federal, carteira de previdência ou para associação de classe, criados ou que venham a ser criados sob qualquer título ou denominação; e   </w:t>
      </w:r>
      <w:hyperlink r:id="rId8"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41744AFF"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II - o valor respectivo previsto na tabela estadual definida em lei, observado que</w:t>
      </w:r>
      <w:r w:rsidRPr="00585D80">
        <w:rPr>
          <w:rFonts w:ascii="Book Antiqua" w:eastAsia="Times New Roman" w:hAnsi="Book Antiqua" w:cs="Arial"/>
          <w:color w:val="000000"/>
          <w:kern w:val="0"/>
          <w:sz w:val="18"/>
          <w:szCs w:val="18"/>
          <w:lang w:eastAsia="pt-BR"/>
          <w14:ligatures w14:val="none"/>
        </w:rPr>
        <w:t>:    </w:t>
      </w:r>
      <w:hyperlink r:id="rId9"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256DE3CB" w14:textId="468FF9B2"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 xml:space="preserve">a) nos registros, quando 2 (dois) ou mais imóveis forem dados em garantia, situados ou não na mesma circunscrição imobiliária, tenham ou não igual valor, a base de cálculo dos atos será o resultado </w:t>
      </w:r>
      <w:r w:rsidRPr="00C47572">
        <w:rPr>
          <w:rFonts w:ascii="Book Antiqua" w:eastAsia="Times New Roman" w:hAnsi="Book Antiqua" w:cs="Arial"/>
          <w:color w:val="000000"/>
          <w:kern w:val="0"/>
          <w:sz w:val="19"/>
          <w:szCs w:val="19"/>
          <w:lang w:eastAsia="pt-BR"/>
          <w14:ligatures w14:val="none"/>
        </w:rPr>
        <w:lastRenderedPageBreak/>
        <w:t>da divisão do valor do mútuo pelo número de imóveis, limitada ao potencial econômico de cada bem</w:t>
      </w:r>
      <w:r w:rsidRPr="00585D80">
        <w:rPr>
          <w:rFonts w:ascii="Book Antiqua" w:eastAsia="Times New Roman" w:hAnsi="Book Antiqua" w:cs="Arial"/>
          <w:color w:val="000000"/>
          <w:kern w:val="0"/>
          <w:sz w:val="18"/>
          <w:szCs w:val="18"/>
          <w:lang w:eastAsia="pt-BR"/>
          <w14:ligatures w14:val="none"/>
        </w:rPr>
        <w:t>;</w:t>
      </w:r>
      <w:r w:rsidR="00585D80">
        <w:rPr>
          <w:rFonts w:ascii="Book Antiqua" w:eastAsia="Times New Roman" w:hAnsi="Book Antiqua" w:cs="Arial"/>
          <w:color w:val="000000"/>
          <w:kern w:val="0"/>
          <w:sz w:val="18"/>
          <w:szCs w:val="18"/>
          <w:lang w:eastAsia="pt-BR"/>
          <w14:ligatures w14:val="none"/>
        </w:rPr>
        <w:t xml:space="preserve"> </w:t>
      </w:r>
      <w:hyperlink r:id="rId10"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03C89D58"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b) a averbação de aditivo de garantia real com liberação de crédito suplementar será cobrada conforme o disposto neste artigo e terá como base de cálculo o valor do referido crédito</w:t>
      </w:r>
      <w:r w:rsidRPr="00585D80">
        <w:rPr>
          <w:rFonts w:ascii="Book Antiqua" w:eastAsia="Times New Roman" w:hAnsi="Book Antiqua" w:cs="Arial"/>
          <w:color w:val="000000"/>
          <w:kern w:val="0"/>
          <w:sz w:val="18"/>
          <w:szCs w:val="18"/>
          <w:lang w:eastAsia="pt-BR"/>
          <w14:ligatures w14:val="none"/>
        </w:rPr>
        <w:t>;    </w:t>
      </w:r>
      <w:hyperlink r:id="rId11"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4248EE18"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c) a averbação de aditivo que contenha outras alterações que não importem mudança no valor do crédito concedido é considerada ato sem conteúdo econômico</w:t>
      </w:r>
      <w:r w:rsidRPr="00585D80">
        <w:rPr>
          <w:rFonts w:ascii="Book Antiqua" w:eastAsia="Times New Roman" w:hAnsi="Book Antiqua" w:cs="Arial"/>
          <w:color w:val="000000"/>
          <w:kern w:val="0"/>
          <w:sz w:val="18"/>
          <w:szCs w:val="18"/>
          <w:lang w:eastAsia="pt-BR"/>
          <w14:ligatures w14:val="none"/>
        </w:rPr>
        <w:t>;   </w:t>
      </w:r>
      <w:hyperlink r:id="rId12"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02E2E03F"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d) os valores de cancelamento dos atos de que trata o </w:t>
      </w:r>
      <w:r w:rsidRPr="00C47572">
        <w:rPr>
          <w:rFonts w:ascii="Book Antiqua" w:eastAsia="Times New Roman" w:hAnsi="Book Antiqua" w:cs="Arial"/>
          <w:b/>
          <w:bCs/>
          <w:color w:val="000000"/>
          <w:kern w:val="0"/>
          <w:sz w:val="19"/>
          <w:szCs w:val="19"/>
          <w:lang w:eastAsia="pt-BR"/>
          <w14:ligatures w14:val="none"/>
        </w:rPr>
        <w:t>caput </w:t>
      </w:r>
      <w:r w:rsidRPr="00C47572">
        <w:rPr>
          <w:rFonts w:ascii="Book Antiqua" w:eastAsia="Times New Roman" w:hAnsi="Book Antiqua" w:cs="Arial"/>
          <w:color w:val="000000"/>
          <w:kern w:val="0"/>
          <w:sz w:val="19"/>
          <w:szCs w:val="19"/>
          <w:lang w:eastAsia="pt-BR"/>
          <w14:ligatures w14:val="none"/>
        </w:rPr>
        <w:t>deste parágrafo obedecerão ao previsto nas tabelas estaduais, até o limite máximo de 0,1% (zero vírgula um por cento) do valor do crédito concedido</w:t>
      </w:r>
      <w:r w:rsidRPr="00585D80">
        <w:rPr>
          <w:rFonts w:ascii="Book Antiqua" w:eastAsia="Times New Roman" w:hAnsi="Book Antiqua" w:cs="Arial"/>
          <w:color w:val="000000"/>
          <w:kern w:val="0"/>
          <w:sz w:val="18"/>
          <w:szCs w:val="18"/>
          <w:lang w:eastAsia="pt-BR"/>
          <w14:ligatures w14:val="none"/>
        </w:rPr>
        <w:t>;     </w:t>
      </w:r>
      <w:hyperlink r:id="rId13"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54C175FA"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e) a prenotação, as indicações e os arquivamentos estão incluídos nos emolumentos devidos pelos registros de garantias reais previstas nesta Lei</w:t>
      </w:r>
      <w:r w:rsidRPr="00585D80">
        <w:rPr>
          <w:rFonts w:ascii="Book Antiqua" w:eastAsia="Times New Roman" w:hAnsi="Book Antiqua" w:cs="Arial"/>
          <w:color w:val="000000"/>
          <w:kern w:val="0"/>
          <w:sz w:val="18"/>
          <w:szCs w:val="18"/>
          <w:lang w:eastAsia="pt-BR"/>
          <w14:ligatures w14:val="none"/>
        </w:rPr>
        <w:t>;    </w:t>
      </w:r>
      <w:hyperlink r:id="rId14" w:anchor="art56.0" w:history="1">
        <w:r w:rsidRPr="00585D80">
          <w:rPr>
            <w:rFonts w:ascii="Book Antiqua" w:eastAsia="Times New Roman" w:hAnsi="Book Antiqua" w:cs="Arial"/>
            <w:color w:val="0000FF"/>
            <w:kern w:val="0"/>
            <w:sz w:val="18"/>
            <w:szCs w:val="18"/>
            <w:u w:val="single"/>
            <w:lang w:eastAsia="pt-BR"/>
            <w14:ligatures w14:val="none"/>
          </w:rPr>
          <w:t>(Incluído pela Lei nº 13.986, de 2020)</w:t>
        </w:r>
      </w:hyperlink>
    </w:p>
    <w:p w14:paraId="1CD7CE4B" w14:textId="496E3600" w:rsidR="00C47572" w:rsidRPr="00422F93"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f) os emolumentos devidos pelo registro auxiliar de cédula ou nota de crédito e de produto rural, não garantida por hipoteca ou alienação fiduciária de bens imóveis, obedecerão ao previsto nas tabelas estaduais e não poderão exceder 0,3% (zero vírgula três por cento) do valor do crédito concedido, incluída a taxa de fiscalização judicial, limitada a 5% (cinco por cento) do valor pago pelo usuário, observadas as vedações estipuladas no inciso I deste parágrafo</w:t>
      </w:r>
      <w:r w:rsidRPr="00422F93">
        <w:rPr>
          <w:rFonts w:ascii="Book Antiqua" w:eastAsia="Times New Roman" w:hAnsi="Book Antiqua" w:cs="Arial"/>
          <w:color w:val="000000"/>
          <w:kern w:val="0"/>
          <w:sz w:val="18"/>
          <w:szCs w:val="18"/>
          <w:lang w:eastAsia="pt-BR"/>
          <w14:ligatures w14:val="none"/>
        </w:rPr>
        <w:t>. </w:t>
      </w:r>
      <w:hyperlink r:id="rId15" w:anchor="art56.0" w:history="1">
        <w:r w:rsidRPr="00422F93">
          <w:rPr>
            <w:rFonts w:ascii="Book Antiqua" w:eastAsia="Times New Roman" w:hAnsi="Book Antiqua" w:cs="Arial"/>
            <w:color w:val="0000FF"/>
            <w:kern w:val="0"/>
            <w:sz w:val="18"/>
            <w:szCs w:val="18"/>
            <w:u w:val="single"/>
            <w:lang w:eastAsia="pt-BR"/>
            <w14:ligatures w14:val="none"/>
          </w:rPr>
          <w:t>(Incluído pela Lei nº 13.986, de 2020)</w:t>
        </w:r>
      </w:hyperlink>
    </w:p>
    <w:p w14:paraId="1E11CEE4"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10" w:name="art3"/>
      <w:bookmarkEnd w:id="10"/>
      <w:r w:rsidRPr="00C47572">
        <w:rPr>
          <w:rFonts w:ascii="Book Antiqua" w:eastAsia="Times New Roman" w:hAnsi="Book Antiqua" w:cs="Arial"/>
          <w:b/>
          <w:bCs/>
          <w:color w:val="000000"/>
          <w:kern w:val="0"/>
          <w:sz w:val="19"/>
          <w:szCs w:val="19"/>
          <w:highlight w:val="magenta"/>
          <w:lang w:eastAsia="pt-BR"/>
          <w14:ligatures w14:val="none"/>
        </w:rPr>
        <w:t>Art. 3</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É vedado:</w:t>
      </w:r>
    </w:p>
    <w:p w14:paraId="2C3ACAC9"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1" w:name="art3i"/>
      <w:bookmarkEnd w:id="11"/>
      <w:r w:rsidRPr="00C47572">
        <w:rPr>
          <w:rFonts w:ascii="Book Antiqua" w:eastAsia="Times New Roman" w:hAnsi="Book Antiqua" w:cs="Arial"/>
          <w:color w:val="000000"/>
          <w:kern w:val="0"/>
          <w:sz w:val="19"/>
          <w:szCs w:val="19"/>
          <w:lang w:eastAsia="pt-BR"/>
          <w14:ligatures w14:val="none"/>
        </w:rPr>
        <w:t>I – (</w:t>
      </w:r>
      <w:hyperlink r:id="rId16" w:history="1">
        <w:r w:rsidRPr="00C47572">
          <w:rPr>
            <w:rFonts w:ascii="Book Antiqua" w:eastAsia="Times New Roman" w:hAnsi="Book Antiqua" w:cs="Arial"/>
            <w:color w:val="0000FF"/>
            <w:kern w:val="0"/>
            <w:sz w:val="19"/>
            <w:szCs w:val="19"/>
            <w:u w:val="single"/>
            <w:lang w:eastAsia="pt-BR"/>
            <w14:ligatures w14:val="none"/>
          </w:rPr>
          <w:t>VETADO</w:t>
        </w:r>
      </w:hyperlink>
      <w:r w:rsidRPr="00C47572">
        <w:rPr>
          <w:rFonts w:ascii="Book Antiqua" w:eastAsia="Times New Roman" w:hAnsi="Book Antiqua" w:cs="Arial"/>
          <w:color w:val="000000"/>
          <w:kern w:val="0"/>
          <w:sz w:val="19"/>
          <w:szCs w:val="19"/>
          <w:lang w:eastAsia="pt-BR"/>
          <w14:ligatures w14:val="none"/>
        </w:rPr>
        <w:t>) </w:t>
      </w:r>
    </w:p>
    <w:p w14:paraId="66823F35" w14:textId="4D3E9F1A" w:rsidR="00C47572" w:rsidRPr="00AC2F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2" w:name="art3ii"/>
      <w:bookmarkEnd w:id="12"/>
      <w:r w:rsidRPr="00422F93">
        <w:rPr>
          <w:rFonts w:ascii="Book Antiqua" w:eastAsia="Times New Roman" w:hAnsi="Book Antiqua" w:cs="Arial"/>
          <w:b/>
          <w:bCs/>
          <w:color w:val="000000"/>
          <w:kern w:val="0"/>
          <w:sz w:val="19"/>
          <w:szCs w:val="19"/>
          <w:lang w:eastAsia="pt-BR"/>
          <w14:ligatures w14:val="none"/>
        </w:rPr>
        <w:t xml:space="preserve">II – </w:t>
      </w:r>
      <w:proofErr w:type="gramStart"/>
      <w:r w:rsidRPr="00422F93">
        <w:rPr>
          <w:rFonts w:ascii="Book Antiqua" w:eastAsia="Times New Roman" w:hAnsi="Book Antiqua" w:cs="Arial"/>
          <w:b/>
          <w:bCs/>
          <w:color w:val="000000"/>
          <w:kern w:val="0"/>
          <w:sz w:val="19"/>
          <w:szCs w:val="19"/>
          <w:lang w:eastAsia="pt-BR"/>
          <w14:ligatures w14:val="none"/>
        </w:rPr>
        <w:t>fixar</w:t>
      </w:r>
      <w:proofErr w:type="gramEnd"/>
      <w:r w:rsidRPr="00422F93">
        <w:rPr>
          <w:rFonts w:ascii="Book Antiqua" w:eastAsia="Times New Roman" w:hAnsi="Book Antiqua" w:cs="Arial"/>
          <w:b/>
          <w:bCs/>
          <w:color w:val="000000"/>
          <w:kern w:val="0"/>
          <w:sz w:val="19"/>
          <w:szCs w:val="19"/>
          <w:lang w:eastAsia="pt-BR"/>
          <w14:ligatures w14:val="none"/>
        </w:rPr>
        <w:t xml:space="preserve"> emolumentos em percentual incidente sobre o valor do negócio jurídico objeto dos serviços notariais e de registro</w:t>
      </w:r>
      <w:r w:rsidRPr="00C47572">
        <w:rPr>
          <w:rFonts w:ascii="Book Antiqua" w:eastAsia="Times New Roman" w:hAnsi="Book Antiqua" w:cs="Arial"/>
          <w:color w:val="000000"/>
          <w:kern w:val="0"/>
          <w:sz w:val="19"/>
          <w:szCs w:val="19"/>
          <w:lang w:eastAsia="pt-BR"/>
          <w14:ligatures w14:val="none"/>
        </w:rPr>
        <w:t>;</w:t>
      </w:r>
      <w:r w:rsidR="00422F93">
        <w:rPr>
          <w:rFonts w:ascii="Book Antiqua" w:eastAsia="Times New Roman" w:hAnsi="Book Antiqua" w:cs="Arial"/>
          <w:color w:val="000000"/>
          <w:kern w:val="0"/>
          <w:sz w:val="19"/>
          <w:szCs w:val="19"/>
          <w:lang w:eastAsia="pt-BR"/>
          <w14:ligatures w14:val="none"/>
        </w:rPr>
        <w:t xml:space="preserve"> </w:t>
      </w:r>
      <w:r w:rsidR="00422F93">
        <w:rPr>
          <w:rFonts w:ascii="Book Antiqua" w:hAnsi="Book Antiqua"/>
          <w:b/>
          <w:bCs/>
          <w:color w:val="FF0000"/>
          <w:sz w:val="18"/>
          <w:szCs w:val="18"/>
          <w:u w:val="single"/>
        </w:rPr>
        <w:t>(Cartórios/TJDFT-2014)</w:t>
      </w:r>
      <w:r w:rsidR="00AC2F86">
        <w:rPr>
          <w:rFonts w:ascii="Book Antiqua" w:hAnsi="Book Antiqua"/>
          <w:b/>
          <w:bCs/>
          <w:color w:val="FF0000"/>
          <w:sz w:val="18"/>
          <w:szCs w:val="18"/>
        </w:rPr>
        <w:t xml:space="preserve"> </w:t>
      </w:r>
      <w:r w:rsidR="00AC2F86">
        <w:rPr>
          <w:rFonts w:ascii="Book Antiqua" w:hAnsi="Book Antiqua"/>
          <w:b/>
          <w:color w:val="FF0000"/>
          <w:sz w:val="18"/>
          <w:szCs w:val="18"/>
          <w:u w:val="single"/>
        </w:rPr>
        <w:t>(Cartórios/TJSC-2021)</w:t>
      </w:r>
    </w:p>
    <w:p w14:paraId="2DBFCB51" w14:textId="40FED51E" w:rsidR="00C47572" w:rsidRPr="00601BB5"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3" w:name="art3iii"/>
      <w:bookmarkEnd w:id="13"/>
      <w:r w:rsidRPr="00C47572">
        <w:rPr>
          <w:rFonts w:ascii="Book Antiqua" w:eastAsia="Times New Roman" w:hAnsi="Book Antiqua" w:cs="Arial"/>
          <w:b/>
          <w:bCs/>
          <w:color w:val="000000"/>
          <w:kern w:val="0"/>
          <w:sz w:val="19"/>
          <w:szCs w:val="19"/>
          <w:lang w:eastAsia="pt-BR"/>
          <w14:ligatures w14:val="none"/>
        </w:rPr>
        <w:t xml:space="preserve">III – cobrar das partes interessadas quaisquer outras quantias não expressamente previstas nas tabelas de emolumentos; </w:t>
      </w:r>
      <w:r w:rsidRPr="00C47572">
        <w:rPr>
          <w:rFonts w:ascii="Book Antiqua" w:hAnsi="Book Antiqua"/>
          <w:b/>
          <w:bCs/>
          <w:color w:val="FF0000"/>
          <w:sz w:val="18"/>
          <w:szCs w:val="18"/>
          <w:u w:val="single"/>
        </w:rPr>
        <w:t>(</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RJ</w:t>
      </w:r>
      <w:r w:rsidRPr="008C5F87">
        <w:rPr>
          <w:rFonts w:ascii="Book Antiqua" w:hAnsi="Book Antiqua"/>
          <w:b/>
          <w:bCs/>
          <w:color w:val="FF0000"/>
          <w:sz w:val="18"/>
          <w:szCs w:val="18"/>
          <w:u w:val="single"/>
        </w:rPr>
        <w:t>-201</w:t>
      </w:r>
      <w:r>
        <w:rPr>
          <w:rFonts w:ascii="Book Antiqua" w:hAnsi="Book Antiqua"/>
          <w:b/>
          <w:bCs/>
          <w:color w:val="FF0000"/>
          <w:sz w:val="18"/>
          <w:szCs w:val="18"/>
          <w:u w:val="single"/>
        </w:rPr>
        <w:t>2</w:t>
      </w:r>
      <w:r w:rsidRPr="008C5F87">
        <w:rPr>
          <w:rFonts w:ascii="Book Antiqua" w:hAnsi="Book Antiqua"/>
          <w:b/>
          <w:bCs/>
          <w:color w:val="FF0000"/>
          <w:sz w:val="18"/>
          <w:szCs w:val="18"/>
          <w:u w:val="single"/>
        </w:rPr>
        <w:t>)</w:t>
      </w:r>
      <w:r w:rsidR="00422F93">
        <w:rPr>
          <w:rFonts w:ascii="Book Antiqua" w:hAnsi="Book Antiqua"/>
          <w:b/>
          <w:bCs/>
          <w:color w:val="FF0000"/>
          <w:sz w:val="18"/>
          <w:szCs w:val="18"/>
        </w:rPr>
        <w:t xml:space="preserve"> </w:t>
      </w:r>
      <w:r w:rsidR="00422F93">
        <w:rPr>
          <w:rFonts w:ascii="Book Antiqua" w:hAnsi="Book Antiqua"/>
          <w:b/>
          <w:bCs/>
          <w:color w:val="FF0000"/>
          <w:sz w:val="18"/>
          <w:szCs w:val="18"/>
          <w:u w:val="single"/>
        </w:rPr>
        <w:t>(Cartórios/TJDFT-2014)</w:t>
      </w:r>
      <w:r w:rsidR="00601BB5">
        <w:rPr>
          <w:rFonts w:ascii="Book Antiqua" w:hAnsi="Book Antiqua"/>
          <w:b/>
          <w:bCs/>
          <w:color w:val="FF0000"/>
          <w:sz w:val="18"/>
          <w:szCs w:val="18"/>
        </w:rPr>
        <w:t xml:space="preserve"> </w:t>
      </w:r>
      <w:r w:rsidR="00601BB5">
        <w:rPr>
          <w:rFonts w:ascii="Book Antiqua" w:eastAsia="Times New Roman" w:hAnsi="Book Antiqua" w:cs="Times New Roman"/>
          <w:b/>
          <w:bCs/>
          <w:color w:val="FF0000"/>
          <w:sz w:val="18"/>
          <w:szCs w:val="18"/>
          <w:u w:val="single"/>
          <w:lang w:eastAsia="pt-BR"/>
        </w:rPr>
        <w:t>(Cartórios/TJRS-2019)</w:t>
      </w:r>
    </w:p>
    <w:p w14:paraId="31E7ADF4" w14:textId="4D736A3A" w:rsidR="00C47572" w:rsidRPr="00585D80"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14" w:name="art3iv"/>
      <w:bookmarkEnd w:id="14"/>
      <w:r w:rsidRPr="00C47572">
        <w:rPr>
          <w:rFonts w:ascii="Book Antiqua" w:eastAsia="Times New Roman" w:hAnsi="Book Antiqua" w:cs="Arial"/>
          <w:b/>
          <w:bCs/>
          <w:color w:val="000000"/>
          <w:kern w:val="0"/>
          <w:sz w:val="19"/>
          <w:szCs w:val="19"/>
          <w:lang w:eastAsia="pt-BR"/>
          <w14:ligatures w14:val="none"/>
        </w:rPr>
        <w:t xml:space="preserve">IV – </w:t>
      </w:r>
      <w:proofErr w:type="gramStart"/>
      <w:r w:rsidRPr="00C47572">
        <w:rPr>
          <w:rFonts w:ascii="Book Antiqua" w:eastAsia="Times New Roman" w:hAnsi="Book Antiqua" w:cs="Arial"/>
          <w:b/>
          <w:bCs/>
          <w:color w:val="000000"/>
          <w:kern w:val="0"/>
          <w:sz w:val="19"/>
          <w:szCs w:val="19"/>
          <w:lang w:eastAsia="pt-BR"/>
          <w14:ligatures w14:val="none"/>
        </w:rPr>
        <w:t>cobrar</w:t>
      </w:r>
      <w:proofErr w:type="gramEnd"/>
      <w:r w:rsidRPr="00C47572">
        <w:rPr>
          <w:rFonts w:ascii="Book Antiqua" w:eastAsia="Times New Roman" w:hAnsi="Book Antiqua" w:cs="Arial"/>
          <w:b/>
          <w:bCs/>
          <w:color w:val="000000"/>
          <w:kern w:val="0"/>
          <w:sz w:val="19"/>
          <w:szCs w:val="19"/>
          <w:lang w:eastAsia="pt-BR"/>
          <w14:ligatures w14:val="none"/>
        </w:rPr>
        <w:t xml:space="preserve"> emolumentos em decorrência da prática de ato de retificação ou que teve de ser refeito ou renovado em razão de erro imputável aos respectivos serviços notariais e de registro; </w:t>
      </w:r>
      <w:r w:rsidRPr="00C47572">
        <w:rPr>
          <w:rFonts w:ascii="Book Antiqua" w:hAnsi="Book Antiqua"/>
          <w:b/>
          <w:bCs/>
          <w:color w:val="FF0000"/>
          <w:sz w:val="18"/>
          <w:szCs w:val="18"/>
          <w:u w:val="single"/>
        </w:rPr>
        <w:t>(Cartórios/TJRJ-2012)</w:t>
      </w:r>
      <w:r w:rsidR="00422F93">
        <w:rPr>
          <w:rFonts w:ascii="Book Antiqua" w:hAnsi="Book Antiqua"/>
          <w:b/>
          <w:bCs/>
          <w:color w:val="FF0000"/>
          <w:sz w:val="18"/>
          <w:szCs w:val="18"/>
        </w:rPr>
        <w:t xml:space="preserve"> </w:t>
      </w:r>
      <w:r w:rsidR="00422F93">
        <w:rPr>
          <w:rFonts w:ascii="Book Antiqua" w:hAnsi="Book Antiqua"/>
          <w:b/>
          <w:bCs/>
          <w:color w:val="FF0000"/>
          <w:sz w:val="18"/>
          <w:szCs w:val="18"/>
          <w:u w:val="single"/>
        </w:rPr>
        <w:t>(Cartórios/TJDFT-2014)</w:t>
      </w:r>
      <w:r w:rsidR="00585D80">
        <w:rPr>
          <w:rFonts w:ascii="Book Antiqua" w:hAnsi="Book Antiqua"/>
          <w:b/>
          <w:bCs/>
          <w:color w:val="FF0000"/>
          <w:sz w:val="18"/>
          <w:szCs w:val="18"/>
        </w:rPr>
        <w:t xml:space="preserve"> </w:t>
      </w:r>
      <w:r w:rsidR="00585D80">
        <w:rPr>
          <w:rFonts w:ascii="Book Antiqua" w:hAnsi="Book Antiqua"/>
          <w:b/>
          <w:bCs/>
          <w:color w:val="FF0000"/>
          <w:sz w:val="18"/>
          <w:szCs w:val="18"/>
          <w:u w:val="single"/>
        </w:rPr>
        <w:t>(Cartórios/TJSP-2016)</w:t>
      </w:r>
    </w:p>
    <w:p w14:paraId="20094714"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5" w:name="art3v"/>
      <w:bookmarkEnd w:id="15"/>
      <w:r w:rsidRPr="00C47572">
        <w:rPr>
          <w:rFonts w:ascii="Book Antiqua" w:eastAsia="Times New Roman" w:hAnsi="Book Antiqua" w:cs="Arial"/>
          <w:color w:val="000000"/>
          <w:kern w:val="0"/>
          <w:sz w:val="19"/>
          <w:szCs w:val="19"/>
          <w:lang w:eastAsia="pt-BR"/>
          <w14:ligatures w14:val="none"/>
        </w:rPr>
        <w:t>V – (</w:t>
      </w:r>
      <w:hyperlink r:id="rId17" w:history="1">
        <w:r w:rsidRPr="00C47572">
          <w:rPr>
            <w:rFonts w:ascii="Book Antiqua" w:eastAsia="Times New Roman" w:hAnsi="Book Antiqua" w:cs="Arial"/>
            <w:color w:val="0000FF"/>
            <w:kern w:val="0"/>
            <w:sz w:val="19"/>
            <w:szCs w:val="19"/>
            <w:u w:val="single"/>
            <w:lang w:eastAsia="pt-BR"/>
            <w14:ligatures w14:val="none"/>
          </w:rPr>
          <w:t>VETADO</w:t>
        </w:r>
      </w:hyperlink>
      <w:r w:rsidRPr="00C47572">
        <w:rPr>
          <w:rFonts w:ascii="Book Antiqua" w:eastAsia="Times New Roman" w:hAnsi="Book Antiqua" w:cs="Arial"/>
          <w:color w:val="000000"/>
          <w:kern w:val="0"/>
          <w:sz w:val="19"/>
          <w:szCs w:val="19"/>
          <w:lang w:eastAsia="pt-BR"/>
          <w14:ligatures w14:val="none"/>
        </w:rPr>
        <w:t>)</w:t>
      </w:r>
    </w:p>
    <w:p w14:paraId="1EF89126"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6" w:name="art3vi"/>
      <w:bookmarkEnd w:id="16"/>
      <w:r w:rsidRPr="00C47572">
        <w:rPr>
          <w:rFonts w:ascii="Book Antiqua" w:eastAsia="Times New Roman" w:hAnsi="Book Antiqua" w:cs="Arial"/>
          <w:color w:val="000000"/>
          <w:kern w:val="0"/>
          <w:sz w:val="19"/>
          <w:szCs w:val="19"/>
          <w:lang w:eastAsia="pt-BR"/>
          <w14:ligatures w14:val="none"/>
        </w:rPr>
        <w:t xml:space="preserve">VI - </w:t>
      </w:r>
      <w:proofErr w:type="gramStart"/>
      <w:r w:rsidRPr="00C47572">
        <w:rPr>
          <w:rFonts w:ascii="Book Antiqua" w:eastAsia="Times New Roman" w:hAnsi="Book Antiqua" w:cs="Arial"/>
          <w:color w:val="000000"/>
          <w:kern w:val="0"/>
          <w:sz w:val="19"/>
          <w:szCs w:val="19"/>
          <w:lang w:eastAsia="pt-BR"/>
          <w14:ligatures w14:val="none"/>
        </w:rPr>
        <w:t>impor</w:t>
      </w:r>
      <w:proofErr w:type="gramEnd"/>
      <w:r w:rsidRPr="00C47572">
        <w:rPr>
          <w:rFonts w:ascii="Book Antiqua" w:eastAsia="Times New Roman" w:hAnsi="Book Antiqua" w:cs="Arial"/>
          <w:color w:val="000000"/>
          <w:kern w:val="0"/>
          <w:sz w:val="19"/>
          <w:szCs w:val="19"/>
          <w:lang w:eastAsia="pt-BR"/>
          <w14:ligatures w14:val="none"/>
        </w:rPr>
        <w:t xml:space="preserve"> ao registro e averbação de situações jurídicas em que haja a interveniência de produtor rural quaisquer acréscimos a título de taxas, custas e contribuições para o Estado ou Distrito Federal, carteira de previdência, fundo de custeio de atos gratuitos e fundos especiais do Tribunal de Justiça, bem como de associação de classe, ou outros que venham a ser criados.      </w:t>
      </w:r>
      <w:hyperlink r:id="rId18" w:anchor="art56.0" w:history="1">
        <w:r w:rsidRPr="00C47572">
          <w:rPr>
            <w:rFonts w:ascii="Book Antiqua" w:eastAsia="Times New Roman" w:hAnsi="Book Antiqua" w:cs="Arial"/>
            <w:color w:val="0000FF"/>
            <w:kern w:val="0"/>
            <w:sz w:val="19"/>
            <w:szCs w:val="19"/>
            <w:u w:val="single"/>
            <w:lang w:eastAsia="pt-BR"/>
            <w14:ligatures w14:val="none"/>
          </w:rPr>
          <w:t>(Incluído pela Lei nº 13.986, de 2020)</w:t>
        </w:r>
      </w:hyperlink>
    </w:p>
    <w:p w14:paraId="40E53233"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7" w:name="art4"/>
      <w:bookmarkEnd w:id="17"/>
      <w:r w:rsidRPr="00C47572">
        <w:rPr>
          <w:rFonts w:ascii="Book Antiqua" w:eastAsia="Times New Roman" w:hAnsi="Book Antiqua" w:cs="Arial"/>
          <w:color w:val="000000"/>
          <w:kern w:val="0"/>
          <w:sz w:val="19"/>
          <w:szCs w:val="19"/>
          <w:lang w:eastAsia="pt-BR"/>
          <w14:ligatures w14:val="none"/>
        </w:rPr>
        <w:t>Art. 4</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As tabelas de emolumentos serão publicadas nos órgãos oficiais das respectivas unidades da Federação, cabendo às autoridades competentes determinar a fiscalização do seu cumprimento e sua afixação obrigatória em local visível em cada serviço notarial e de registro.</w:t>
      </w:r>
    </w:p>
    <w:p w14:paraId="33C3AEBD" w14:textId="263EBAB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18" w:name="art5"/>
      <w:bookmarkEnd w:id="18"/>
      <w:r w:rsidRPr="00C47572">
        <w:rPr>
          <w:rFonts w:ascii="Book Antiqua" w:eastAsia="Times New Roman" w:hAnsi="Book Antiqua" w:cs="Arial"/>
          <w:b/>
          <w:bCs/>
          <w:color w:val="000000"/>
          <w:kern w:val="0"/>
          <w:sz w:val="19"/>
          <w:szCs w:val="19"/>
          <w:highlight w:val="magenta"/>
          <w:lang w:eastAsia="pt-BR"/>
          <w14:ligatures w14:val="none"/>
        </w:rPr>
        <w:t>Art. 5</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Quando for o caso, o valor dos emolumentos poderá sofrer reajuste, publicando-se as respectivas tabelas, até o último dia do ano, observado o princípio da anterioridade.</w:t>
      </w:r>
      <w:r w:rsidR="00585D80">
        <w:rPr>
          <w:rFonts w:ascii="Book Antiqua" w:eastAsia="Times New Roman" w:hAnsi="Book Antiqua" w:cs="Arial"/>
          <w:b/>
          <w:bCs/>
          <w:color w:val="000000"/>
          <w:kern w:val="0"/>
          <w:sz w:val="19"/>
          <w:szCs w:val="19"/>
          <w:lang w:eastAsia="pt-BR"/>
          <w14:ligatures w14:val="none"/>
        </w:rPr>
        <w:t xml:space="preserve"> </w:t>
      </w:r>
      <w:r w:rsidR="00585D80">
        <w:rPr>
          <w:rFonts w:ascii="Book Antiqua" w:hAnsi="Book Antiqua"/>
          <w:b/>
          <w:bCs/>
          <w:color w:val="FF0000"/>
          <w:sz w:val="18"/>
          <w:szCs w:val="18"/>
          <w:u w:val="single"/>
        </w:rPr>
        <w:t>(Cartórios/TJSP-2016)</w:t>
      </w:r>
      <w:r w:rsidR="00795ACD">
        <w:rPr>
          <w:rFonts w:ascii="Book Antiqua" w:hAnsi="Book Antiqua"/>
          <w:b/>
          <w:bCs/>
          <w:color w:val="FF0000"/>
          <w:sz w:val="18"/>
          <w:szCs w:val="18"/>
        </w:rPr>
        <w:t xml:space="preserve"> </w:t>
      </w:r>
      <w:r w:rsidR="00795ACD">
        <w:rPr>
          <w:rFonts w:ascii="Book Antiqua" w:eastAsia="Times New Roman" w:hAnsi="Book Antiqua" w:cs="Times New Roman"/>
          <w:b/>
          <w:bCs/>
          <w:color w:val="FF0000"/>
          <w:sz w:val="18"/>
          <w:szCs w:val="18"/>
          <w:u w:val="single"/>
          <w:lang w:eastAsia="pt-BR"/>
        </w:rPr>
        <w:t>(Cartórios/TJPR-2019)</w:t>
      </w:r>
      <w:r w:rsidR="007563E1">
        <w:rPr>
          <w:rFonts w:ascii="Book Antiqua" w:eastAsia="Times New Roman" w:hAnsi="Book Antiqua" w:cs="Times New Roman"/>
          <w:b/>
          <w:bCs/>
          <w:color w:val="FF0000"/>
          <w:sz w:val="18"/>
          <w:szCs w:val="18"/>
          <w:lang w:eastAsia="pt-BR"/>
        </w:rPr>
        <w:t xml:space="preserve"> </w:t>
      </w:r>
      <w:r w:rsidR="007563E1">
        <w:rPr>
          <w:rFonts w:ascii="Book Antiqua" w:hAnsi="Book Antiqua" w:cs="Times New Roman"/>
          <w:b/>
          <w:bCs/>
          <w:color w:val="FF0000"/>
          <w:sz w:val="18"/>
          <w:szCs w:val="18"/>
          <w:u w:val="single"/>
        </w:rPr>
        <w:t>(Cartórios/TJR</w:t>
      </w:r>
      <w:r w:rsidR="007563E1">
        <w:rPr>
          <w:rFonts w:ascii="Book Antiqua" w:hAnsi="Book Antiqua"/>
          <w:b/>
          <w:bCs/>
          <w:color w:val="FF0000"/>
          <w:sz w:val="18"/>
          <w:szCs w:val="18"/>
          <w:u w:val="single"/>
        </w:rPr>
        <w:t>S</w:t>
      </w:r>
      <w:r w:rsidR="007563E1">
        <w:rPr>
          <w:rFonts w:ascii="Book Antiqua" w:hAnsi="Book Antiqua" w:cs="Times New Roman"/>
          <w:b/>
          <w:bCs/>
          <w:color w:val="FF0000"/>
          <w:sz w:val="18"/>
          <w:szCs w:val="18"/>
          <w:u w:val="single"/>
        </w:rPr>
        <w:t>-2019)</w:t>
      </w:r>
      <w:r w:rsidRPr="00C47572">
        <w:rPr>
          <w:rFonts w:ascii="Book Antiqua" w:eastAsia="Times New Roman" w:hAnsi="Book Antiqua" w:cs="Arial"/>
          <w:b/>
          <w:bCs/>
          <w:color w:val="000000"/>
          <w:kern w:val="0"/>
          <w:sz w:val="19"/>
          <w:szCs w:val="19"/>
          <w:lang w:eastAsia="pt-BR"/>
          <w14:ligatures w14:val="none"/>
        </w:rPr>
        <w:t xml:space="preserve"> </w:t>
      </w:r>
      <w:r w:rsidRPr="00C47572">
        <w:rPr>
          <w:rFonts w:ascii="Book Antiqua" w:hAnsi="Book Antiqua"/>
          <w:b/>
          <w:bCs/>
          <w:color w:val="FF0000"/>
          <w:sz w:val="18"/>
          <w:szCs w:val="18"/>
          <w:u w:val="single"/>
        </w:rPr>
        <w:t>(Cartórios/TJSC-2019</w:t>
      </w:r>
      <w:r w:rsidR="00AC2F86">
        <w:rPr>
          <w:rFonts w:ascii="Book Antiqua" w:hAnsi="Book Antiqua"/>
          <w:b/>
          <w:bCs/>
          <w:color w:val="FF0000"/>
          <w:sz w:val="18"/>
          <w:szCs w:val="18"/>
          <w:u w:val="single"/>
        </w:rPr>
        <w:t>/2021</w:t>
      </w:r>
      <w:r w:rsidRPr="00C47572">
        <w:rPr>
          <w:rFonts w:ascii="Book Antiqua" w:hAnsi="Book Antiqua"/>
          <w:b/>
          <w:bCs/>
          <w:color w:val="FF0000"/>
          <w:sz w:val="18"/>
          <w:szCs w:val="18"/>
          <w:u w:val="single"/>
        </w:rPr>
        <w:t>)</w:t>
      </w:r>
    </w:p>
    <w:p w14:paraId="751344D3" w14:textId="3D6FA5E6"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u w:val="single"/>
          <w:lang w:eastAsia="pt-BR"/>
          <w14:ligatures w14:val="none"/>
        </w:rPr>
      </w:pPr>
      <w:bookmarkStart w:id="19" w:name="art6"/>
      <w:bookmarkEnd w:id="19"/>
      <w:r w:rsidRPr="00C47572">
        <w:rPr>
          <w:rFonts w:ascii="Book Antiqua" w:eastAsia="Times New Roman" w:hAnsi="Book Antiqua" w:cs="Arial"/>
          <w:b/>
          <w:bCs/>
          <w:color w:val="000000"/>
          <w:kern w:val="0"/>
          <w:sz w:val="19"/>
          <w:szCs w:val="19"/>
          <w:highlight w:val="magenta"/>
          <w:lang w:eastAsia="pt-BR"/>
          <w14:ligatures w14:val="none"/>
        </w:rPr>
        <w:t>Art. 6</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Os notários e os registradores darão recibo dos emolumentos percebidos, sem prejuízo da indicação definitiva e obrigatória dos respectivos valores à margem do documento entregue ao interessado, em conformidade com a tabela vigente ao tempo da prática do ato.</w:t>
      </w:r>
      <w:r>
        <w:rPr>
          <w:rFonts w:ascii="Book Antiqua" w:eastAsia="Times New Roman" w:hAnsi="Book Antiqua" w:cs="Arial"/>
          <w:b/>
          <w:bCs/>
          <w:color w:val="000000"/>
          <w:kern w:val="0"/>
          <w:sz w:val="19"/>
          <w:szCs w:val="19"/>
          <w:lang w:eastAsia="pt-BR"/>
          <w14:ligatures w14:val="none"/>
        </w:rPr>
        <w:t xml:space="preserve"> </w:t>
      </w:r>
      <w:r w:rsidRPr="008C5F87">
        <w:rPr>
          <w:rFonts w:ascii="Book Antiqua" w:hAnsi="Book Antiqua"/>
          <w:b/>
          <w:bCs/>
          <w:color w:val="FF0000"/>
          <w:sz w:val="18"/>
          <w:szCs w:val="18"/>
          <w:u w:val="single"/>
        </w:rPr>
        <w:t>(Cartórios/TJ</w:t>
      </w:r>
      <w:r>
        <w:rPr>
          <w:rFonts w:ascii="Book Antiqua" w:hAnsi="Book Antiqua"/>
          <w:b/>
          <w:bCs/>
          <w:color w:val="FF0000"/>
          <w:sz w:val="18"/>
          <w:szCs w:val="18"/>
          <w:u w:val="single"/>
        </w:rPr>
        <w:t>RJ</w:t>
      </w:r>
      <w:r w:rsidRPr="008C5F87">
        <w:rPr>
          <w:rFonts w:ascii="Book Antiqua" w:hAnsi="Book Antiqua"/>
          <w:b/>
          <w:bCs/>
          <w:color w:val="FF0000"/>
          <w:sz w:val="18"/>
          <w:szCs w:val="18"/>
          <w:u w:val="single"/>
        </w:rPr>
        <w:t>-201</w:t>
      </w:r>
      <w:r>
        <w:rPr>
          <w:rFonts w:ascii="Book Antiqua" w:hAnsi="Book Antiqua"/>
          <w:b/>
          <w:bCs/>
          <w:color w:val="FF0000"/>
          <w:sz w:val="18"/>
          <w:szCs w:val="18"/>
          <w:u w:val="single"/>
        </w:rPr>
        <w:t>2</w:t>
      </w:r>
      <w:r w:rsidRPr="008C5F87">
        <w:rPr>
          <w:rFonts w:ascii="Book Antiqua" w:hAnsi="Book Antiqua"/>
          <w:b/>
          <w:bCs/>
          <w:color w:val="FF0000"/>
          <w:sz w:val="18"/>
          <w:szCs w:val="18"/>
          <w:u w:val="single"/>
        </w:rPr>
        <w:t>)</w:t>
      </w:r>
      <w:r w:rsidRPr="00C47572">
        <w:rPr>
          <w:rFonts w:ascii="Book Antiqua" w:eastAsia="Times New Roman" w:hAnsi="Book Antiqua" w:cs="Arial"/>
          <w:b/>
          <w:bCs/>
          <w:color w:val="000000"/>
          <w:kern w:val="0"/>
          <w:sz w:val="19"/>
          <w:szCs w:val="19"/>
          <w:lang w:eastAsia="pt-BR"/>
          <w14:ligatures w14:val="none"/>
        </w:rPr>
        <w:t xml:space="preserve"> </w:t>
      </w:r>
      <w:r w:rsidRPr="00C47572">
        <w:rPr>
          <w:rFonts w:ascii="Book Antiqua" w:hAnsi="Book Antiqua"/>
          <w:b/>
          <w:bCs/>
          <w:color w:val="FF0000"/>
          <w:sz w:val="18"/>
          <w:szCs w:val="18"/>
          <w:u w:val="single"/>
        </w:rPr>
        <w:t>(Cartórios/TJPI-2013)</w:t>
      </w:r>
      <w:r w:rsidRPr="00C47572">
        <w:rPr>
          <w:rFonts w:ascii="Book Antiqua" w:hAnsi="Book Antiqua"/>
          <w:b/>
          <w:bCs/>
          <w:color w:val="FF0000"/>
          <w:sz w:val="18"/>
          <w:szCs w:val="18"/>
        </w:rPr>
        <w:t xml:space="preserve"> </w:t>
      </w:r>
      <w:r w:rsidRPr="00C47572">
        <w:rPr>
          <w:rFonts w:ascii="Book Antiqua" w:hAnsi="Book Antiqua"/>
          <w:b/>
          <w:bCs/>
          <w:color w:val="FF0000"/>
          <w:sz w:val="18"/>
          <w:szCs w:val="18"/>
          <w:u w:val="single"/>
        </w:rPr>
        <w:t>(Cartórios/TJSC-2019)</w:t>
      </w:r>
    </w:p>
    <w:p w14:paraId="7F444D62" w14:textId="181BED82"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0" w:name="art7"/>
      <w:bookmarkEnd w:id="20"/>
      <w:r w:rsidRPr="00601BB5">
        <w:rPr>
          <w:rFonts w:ascii="Book Antiqua" w:eastAsia="Times New Roman" w:hAnsi="Book Antiqua" w:cs="Arial"/>
          <w:b/>
          <w:bCs/>
          <w:color w:val="000000"/>
          <w:kern w:val="0"/>
          <w:sz w:val="19"/>
          <w:szCs w:val="19"/>
          <w:highlight w:val="magenta"/>
          <w:lang w:eastAsia="pt-BR"/>
          <w14:ligatures w14:val="none"/>
        </w:rPr>
        <w:lastRenderedPageBreak/>
        <w:t>Art. 7</w:t>
      </w:r>
      <w:r w:rsidRPr="00601BB5">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601BB5">
        <w:rPr>
          <w:rFonts w:ascii="Book Antiqua" w:eastAsia="Times New Roman" w:hAnsi="Book Antiqua" w:cs="Arial"/>
          <w:b/>
          <w:bCs/>
          <w:color w:val="000000"/>
          <w:kern w:val="0"/>
          <w:sz w:val="19"/>
          <w:szCs w:val="19"/>
          <w:lang w:eastAsia="pt-BR"/>
          <w14:ligatures w14:val="none"/>
        </w:rPr>
        <w:t> O descumprimento, pelos notários e registradores, do disposto nesta Lei sujeitá-los-á às penalidades previstas na </w:t>
      </w:r>
      <w:hyperlink r:id="rId19" w:history="1">
        <w:r w:rsidRPr="00601BB5">
          <w:rPr>
            <w:rFonts w:ascii="Book Antiqua" w:eastAsia="Times New Roman" w:hAnsi="Book Antiqua" w:cs="Arial"/>
            <w:b/>
            <w:bCs/>
            <w:color w:val="0000FF"/>
            <w:kern w:val="0"/>
            <w:sz w:val="19"/>
            <w:szCs w:val="19"/>
            <w:u w:val="single"/>
            <w:lang w:eastAsia="pt-BR"/>
            <w14:ligatures w14:val="none"/>
          </w:rPr>
          <w:t>Lei n</w:t>
        </w:r>
        <w:r w:rsidRPr="00601BB5">
          <w:rPr>
            <w:rFonts w:ascii="Book Antiqua" w:eastAsia="Times New Roman" w:hAnsi="Book Antiqua" w:cs="Arial"/>
            <w:b/>
            <w:bCs/>
            <w:color w:val="0000FF"/>
            <w:kern w:val="0"/>
            <w:sz w:val="19"/>
            <w:szCs w:val="19"/>
            <w:u w:val="single"/>
            <w:vertAlign w:val="superscript"/>
            <w:lang w:eastAsia="pt-BR"/>
            <w14:ligatures w14:val="none"/>
          </w:rPr>
          <w:t>o</w:t>
        </w:r>
        <w:r w:rsidRPr="00601BB5">
          <w:rPr>
            <w:rFonts w:ascii="Book Antiqua" w:eastAsia="Times New Roman" w:hAnsi="Book Antiqua" w:cs="Arial"/>
            <w:b/>
            <w:bCs/>
            <w:color w:val="0000FF"/>
            <w:kern w:val="0"/>
            <w:sz w:val="19"/>
            <w:szCs w:val="19"/>
            <w:u w:val="single"/>
            <w:lang w:eastAsia="pt-BR"/>
            <w14:ligatures w14:val="none"/>
          </w:rPr>
          <w:t> 8.935, de 18 de novembro de 1994</w:t>
        </w:r>
      </w:hyperlink>
      <w:r w:rsidRPr="00601BB5">
        <w:rPr>
          <w:rFonts w:ascii="Book Antiqua" w:eastAsia="Times New Roman" w:hAnsi="Book Antiqua" w:cs="Arial"/>
          <w:b/>
          <w:bCs/>
          <w:color w:val="000000"/>
          <w:kern w:val="0"/>
          <w:sz w:val="19"/>
          <w:szCs w:val="19"/>
          <w:lang w:eastAsia="pt-BR"/>
          <w14:ligatures w14:val="none"/>
        </w:rPr>
        <w:t>, sem prejuízo da aplicação de outras sanções legais</w:t>
      </w:r>
      <w:r w:rsidRPr="00C47572">
        <w:rPr>
          <w:rFonts w:ascii="Book Antiqua" w:eastAsia="Times New Roman" w:hAnsi="Book Antiqua" w:cs="Arial"/>
          <w:color w:val="000000"/>
          <w:kern w:val="0"/>
          <w:sz w:val="19"/>
          <w:szCs w:val="19"/>
          <w:lang w:eastAsia="pt-BR"/>
          <w14:ligatures w14:val="none"/>
        </w:rPr>
        <w:t>.</w:t>
      </w:r>
      <w:r w:rsidR="00601BB5">
        <w:rPr>
          <w:rFonts w:ascii="Book Antiqua" w:eastAsia="Times New Roman" w:hAnsi="Book Antiqua" w:cs="Arial"/>
          <w:color w:val="000000"/>
          <w:kern w:val="0"/>
          <w:sz w:val="19"/>
          <w:szCs w:val="19"/>
          <w:lang w:eastAsia="pt-BR"/>
          <w14:ligatures w14:val="none"/>
        </w:rPr>
        <w:t xml:space="preserve"> </w:t>
      </w:r>
      <w:r w:rsidR="00601BB5">
        <w:rPr>
          <w:rFonts w:ascii="Book Antiqua" w:eastAsia="Times New Roman" w:hAnsi="Book Antiqua" w:cs="Times New Roman"/>
          <w:b/>
          <w:bCs/>
          <w:color w:val="FF0000"/>
          <w:sz w:val="18"/>
          <w:szCs w:val="18"/>
          <w:u w:val="single"/>
          <w:lang w:eastAsia="pt-BR"/>
        </w:rPr>
        <w:t>(Cartórios/TJRS-2019)</w:t>
      </w:r>
    </w:p>
    <w:p w14:paraId="7A5996D1" w14:textId="041912A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21" w:name="art8"/>
      <w:bookmarkEnd w:id="21"/>
      <w:r w:rsidRPr="00C47572">
        <w:rPr>
          <w:rFonts w:ascii="Book Antiqua" w:eastAsia="Times New Roman" w:hAnsi="Book Antiqua" w:cs="Arial"/>
          <w:b/>
          <w:bCs/>
          <w:color w:val="000000"/>
          <w:kern w:val="0"/>
          <w:sz w:val="19"/>
          <w:szCs w:val="19"/>
          <w:highlight w:val="magenta"/>
          <w:lang w:eastAsia="pt-BR"/>
          <w14:ligatures w14:val="none"/>
        </w:rPr>
        <w:t>Art. 8</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Os Estados e o Distrito Federal, no âmbito de sua competência, respeitado o prazo estabelecido no art. 9</w:t>
      </w:r>
      <w:r w:rsidRPr="00C47572">
        <w:rPr>
          <w:rFonts w:ascii="Book Antiqua" w:eastAsia="Times New Roman" w:hAnsi="Book Antiqua" w:cs="Arial"/>
          <w:b/>
          <w:bCs/>
          <w:color w:val="000000"/>
          <w:kern w:val="0"/>
          <w:sz w:val="19"/>
          <w:szCs w:val="19"/>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desta Lei, estabelecerão forma de compensação aos registradores civis das pessoas naturais pelos atos gratuitos, por eles praticados, conforme estabelecido em lei federal.</w:t>
      </w:r>
      <w:r w:rsidR="00422F93">
        <w:rPr>
          <w:rFonts w:ascii="Book Antiqua" w:eastAsia="Times New Roman" w:hAnsi="Book Antiqua" w:cs="Arial"/>
          <w:b/>
          <w:bCs/>
          <w:color w:val="000000"/>
          <w:kern w:val="0"/>
          <w:sz w:val="19"/>
          <w:szCs w:val="19"/>
          <w:lang w:eastAsia="pt-BR"/>
          <w14:ligatures w14:val="none"/>
        </w:rPr>
        <w:t xml:space="preserve"> </w:t>
      </w:r>
      <w:r w:rsidR="00422F93">
        <w:rPr>
          <w:rFonts w:ascii="Book Antiqua" w:hAnsi="Book Antiqua"/>
          <w:b/>
          <w:bCs/>
          <w:color w:val="FF0000"/>
          <w:sz w:val="18"/>
          <w:szCs w:val="18"/>
          <w:u w:val="single"/>
        </w:rPr>
        <w:t>(Cartórios/TJDFT-2014)</w:t>
      </w:r>
      <w:r w:rsidR="00795ACD">
        <w:rPr>
          <w:rFonts w:ascii="Book Antiqua" w:hAnsi="Book Antiqua"/>
          <w:b/>
          <w:bCs/>
          <w:color w:val="FF0000"/>
          <w:sz w:val="18"/>
          <w:szCs w:val="18"/>
        </w:rPr>
        <w:t xml:space="preserve"> </w:t>
      </w:r>
      <w:r w:rsidR="00795ACD">
        <w:rPr>
          <w:rFonts w:ascii="Book Antiqua" w:eastAsia="Times New Roman" w:hAnsi="Book Antiqua" w:cs="Times New Roman"/>
          <w:b/>
          <w:bCs/>
          <w:color w:val="FF0000"/>
          <w:sz w:val="18"/>
          <w:szCs w:val="18"/>
          <w:u w:val="single"/>
          <w:lang w:eastAsia="pt-BR"/>
        </w:rPr>
        <w:t>(Cartórios/TJPR-2019)</w:t>
      </w:r>
      <w:r w:rsidRPr="00C47572">
        <w:rPr>
          <w:rFonts w:ascii="Book Antiqua" w:eastAsia="Times New Roman" w:hAnsi="Book Antiqua" w:cs="Arial"/>
          <w:b/>
          <w:bCs/>
          <w:color w:val="000000"/>
          <w:kern w:val="0"/>
          <w:sz w:val="19"/>
          <w:szCs w:val="19"/>
          <w:lang w:eastAsia="pt-BR"/>
          <w14:ligatures w14:val="none"/>
        </w:rPr>
        <w:t xml:space="preserve"> </w:t>
      </w:r>
      <w:r w:rsidRPr="00C47572">
        <w:rPr>
          <w:rFonts w:ascii="Book Antiqua" w:hAnsi="Book Antiqua"/>
          <w:b/>
          <w:bCs/>
          <w:color w:val="FF0000"/>
          <w:sz w:val="18"/>
          <w:szCs w:val="18"/>
          <w:u w:val="single"/>
        </w:rPr>
        <w:t>(Cartórios/TJ</w:t>
      </w:r>
      <w:r>
        <w:rPr>
          <w:rFonts w:ascii="Book Antiqua" w:hAnsi="Book Antiqua"/>
          <w:b/>
          <w:bCs/>
          <w:color w:val="FF0000"/>
          <w:sz w:val="18"/>
          <w:szCs w:val="18"/>
          <w:u w:val="single"/>
        </w:rPr>
        <w:t>SC</w:t>
      </w:r>
      <w:r w:rsidRPr="00C47572">
        <w:rPr>
          <w:rFonts w:ascii="Book Antiqua" w:hAnsi="Book Antiqua"/>
          <w:b/>
          <w:bCs/>
          <w:color w:val="FF0000"/>
          <w:sz w:val="18"/>
          <w:szCs w:val="18"/>
          <w:u w:val="single"/>
        </w:rPr>
        <w:t>-201</w:t>
      </w:r>
      <w:r>
        <w:rPr>
          <w:rFonts w:ascii="Book Antiqua" w:hAnsi="Book Antiqua"/>
          <w:b/>
          <w:bCs/>
          <w:color w:val="FF0000"/>
          <w:sz w:val="18"/>
          <w:szCs w:val="18"/>
          <w:u w:val="single"/>
        </w:rPr>
        <w:t>9</w:t>
      </w:r>
      <w:r w:rsidRPr="00C47572">
        <w:rPr>
          <w:rFonts w:ascii="Book Antiqua" w:hAnsi="Book Antiqua"/>
          <w:b/>
          <w:bCs/>
          <w:color w:val="FF0000"/>
          <w:sz w:val="18"/>
          <w:szCs w:val="18"/>
          <w:u w:val="single"/>
        </w:rPr>
        <w:t>)</w:t>
      </w:r>
    </w:p>
    <w:p w14:paraId="59FBD79F" w14:textId="377646F8" w:rsidR="00C47572" w:rsidRPr="00795ACD"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22" w:name="art8p"/>
      <w:bookmarkEnd w:id="22"/>
      <w:r w:rsidRPr="00795ACD">
        <w:rPr>
          <w:rFonts w:ascii="Book Antiqua" w:eastAsia="Times New Roman" w:hAnsi="Book Antiqua" w:cs="Arial"/>
          <w:b/>
          <w:bCs/>
          <w:color w:val="000000"/>
          <w:kern w:val="0"/>
          <w:sz w:val="19"/>
          <w:szCs w:val="19"/>
          <w:highlight w:val="magenta"/>
          <w:lang w:eastAsia="pt-BR"/>
          <w14:ligatures w14:val="none"/>
        </w:rPr>
        <w:t>Parágrafo único</w:t>
      </w:r>
      <w:r w:rsidRPr="00795ACD">
        <w:rPr>
          <w:rFonts w:ascii="Book Antiqua" w:eastAsia="Times New Roman" w:hAnsi="Book Antiqua" w:cs="Arial"/>
          <w:b/>
          <w:bCs/>
          <w:color w:val="000000"/>
          <w:kern w:val="0"/>
          <w:sz w:val="19"/>
          <w:szCs w:val="19"/>
          <w:lang w:eastAsia="pt-BR"/>
          <w14:ligatures w14:val="none"/>
        </w:rPr>
        <w:t>. O disposto no </w:t>
      </w:r>
      <w:r w:rsidRPr="00795ACD">
        <w:rPr>
          <w:rFonts w:ascii="Book Antiqua" w:eastAsia="Times New Roman" w:hAnsi="Book Antiqua" w:cs="Arial"/>
          <w:b/>
          <w:bCs/>
          <w:i/>
          <w:iCs/>
          <w:color w:val="000000"/>
          <w:kern w:val="0"/>
          <w:sz w:val="19"/>
          <w:szCs w:val="19"/>
          <w:lang w:eastAsia="pt-BR"/>
          <w14:ligatures w14:val="none"/>
        </w:rPr>
        <w:t>caput</w:t>
      </w:r>
      <w:r w:rsidRPr="00795ACD">
        <w:rPr>
          <w:rFonts w:ascii="Book Antiqua" w:eastAsia="Times New Roman" w:hAnsi="Book Antiqua" w:cs="Arial"/>
          <w:b/>
          <w:bCs/>
          <w:color w:val="000000"/>
          <w:kern w:val="0"/>
          <w:sz w:val="19"/>
          <w:szCs w:val="19"/>
          <w:lang w:eastAsia="pt-BR"/>
          <w14:ligatures w14:val="none"/>
        </w:rPr>
        <w:t> não poderá gerar ônus para o Poder Público.</w:t>
      </w:r>
      <w:r w:rsidR="00795ACD" w:rsidRPr="00795ACD">
        <w:rPr>
          <w:rFonts w:ascii="Book Antiqua" w:eastAsia="Times New Roman" w:hAnsi="Book Antiqua" w:cs="Arial"/>
          <w:b/>
          <w:bCs/>
          <w:color w:val="000000"/>
          <w:kern w:val="0"/>
          <w:sz w:val="19"/>
          <w:szCs w:val="19"/>
          <w:lang w:eastAsia="pt-BR"/>
          <w14:ligatures w14:val="none"/>
        </w:rPr>
        <w:t xml:space="preserve"> </w:t>
      </w:r>
      <w:r w:rsidR="00795ACD" w:rsidRPr="00795ACD">
        <w:rPr>
          <w:rFonts w:ascii="Book Antiqua" w:eastAsia="Times New Roman" w:hAnsi="Book Antiqua" w:cs="Times New Roman"/>
          <w:b/>
          <w:bCs/>
          <w:color w:val="FF0000"/>
          <w:sz w:val="18"/>
          <w:szCs w:val="18"/>
          <w:u w:val="single"/>
          <w:lang w:eastAsia="pt-BR"/>
        </w:rPr>
        <w:t>(Cartórios/TJPR-2019)</w:t>
      </w:r>
    </w:p>
    <w:p w14:paraId="2D8BC6CE"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3" w:name="art9"/>
      <w:bookmarkEnd w:id="23"/>
      <w:r w:rsidRPr="00C47572">
        <w:rPr>
          <w:rFonts w:ascii="Book Antiqua" w:eastAsia="Times New Roman" w:hAnsi="Book Antiqua" w:cs="Arial"/>
          <w:color w:val="000000"/>
          <w:kern w:val="0"/>
          <w:sz w:val="19"/>
          <w:szCs w:val="19"/>
          <w:lang w:eastAsia="pt-BR"/>
          <w14:ligatures w14:val="none"/>
        </w:rPr>
        <w:t>Art. 9</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Os Estados e o Distrito Federal deverão proceder à revisão das tabelas de emolumentos atualmente em vigor, a fim de adaptá-las ao disposto nesta Lei, no prazo de noventa dias contado da data de sua vigência.</w:t>
      </w:r>
    </w:p>
    <w:p w14:paraId="665690B8"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4" w:name="art9p"/>
      <w:bookmarkEnd w:id="24"/>
      <w:r w:rsidRPr="00C47572">
        <w:rPr>
          <w:rFonts w:ascii="Book Antiqua" w:eastAsia="Times New Roman" w:hAnsi="Book Antiqua" w:cs="Arial"/>
          <w:color w:val="000000"/>
          <w:kern w:val="0"/>
          <w:sz w:val="19"/>
          <w:szCs w:val="19"/>
          <w:lang w:eastAsia="pt-BR"/>
          <w14:ligatures w14:val="none"/>
        </w:rPr>
        <w:t>Parágrafo único. Até a publicação das novas tabelas de emolumentos, revistas e adaptadas conforme estabelece este artigo, os atos praticados pelos serviços notariais e de registro continuarão a ser remunerados na forma da legislação em vigor nos Estados e no Distrito Federal, observadas, desde logo, as vedações estabelecidas no art. 3</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desta Lei.</w:t>
      </w:r>
    </w:p>
    <w:p w14:paraId="21FAD26A"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5" w:name="art10"/>
      <w:bookmarkEnd w:id="25"/>
      <w:r w:rsidRPr="00C47572">
        <w:rPr>
          <w:rFonts w:ascii="Book Antiqua" w:eastAsia="Times New Roman" w:hAnsi="Book Antiqua" w:cs="Arial"/>
          <w:color w:val="000000"/>
          <w:kern w:val="0"/>
          <w:sz w:val="19"/>
          <w:szCs w:val="19"/>
          <w:lang w:eastAsia="pt-BR"/>
          <w14:ligatures w14:val="none"/>
        </w:rPr>
        <w:t>Art. 10.</w:t>
      </w:r>
      <w:r w:rsidRPr="00C47572">
        <w:rPr>
          <w:rFonts w:ascii="Book Antiqua" w:eastAsia="Times New Roman" w:hAnsi="Book Antiqua" w:cs="Arial"/>
          <w:b/>
          <w:bCs/>
          <w:color w:val="000000"/>
          <w:kern w:val="0"/>
          <w:sz w:val="19"/>
          <w:szCs w:val="19"/>
          <w:lang w:eastAsia="pt-BR"/>
          <w14:ligatures w14:val="none"/>
        </w:rPr>
        <w:t> </w:t>
      </w:r>
      <w:r w:rsidRPr="00C47572">
        <w:rPr>
          <w:rFonts w:ascii="Book Antiqua" w:eastAsia="Times New Roman" w:hAnsi="Book Antiqua" w:cs="Arial"/>
          <w:color w:val="000000"/>
          <w:kern w:val="0"/>
          <w:sz w:val="19"/>
          <w:szCs w:val="19"/>
          <w:lang w:eastAsia="pt-BR"/>
          <w14:ligatures w14:val="none"/>
        </w:rPr>
        <w:t>Esta Lei entra em vigor na data de sua publicação.</w:t>
      </w:r>
    </w:p>
    <w:p w14:paraId="2E66F1BE"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000000"/>
          <w:kern w:val="0"/>
          <w:sz w:val="19"/>
          <w:szCs w:val="19"/>
          <w:lang w:eastAsia="pt-BR"/>
          <w14:ligatures w14:val="none"/>
        </w:rPr>
        <w:t>Brasília, 29 de dezembro de 2000; 179</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da Independência e 112</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da República.</w:t>
      </w:r>
    </w:p>
    <w:p w14:paraId="3E54D992" w14:textId="77777777" w:rsidR="00C47572" w:rsidRPr="00C47572" w:rsidRDefault="00C47572" w:rsidP="00C4757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000000"/>
          <w:kern w:val="0"/>
          <w:sz w:val="19"/>
          <w:szCs w:val="19"/>
          <w:lang w:eastAsia="pt-BR"/>
          <w14:ligatures w14:val="none"/>
        </w:rPr>
        <w:t>FERNANDO HENRIQUE CARDOSO</w:t>
      </w:r>
      <w:r w:rsidRPr="00C47572">
        <w:rPr>
          <w:rFonts w:ascii="Book Antiqua" w:eastAsia="Times New Roman" w:hAnsi="Book Antiqua" w:cs="Arial"/>
          <w:color w:val="000000"/>
          <w:kern w:val="0"/>
          <w:sz w:val="19"/>
          <w:szCs w:val="19"/>
          <w:lang w:eastAsia="pt-BR"/>
          <w14:ligatures w14:val="none"/>
        </w:rPr>
        <w:br/>
      </w:r>
      <w:r w:rsidRPr="00C47572">
        <w:rPr>
          <w:rFonts w:ascii="Book Antiqua" w:eastAsia="Times New Roman" w:hAnsi="Book Antiqua" w:cs="Arial"/>
          <w:i/>
          <w:iCs/>
          <w:color w:val="000000"/>
          <w:kern w:val="0"/>
          <w:sz w:val="19"/>
          <w:szCs w:val="19"/>
          <w:lang w:eastAsia="pt-BR"/>
          <w14:ligatures w14:val="none"/>
        </w:rPr>
        <w:t>José Gregori</w:t>
      </w:r>
      <w:r w:rsidRPr="00C47572">
        <w:rPr>
          <w:rFonts w:ascii="Book Antiqua" w:eastAsia="Times New Roman" w:hAnsi="Book Antiqua" w:cs="Arial"/>
          <w:i/>
          <w:iCs/>
          <w:color w:val="000000"/>
          <w:kern w:val="0"/>
          <w:sz w:val="19"/>
          <w:szCs w:val="19"/>
          <w:lang w:eastAsia="pt-BR"/>
          <w14:ligatures w14:val="none"/>
        </w:rPr>
        <w:br/>
        <w:t>Amaury Guilherme Bier</w:t>
      </w:r>
      <w:r w:rsidRPr="00C47572">
        <w:rPr>
          <w:rFonts w:ascii="Book Antiqua" w:eastAsia="Times New Roman" w:hAnsi="Book Antiqua" w:cs="Arial"/>
          <w:i/>
          <w:iCs/>
          <w:color w:val="000000"/>
          <w:kern w:val="0"/>
          <w:sz w:val="19"/>
          <w:szCs w:val="19"/>
          <w:lang w:eastAsia="pt-BR"/>
          <w14:ligatures w14:val="none"/>
        </w:rPr>
        <w:br/>
      </w:r>
      <w:proofErr w:type="spellStart"/>
      <w:r w:rsidRPr="00C47572">
        <w:rPr>
          <w:rFonts w:ascii="Book Antiqua" w:eastAsia="Times New Roman" w:hAnsi="Book Antiqua" w:cs="Arial"/>
          <w:i/>
          <w:iCs/>
          <w:color w:val="000000"/>
          <w:kern w:val="0"/>
          <w:sz w:val="19"/>
          <w:szCs w:val="19"/>
          <w:lang w:eastAsia="pt-BR"/>
          <w14:ligatures w14:val="none"/>
        </w:rPr>
        <w:t>Banjamin</w:t>
      </w:r>
      <w:proofErr w:type="spellEnd"/>
      <w:r w:rsidRPr="00C47572">
        <w:rPr>
          <w:rFonts w:ascii="Book Antiqua" w:eastAsia="Times New Roman" w:hAnsi="Book Antiqua" w:cs="Arial"/>
          <w:i/>
          <w:iCs/>
          <w:color w:val="000000"/>
          <w:kern w:val="0"/>
          <w:sz w:val="19"/>
          <w:szCs w:val="19"/>
          <w:lang w:eastAsia="pt-BR"/>
          <w14:ligatures w14:val="none"/>
        </w:rPr>
        <w:t xml:space="preserve"> </w:t>
      </w:r>
      <w:proofErr w:type="spellStart"/>
      <w:r w:rsidRPr="00C47572">
        <w:rPr>
          <w:rFonts w:ascii="Book Antiqua" w:eastAsia="Times New Roman" w:hAnsi="Book Antiqua" w:cs="Arial"/>
          <w:i/>
          <w:iCs/>
          <w:color w:val="000000"/>
          <w:kern w:val="0"/>
          <w:sz w:val="19"/>
          <w:szCs w:val="19"/>
          <w:lang w:eastAsia="pt-BR"/>
          <w14:ligatures w14:val="none"/>
        </w:rPr>
        <w:t>Benzaquen</w:t>
      </w:r>
      <w:proofErr w:type="spellEnd"/>
      <w:r w:rsidRPr="00C47572">
        <w:rPr>
          <w:rFonts w:ascii="Book Antiqua" w:eastAsia="Times New Roman" w:hAnsi="Book Antiqua" w:cs="Arial"/>
          <w:i/>
          <w:iCs/>
          <w:color w:val="000000"/>
          <w:kern w:val="0"/>
          <w:sz w:val="19"/>
          <w:szCs w:val="19"/>
          <w:lang w:eastAsia="pt-BR"/>
          <w14:ligatures w14:val="none"/>
        </w:rPr>
        <w:t xml:space="preserve"> </w:t>
      </w:r>
      <w:proofErr w:type="spellStart"/>
      <w:r w:rsidRPr="00C47572">
        <w:rPr>
          <w:rFonts w:ascii="Book Antiqua" w:eastAsia="Times New Roman" w:hAnsi="Book Antiqua" w:cs="Arial"/>
          <w:i/>
          <w:iCs/>
          <w:color w:val="000000"/>
          <w:kern w:val="0"/>
          <w:sz w:val="19"/>
          <w:szCs w:val="19"/>
          <w:lang w:eastAsia="pt-BR"/>
          <w14:ligatures w14:val="none"/>
        </w:rPr>
        <w:t>Sicsú</w:t>
      </w:r>
      <w:proofErr w:type="spellEnd"/>
    </w:p>
    <w:p w14:paraId="582B7DD2" w14:textId="77777777" w:rsidR="00C47572" w:rsidRPr="00C47572" w:rsidRDefault="00C47572" w:rsidP="00C4757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FF0000"/>
          <w:kern w:val="0"/>
          <w:sz w:val="19"/>
          <w:szCs w:val="19"/>
          <w:lang w:eastAsia="pt-BR"/>
          <w14:ligatures w14:val="none"/>
        </w:rPr>
        <w:t>Este texto não substitui o publicado no DOU de 30.12.2000 (Edição Extra)</w:t>
      </w:r>
    </w:p>
    <w:p w14:paraId="3CC7A242" w14:textId="77777777" w:rsidR="00BB7FE6" w:rsidRPr="00C47572" w:rsidRDefault="00BB7FE6" w:rsidP="00C47572">
      <w:pPr>
        <w:spacing w:before="100" w:beforeAutospacing="1" w:after="100" w:afterAutospacing="1" w:line="240" w:lineRule="auto"/>
        <w:rPr>
          <w:rFonts w:ascii="Book Antiqua" w:hAnsi="Book Antiqua"/>
          <w:sz w:val="19"/>
          <w:szCs w:val="19"/>
        </w:rPr>
      </w:pPr>
    </w:p>
    <w:sectPr w:rsidR="00BB7FE6" w:rsidRPr="00C47572" w:rsidSect="00C47572">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6F"/>
    <w:rsid w:val="001370A6"/>
    <w:rsid w:val="002A3073"/>
    <w:rsid w:val="00422F93"/>
    <w:rsid w:val="00585D80"/>
    <w:rsid w:val="00601BB5"/>
    <w:rsid w:val="00612592"/>
    <w:rsid w:val="00685233"/>
    <w:rsid w:val="006B3EBB"/>
    <w:rsid w:val="007563E1"/>
    <w:rsid w:val="00795ACD"/>
    <w:rsid w:val="00A74A6F"/>
    <w:rsid w:val="00AC2F86"/>
    <w:rsid w:val="00BB7FE6"/>
    <w:rsid w:val="00C47572"/>
    <w:rsid w:val="00D346F6"/>
    <w:rsid w:val="00E82A7C"/>
    <w:rsid w:val="00FE1E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5448"/>
  <w15:chartTrackingRefBased/>
  <w15:docId w15:val="{5C36A5D2-558E-4E69-BA79-624E9A82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78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9-2022/2020/Lei/L13986.htm" TargetMode="External"/><Relationship Id="rId13" Type="http://schemas.openxmlformats.org/officeDocument/2006/relationships/hyperlink" Target="https://www.planalto.gov.br/ccivil_03/_Ato2019-2022/2020/Lei/L13986.htm" TargetMode="External"/><Relationship Id="rId18" Type="http://schemas.openxmlformats.org/officeDocument/2006/relationships/hyperlink" Target="https://www.planalto.gov.br/ccivil_03/_Ato2019-2022/2020/Lei/L13986.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planalto.gov.br/ccivil_03/_Ato2019-2022/2020/Lei/L13986.htm" TargetMode="External"/><Relationship Id="rId12" Type="http://schemas.openxmlformats.org/officeDocument/2006/relationships/hyperlink" Target="https://www.planalto.gov.br/ccivil_03/_Ato2019-2022/2020/Lei/L13986.htm" TargetMode="External"/><Relationship Id="rId17" Type="http://schemas.openxmlformats.org/officeDocument/2006/relationships/hyperlink" Target="https://www.planalto.gov.br/ccivil_03/leis/Mensagem_Veto/2000/Mv2113-00.htm" TargetMode="External"/><Relationship Id="rId2" Type="http://schemas.openxmlformats.org/officeDocument/2006/relationships/settings" Target="settings.xml"/><Relationship Id="rId16" Type="http://schemas.openxmlformats.org/officeDocument/2006/relationships/hyperlink" Target="https://www.planalto.gov.br/ccivil_03/leis/Mensagem_Veto/2000/Mv2113-00.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_Ato2019-2022/2020/Lei/L13986.htm" TargetMode="External"/><Relationship Id="rId11" Type="http://schemas.openxmlformats.org/officeDocument/2006/relationships/hyperlink" Target="https://www.planalto.gov.br/ccivil_03/_Ato2019-2022/2020/Lei/L13986.htm" TargetMode="External"/><Relationship Id="rId5"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_Ato2019-2022/2020/Lei/L13986.htm" TargetMode="External"/><Relationship Id="rId10" Type="http://schemas.openxmlformats.org/officeDocument/2006/relationships/hyperlink" Target="https://www.planalto.gov.br/ccivil_03/_Ato2019-2022/2020/Lei/L13986.htm" TargetMode="External"/><Relationship Id="rId19" Type="http://schemas.openxmlformats.org/officeDocument/2006/relationships/hyperlink" Target="https://www.planalto.gov.br/ccivil_03/leis/L8935.htm" TargetMode="External"/><Relationship Id="rId4" Type="http://schemas.openxmlformats.org/officeDocument/2006/relationships/hyperlink" Target="http://legislacao.planalto.gov.br/legisla/legislacao.nsf/Viw_Identificacao/lei%2010.169-2000?OpenDocument" TargetMode="External"/><Relationship Id="rId9" Type="http://schemas.openxmlformats.org/officeDocument/2006/relationships/hyperlink" Target="https://www.planalto.gov.br/ccivil_03/_Ato2019-2022/2020/Lei/L13986.htm" TargetMode="External"/><Relationship Id="rId14" Type="http://schemas.openxmlformats.org/officeDocument/2006/relationships/hyperlink" Target="https://www.planalto.gov.br/ccivil_03/_Ato2019-2022/2020/Lei/L13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1531</Words>
  <Characters>8273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9</cp:revision>
  <dcterms:created xsi:type="dcterms:W3CDTF">2023-04-15T16:27:00Z</dcterms:created>
  <dcterms:modified xsi:type="dcterms:W3CDTF">2023-04-24T17:42:00Z</dcterms:modified>
</cp:coreProperties>
</file>