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CA245" w14:textId="3FDD9600" w:rsidR="00FE6FA4" w:rsidRPr="00FE6FA4" w:rsidRDefault="00FE6FA4" w:rsidP="00C94CE0">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FE6FA4">
        <w:rPr>
          <w:rFonts w:ascii="Book Antiqua" w:eastAsia="Times New Roman" w:hAnsi="Book Antiqua" w:cs="Arial"/>
          <w:b/>
          <w:bCs/>
          <w:color w:val="FF0000"/>
          <w:kern w:val="0"/>
          <w:sz w:val="19"/>
          <w:szCs w:val="19"/>
          <w:lang w:eastAsia="pt-BR"/>
          <w14:ligatures w14:val="none"/>
        </w:rPr>
        <w:t xml:space="preserve">(Atualização em </w:t>
      </w:r>
      <w:r w:rsidR="000667F1">
        <w:rPr>
          <w:rFonts w:ascii="Book Antiqua" w:eastAsia="Times New Roman" w:hAnsi="Book Antiqua" w:cs="Arial"/>
          <w:b/>
          <w:bCs/>
          <w:color w:val="FF0000"/>
          <w:kern w:val="0"/>
          <w:sz w:val="19"/>
          <w:szCs w:val="19"/>
          <w:lang w:eastAsia="pt-BR"/>
          <w14:ligatures w14:val="none"/>
        </w:rPr>
        <w:t>19/07</w:t>
      </w:r>
      <w:r w:rsidR="00C94CE0">
        <w:rPr>
          <w:rFonts w:ascii="Book Antiqua" w:eastAsia="Times New Roman" w:hAnsi="Book Antiqua" w:cs="Arial"/>
          <w:b/>
          <w:bCs/>
          <w:color w:val="FF0000"/>
          <w:kern w:val="0"/>
          <w:sz w:val="19"/>
          <w:szCs w:val="19"/>
          <w:lang w:eastAsia="pt-BR"/>
          <w14:ligatures w14:val="none"/>
        </w:rPr>
        <w:t>/2025</w:t>
      </w:r>
      <w:r w:rsidRPr="00FE6FA4">
        <w:rPr>
          <w:rFonts w:ascii="Book Antiqua" w:eastAsia="Times New Roman" w:hAnsi="Book Antiqua" w:cs="Arial"/>
          <w:b/>
          <w:bCs/>
          <w:color w:val="FF0000"/>
          <w:kern w:val="0"/>
          <w:sz w:val="19"/>
          <w:szCs w:val="19"/>
          <w:lang w:eastAsia="pt-BR"/>
          <w14:ligatures w14:val="none"/>
        </w:rPr>
        <w:t>: questões de concurso</w:t>
      </w:r>
      <w:r w:rsidR="0030695F">
        <w:rPr>
          <w:rFonts w:ascii="Book Antiqua" w:eastAsia="Times New Roman" w:hAnsi="Book Antiqua" w:cs="Arial"/>
          <w:b/>
          <w:bCs/>
          <w:color w:val="FF0000"/>
          <w:kern w:val="0"/>
          <w:sz w:val="19"/>
          <w:szCs w:val="19"/>
          <w:lang w:eastAsia="pt-BR"/>
          <w14:ligatures w14:val="none"/>
        </w:rPr>
        <w:t xml:space="preserve">; </w:t>
      </w:r>
      <w:r w:rsidR="0030695F" w:rsidRPr="0030695F">
        <w:rPr>
          <w:rFonts w:ascii="Book Antiqua" w:eastAsia="Times New Roman" w:hAnsi="Book Antiqua" w:cs="Arial"/>
          <w:b/>
          <w:bCs/>
          <w:color w:val="FF0000"/>
          <w:kern w:val="0"/>
          <w:sz w:val="19"/>
          <w:szCs w:val="19"/>
          <w:lang w:eastAsia="pt-BR"/>
          <w14:ligatures w14:val="none"/>
        </w:rPr>
        <w:t>Lei nº 15.131, de 29.4.2025</w:t>
      </w:r>
      <w:r w:rsidRPr="00FE6FA4">
        <w:rPr>
          <w:rFonts w:ascii="Book Antiqua" w:eastAsia="Times New Roman" w:hAnsi="Book Antiqua" w:cs="Arial"/>
          <w:b/>
          <w:bCs/>
          <w:color w:val="FF0000"/>
          <w:kern w:val="0"/>
          <w:sz w:val="19"/>
          <w:szCs w:val="19"/>
          <w:lang w:eastAsia="pt-BR"/>
          <w14:ligatures w14:val="none"/>
        </w:rPr>
        <w:t>)</w:t>
      </w:r>
    </w:p>
    <w:p w14:paraId="271C51FB" w14:textId="58D9D5D1" w:rsidR="00FE6FA4" w:rsidRPr="00FE6FA4" w:rsidRDefault="00FE6FA4" w:rsidP="00C94CE0">
      <w:pPr>
        <w:spacing w:before="100" w:beforeAutospacing="1" w:after="100" w:afterAutospacing="1" w:line="240" w:lineRule="auto"/>
        <w:ind w:firstLine="432"/>
        <w:jc w:val="center"/>
        <w:rPr>
          <w:rFonts w:ascii="Book Antiqua" w:eastAsia="Times New Roman" w:hAnsi="Book Antiqua" w:cs="Times New Roman"/>
          <w:color w:val="000000"/>
          <w:kern w:val="0"/>
          <w:sz w:val="19"/>
          <w:szCs w:val="19"/>
          <w:lang w:eastAsia="pt-BR"/>
          <w14:ligatures w14:val="none"/>
        </w:rPr>
      </w:pPr>
      <w:hyperlink r:id="rId4" w:history="1">
        <w:r w:rsidRPr="00FE6FA4">
          <w:rPr>
            <w:rFonts w:ascii="Book Antiqua" w:eastAsia="Times New Roman" w:hAnsi="Book Antiqua" w:cs="Arial"/>
            <w:b/>
            <w:bCs/>
            <w:color w:val="000080"/>
            <w:kern w:val="0"/>
            <w:sz w:val="19"/>
            <w:szCs w:val="19"/>
            <w:u w:val="single"/>
            <w:lang w:eastAsia="pt-BR"/>
            <w14:ligatures w14:val="none"/>
          </w:rPr>
          <w:t>LEI Nº 12.764, DE 27 DE DEZEMBRO DE 2012.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FE6FA4" w:rsidRPr="00FE6FA4" w14:paraId="712BFDA2" w14:textId="77777777" w:rsidTr="00FE6FA4">
        <w:trPr>
          <w:tblCellSpacing w:w="0" w:type="dxa"/>
        </w:trPr>
        <w:tc>
          <w:tcPr>
            <w:tcW w:w="1417" w:type="pct"/>
            <w:vAlign w:val="center"/>
            <w:hideMark/>
          </w:tcPr>
          <w:p w14:paraId="034F8BCD" w14:textId="1338151F" w:rsidR="00FE6FA4" w:rsidRPr="00FE6FA4" w:rsidRDefault="00FE6FA4" w:rsidP="00C94CE0">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p>
        </w:tc>
        <w:tc>
          <w:tcPr>
            <w:tcW w:w="3583" w:type="pct"/>
            <w:vAlign w:val="center"/>
            <w:hideMark/>
          </w:tcPr>
          <w:p w14:paraId="1DB2D898" w14:textId="77777777" w:rsidR="00FE6FA4" w:rsidRPr="00FE6FA4" w:rsidRDefault="00FE6FA4" w:rsidP="00C94CE0">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FE6FA4">
              <w:rPr>
                <w:rFonts w:ascii="Book Antiqua" w:eastAsia="Times New Roman" w:hAnsi="Book Antiqua" w:cs="Arial"/>
                <w:color w:val="800000"/>
                <w:kern w:val="0"/>
                <w:sz w:val="18"/>
                <w:szCs w:val="18"/>
                <w:lang w:eastAsia="pt-BR"/>
                <w14:ligatures w14:val="none"/>
              </w:rPr>
              <w:t>Institui a Política Nacional de Proteção dos Direitos da Pessoa com Transtorno do Espectro Autista; e altera o § 3º do art. 98 da Lei nº 8.112, de 11 de dezembro de 1990.</w:t>
            </w:r>
          </w:p>
        </w:tc>
      </w:tr>
    </w:tbl>
    <w:p w14:paraId="3FAE2C75"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E6FA4">
        <w:rPr>
          <w:rFonts w:ascii="Book Antiqua" w:eastAsia="Times New Roman" w:hAnsi="Book Antiqua" w:cs="Arial"/>
          <w:b/>
          <w:bCs/>
          <w:color w:val="000000"/>
          <w:kern w:val="0"/>
          <w:sz w:val="19"/>
          <w:szCs w:val="19"/>
          <w:lang w:eastAsia="pt-BR"/>
          <w14:ligatures w14:val="none"/>
        </w:rPr>
        <w:t>A PRESIDENTA DA REPÚBLICA </w:t>
      </w:r>
      <w:r w:rsidRPr="00FE6FA4">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17EC610B"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FE6FA4">
        <w:rPr>
          <w:rFonts w:ascii="Book Antiqua" w:eastAsia="Times New Roman" w:hAnsi="Book Antiqua" w:cs="Arial"/>
          <w:b/>
          <w:bCs/>
          <w:color w:val="000000"/>
          <w:kern w:val="0"/>
          <w:sz w:val="19"/>
          <w:szCs w:val="19"/>
          <w:highlight w:val="magenta"/>
          <w:lang w:eastAsia="pt-BR"/>
          <w14:ligatures w14:val="none"/>
        </w:rPr>
        <w:t>Art. 1º</w:t>
      </w:r>
      <w:r w:rsidRPr="00FE6FA4">
        <w:rPr>
          <w:rFonts w:ascii="Book Antiqua" w:eastAsia="Times New Roman" w:hAnsi="Book Antiqua" w:cs="Arial"/>
          <w:color w:val="000000"/>
          <w:kern w:val="0"/>
          <w:sz w:val="19"/>
          <w:szCs w:val="19"/>
          <w:lang w:eastAsia="pt-BR"/>
          <w14:ligatures w14:val="none"/>
        </w:rPr>
        <w:t xml:space="preserve"> Esta Lei institui a Política Nacional de Proteção dos Direitos da Pessoa com Transtorno do Espectro Autista e estabelece diretrizes para sua consecução.</w:t>
      </w:r>
    </w:p>
    <w:p w14:paraId="6253A2FC"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1§1"/>
      <w:bookmarkEnd w:id="1"/>
      <w:r w:rsidRPr="00FE6FA4">
        <w:rPr>
          <w:rFonts w:ascii="Book Antiqua" w:eastAsia="Times New Roman" w:hAnsi="Book Antiqua" w:cs="Arial"/>
          <w:color w:val="000000"/>
          <w:kern w:val="0"/>
          <w:sz w:val="19"/>
          <w:szCs w:val="19"/>
          <w:lang w:eastAsia="pt-BR"/>
          <w14:ligatures w14:val="none"/>
        </w:rPr>
        <w:t>§ 1º Para os efeitos desta Lei, é considerada pessoa com transtorno do espectro autista aquela portadora de síndrome clínica caracterizada na forma dos seguintes incisos I ou II:</w:t>
      </w:r>
    </w:p>
    <w:p w14:paraId="3DA07C08"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1§1i"/>
      <w:bookmarkEnd w:id="2"/>
      <w:r w:rsidRPr="00FE6FA4">
        <w:rPr>
          <w:rFonts w:ascii="Book Antiqua" w:eastAsia="Times New Roman" w:hAnsi="Book Antiqua" w:cs="Arial"/>
          <w:color w:val="000000"/>
          <w:kern w:val="0"/>
          <w:sz w:val="19"/>
          <w:szCs w:val="19"/>
          <w:lang w:eastAsia="pt-BR"/>
          <w14:ligatures w14:val="none"/>
        </w:rPr>
        <w:t>I - deficiência persistente e clinicamente significativa da comunicação e da interação sociais, manifestada por deficiência marcada de comunicação verbal e não verbal usada para interação social; ausência de reciprocidade social; falência em desenvolver e manter relações apropriadas ao seu nível de desenvolvimento;</w:t>
      </w:r>
    </w:p>
    <w:p w14:paraId="50C31A9E"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1§1ii"/>
      <w:bookmarkEnd w:id="3"/>
      <w:r w:rsidRPr="00FE6FA4">
        <w:rPr>
          <w:rFonts w:ascii="Book Antiqua" w:eastAsia="Times New Roman" w:hAnsi="Book Antiqua" w:cs="Arial"/>
          <w:color w:val="000000"/>
          <w:kern w:val="0"/>
          <w:sz w:val="19"/>
          <w:szCs w:val="19"/>
          <w:lang w:eastAsia="pt-BR"/>
          <w14:ligatures w14:val="none"/>
        </w:rPr>
        <w:t>II - padrões restritivos e repetitivos de comportamentos, interesses e atividades, manifestados por comportamentos motores ou verbais estereotipados ou por comportamentos sensoriais incomuns; excessiva aderência a rotinas e padrões de comportamento ritualizados; interesses restritos e fixos.</w:t>
      </w:r>
    </w:p>
    <w:p w14:paraId="67E105D3" w14:textId="29A75BB8" w:rsidR="00FE6FA4" w:rsidRPr="000667F1"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u w:val="single"/>
          <w:lang w:eastAsia="pt-BR"/>
          <w14:ligatures w14:val="none"/>
        </w:rPr>
      </w:pPr>
      <w:bookmarkStart w:id="4" w:name="art1§2"/>
      <w:bookmarkEnd w:id="4"/>
      <w:r w:rsidRPr="00FE6FA4">
        <w:rPr>
          <w:rFonts w:ascii="Book Antiqua" w:eastAsia="Times New Roman" w:hAnsi="Book Antiqua" w:cs="Arial"/>
          <w:b/>
          <w:bCs/>
          <w:color w:val="000000"/>
          <w:kern w:val="0"/>
          <w:sz w:val="19"/>
          <w:szCs w:val="19"/>
          <w:highlight w:val="magenta"/>
          <w:lang w:eastAsia="pt-BR"/>
          <w14:ligatures w14:val="none"/>
        </w:rPr>
        <w:t>§ 2º</w:t>
      </w:r>
      <w:r w:rsidRPr="00FE6FA4">
        <w:rPr>
          <w:rFonts w:ascii="Book Antiqua" w:eastAsia="Times New Roman" w:hAnsi="Book Antiqua" w:cs="Arial"/>
          <w:b/>
          <w:bCs/>
          <w:color w:val="000000"/>
          <w:kern w:val="0"/>
          <w:sz w:val="19"/>
          <w:szCs w:val="19"/>
          <w:lang w:eastAsia="pt-BR"/>
          <w14:ligatures w14:val="none"/>
        </w:rPr>
        <w:t xml:space="preserve"> A pessoa com transtorno do espectro autista é considerada pessoa com deficiência, para todos os efeitos legais</w:t>
      </w:r>
      <w:r w:rsidRPr="00FE6FA4">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hAnsi="Book Antiqua"/>
          <w:b/>
          <w:color w:val="FF0000"/>
          <w:sz w:val="16"/>
          <w:szCs w:val="16"/>
          <w:u w:val="single"/>
        </w:rPr>
        <w:t>(ENAM/1º-2024)</w:t>
      </w:r>
      <w:r w:rsidR="000667F1">
        <w:rPr>
          <w:rFonts w:ascii="Book Antiqua" w:hAnsi="Book Antiqua"/>
          <w:b/>
          <w:color w:val="FF0000"/>
          <w:sz w:val="16"/>
          <w:szCs w:val="16"/>
        </w:rPr>
        <w:t xml:space="preserve"> </w:t>
      </w:r>
      <w:r w:rsidR="000667F1">
        <w:rPr>
          <w:rFonts w:ascii="Book Antiqua" w:hAnsi="Book Antiqua"/>
          <w:b/>
          <w:color w:val="FF0000"/>
          <w:sz w:val="16"/>
          <w:szCs w:val="16"/>
          <w:u w:val="single"/>
        </w:rPr>
        <w:t>(MPSC-2024)</w:t>
      </w:r>
    </w:p>
    <w:p w14:paraId="3EA9551B" w14:textId="34590A7B"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5" w:name="art1§3"/>
      <w:bookmarkEnd w:id="5"/>
      <w:r w:rsidRPr="00C94CE0">
        <w:rPr>
          <w:rFonts w:ascii="Book Antiqua" w:eastAsia="Times New Roman" w:hAnsi="Book Antiqua" w:cs="Arial"/>
          <w:b/>
          <w:bCs/>
          <w:color w:val="000000"/>
          <w:kern w:val="0"/>
          <w:sz w:val="19"/>
          <w:szCs w:val="19"/>
          <w:highlight w:val="magenta"/>
          <w:lang w:eastAsia="pt-BR"/>
          <w14:ligatures w14:val="none"/>
        </w:rPr>
        <w:t>§ 3º</w:t>
      </w:r>
      <w:r w:rsidRPr="00C94CE0">
        <w:rPr>
          <w:rFonts w:ascii="Book Antiqua" w:eastAsia="Times New Roman" w:hAnsi="Book Antiqua" w:cs="Arial"/>
          <w:b/>
          <w:bCs/>
          <w:color w:val="000000"/>
          <w:kern w:val="0"/>
          <w:sz w:val="19"/>
          <w:szCs w:val="19"/>
          <w:lang w:eastAsia="pt-BR"/>
          <w14:ligatures w14:val="none"/>
        </w:rPr>
        <w:t xml:space="preserve"> Os estabelecimentos públicos e privados referidos na Lei nº 10.048, de 8 de novembro de 2000, poderão valer-se da fita quebra-cabeça, símbolo mundial da conscientização do transtorno do espectro autista, para identificar a prioridade devida às pessoas com transtorno do espectro autista</w:t>
      </w:r>
      <w:r w:rsidRPr="00C94CE0">
        <w:rPr>
          <w:rFonts w:ascii="Book Antiqua" w:eastAsia="Times New Roman" w:hAnsi="Book Antiqua" w:cs="Arial"/>
          <w:b/>
          <w:bCs/>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5"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r w:rsidR="00C94CE0">
        <w:t xml:space="preserve"> </w:t>
      </w:r>
      <w:r w:rsidR="00C94CE0">
        <w:rPr>
          <w:rFonts w:ascii="Book Antiqua" w:hAnsi="Book Antiqua"/>
          <w:b/>
          <w:bCs/>
          <w:color w:val="FF0000"/>
          <w:sz w:val="16"/>
          <w:szCs w:val="16"/>
          <w:u w:val="single"/>
        </w:rPr>
        <w:t>(Cartórios/TJAM-2023)</w:t>
      </w:r>
    </w:p>
    <w:tbl>
      <w:tblPr>
        <w:tblStyle w:val="Tabelacomgrade"/>
        <w:tblW w:w="0" w:type="auto"/>
        <w:tblLook w:val="04A0" w:firstRow="1" w:lastRow="0" w:firstColumn="1" w:lastColumn="0" w:noHBand="0" w:noVBand="1"/>
      </w:tblPr>
      <w:tblGrid>
        <w:gridCol w:w="8494"/>
      </w:tblGrid>
      <w:tr w:rsidR="00C94CE0" w14:paraId="6376C78A" w14:textId="77777777" w:rsidTr="00C94CE0">
        <w:tc>
          <w:tcPr>
            <w:tcW w:w="8494" w:type="dxa"/>
            <w:shd w:val="clear" w:color="auto" w:fill="CCFFFF"/>
          </w:tcPr>
          <w:p w14:paraId="5E61A7FF" w14:textId="5A27095C" w:rsidR="00C94CE0" w:rsidRPr="00C94CE0" w:rsidRDefault="00C94CE0" w:rsidP="00C94CE0">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C94CE0">
              <w:rPr>
                <w:rFonts w:ascii="Book Antiqua" w:eastAsia="Times New Roman" w:hAnsi="Book Antiqua" w:cs="Arial"/>
                <w:b/>
                <w:bCs/>
                <w:color w:val="000000"/>
                <w:kern w:val="0"/>
                <w:sz w:val="19"/>
                <w:szCs w:val="19"/>
                <w:highlight w:val="yellow"/>
                <w:lang w:eastAsia="pt-BR"/>
                <w14:ligatures w14:val="none"/>
              </w:rPr>
              <w:t>Cartórios/TJAM-2023</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C94CE0">
              <w:rPr>
                <w:rFonts w:ascii="Book Antiqua" w:eastAsia="Times New Roman" w:hAnsi="Book Antiqua" w:cs="Arial"/>
                <w:color w:val="000000"/>
                <w:kern w:val="0"/>
                <w:sz w:val="19"/>
                <w:szCs w:val="19"/>
                <w:lang w:eastAsia="pt-BR"/>
                <w14:ligatures w14:val="none"/>
              </w:rPr>
              <w:t>A “fita quebra-cabeças”, que, conforme a Lei n. 13.977 de 2020, pode ser visualizada em estabelecimentos públicos e privados para indicar prioridade em filas, estacionamentos e outros, é:</w:t>
            </w:r>
            <w:r>
              <w:rPr>
                <w:rFonts w:ascii="Book Antiqua" w:eastAsia="Times New Roman" w:hAnsi="Book Antiqua" w:cs="Arial"/>
                <w:color w:val="000000"/>
                <w:kern w:val="0"/>
                <w:sz w:val="19"/>
                <w:szCs w:val="19"/>
                <w:lang w:eastAsia="pt-BR"/>
                <w14:ligatures w14:val="none"/>
              </w:rPr>
              <w:t xml:space="preserve"> </w:t>
            </w:r>
            <w:r w:rsidRPr="00C94CE0">
              <w:rPr>
                <w:rFonts w:ascii="Book Antiqua" w:eastAsia="Times New Roman" w:hAnsi="Book Antiqua" w:cs="Arial"/>
                <w:color w:val="000000"/>
                <w:kern w:val="0"/>
                <w:sz w:val="19"/>
                <w:szCs w:val="19"/>
                <w:lang w:eastAsia="pt-BR"/>
                <w14:ligatures w14:val="none"/>
              </w:rPr>
              <w:t>O símbolo mundial da conscientização do transtorno do espectro autista.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1º, §3º, Lei 12764.</w:t>
            </w:r>
          </w:p>
        </w:tc>
      </w:tr>
    </w:tbl>
    <w:p w14:paraId="0132C467" w14:textId="14D26E73"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E6FA4">
        <w:rPr>
          <w:rFonts w:ascii="Book Antiqua" w:eastAsia="Times New Roman" w:hAnsi="Book Antiqua" w:cs="Arial"/>
          <w:color w:val="000000"/>
          <w:kern w:val="0"/>
          <w:sz w:val="19"/>
          <w:szCs w:val="19"/>
          <w:lang w:eastAsia="pt-BR"/>
          <w14:ligatures w14:val="none"/>
        </w:rPr>
        <w:t>Art. 2º São diretrizes da Política Nacional de Proteção dos Direitos da Pessoa com Transtorno do Espectro Autista:</w:t>
      </w:r>
    </w:p>
    <w:p w14:paraId="13A563DC"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2i"/>
      <w:bookmarkEnd w:id="6"/>
      <w:r w:rsidRPr="00FE6FA4">
        <w:rPr>
          <w:rFonts w:ascii="Book Antiqua" w:eastAsia="Times New Roman" w:hAnsi="Book Antiqua" w:cs="Arial"/>
          <w:color w:val="000000"/>
          <w:kern w:val="0"/>
          <w:sz w:val="19"/>
          <w:szCs w:val="19"/>
          <w:lang w:eastAsia="pt-BR"/>
          <w14:ligatures w14:val="none"/>
        </w:rPr>
        <w:t>I - a intersetorialidade no desenvolvimento das ações e das políticas e no atendimento à pessoa com transtorno do espectro autista;</w:t>
      </w:r>
    </w:p>
    <w:p w14:paraId="4AF4AA7E"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2ii"/>
      <w:bookmarkEnd w:id="7"/>
      <w:r w:rsidRPr="00FE6FA4">
        <w:rPr>
          <w:rFonts w:ascii="Book Antiqua" w:eastAsia="Times New Roman" w:hAnsi="Book Antiqua" w:cs="Arial"/>
          <w:color w:val="000000"/>
          <w:kern w:val="0"/>
          <w:sz w:val="19"/>
          <w:szCs w:val="19"/>
          <w:lang w:eastAsia="pt-BR"/>
          <w14:ligatures w14:val="none"/>
        </w:rPr>
        <w:t>II - a participação da comunidade na formulação de políticas públicas voltadas para as pessoas com transtorno do espectro autista e o controle social da sua implantação, acompanhamento e avaliação;</w:t>
      </w:r>
    </w:p>
    <w:p w14:paraId="273D7243"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2iii"/>
      <w:bookmarkEnd w:id="8"/>
      <w:r w:rsidRPr="00FE6FA4">
        <w:rPr>
          <w:rFonts w:ascii="Book Antiqua" w:eastAsia="Times New Roman" w:hAnsi="Book Antiqua" w:cs="Arial"/>
          <w:color w:val="000000"/>
          <w:kern w:val="0"/>
          <w:sz w:val="19"/>
          <w:szCs w:val="19"/>
          <w:lang w:eastAsia="pt-BR"/>
          <w14:ligatures w14:val="none"/>
        </w:rPr>
        <w:t>III - a atenção integral às necessidades de saúde da pessoa com transtorno do espectro autista, objetivando o diagnóstico precoce, o atendimento multiprofissional e o acesso a medicamentos e nutrientes;</w:t>
      </w:r>
    </w:p>
    <w:p w14:paraId="7B554542"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9" w:name="art2iv"/>
      <w:bookmarkEnd w:id="9"/>
      <w:r w:rsidRPr="00FE6FA4">
        <w:rPr>
          <w:rFonts w:ascii="Book Antiqua" w:eastAsia="Times New Roman" w:hAnsi="Book Antiqua" w:cs="Arial"/>
          <w:color w:val="000000"/>
          <w:kern w:val="0"/>
          <w:sz w:val="16"/>
          <w:szCs w:val="16"/>
          <w:lang w:eastAsia="pt-BR"/>
          <w14:ligatures w14:val="none"/>
        </w:rPr>
        <w:t>IV - (VETADO);</w:t>
      </w:r>
    </w:p>
    <w:p w14:paraId="114EFBC7"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2v"/>
      <w:bookmarkEnd w:id="10"/>
      <w:r w:rsidRPr="00FE6FA4">
        <w:rPr>
          <w:rFonts w:ascii="Book Antiqua" w:eastAsia="Times New Roman" w:hAnsi="Book Antiqua" w:cs="Arial"/>
          <w:color w:val="000000"/>
          <w:kern w:val="0"/>
          <w:sz w:val="19"/>
          <w:szCs w:val="19"/>
          <w:lang w:eastAsia="pt-BR"/>
          <w14:ligatures w14:val="none"/>
        </w:rPr>
        <w:t>V - o estímulo à inserção da pessoa com transtorno do espectro autista no mercado de trabalho, observadas as peculiaridades da deficiência e as disposições da </w:t>
      </w:r>
      <w:hyperlink r:id="rId6" w:history="1">
        <w:r w:rsidRPr="00FE6FA4">
          <w:rPr>
            <w:rFonts w:ascii="Book Antiqua" w:eastAsia="Times New Roman" w:hAnsi="Book Antiqua" w:cs="Arial"/>
            <w:color w:val="0000FF"/>
            <w:kern w:val="0"/>
            <w:sz w:val="19"/>
            <w:szCs w:val="19"/>
            <w:u w:val="single"/>
            <w:lang w:eastAsia="pt-BR"/>
            <w14:ligatures w14:val="none"/>
          </w:rPr>
          <w:t>Lei nº 8.069, de 13 de julho de 1990 </w:t>
        </w:r>
      </w:hyperlink>
      <w:r w:rsidRPr="00FE6FA4">
        <w:rPr>
          <w:rFonts w:ascii="Book Antiqua" w:eastAsia="Times New Roman" w:hAnsi="Book Antiqua" w:cs="Arial"/>
          <w:color w:val="000000"/>
          <w:kern w:val="0"/>
          <w:sz w:val="19"/>
          <w:szCs w:val="19"/>
          <w:lang w:eastAsia="pt-BR"/>
          <w14:ligatures w14:val="none"/>
        </w:rPr>
        <w:t>(Estatuto da Criança e do Adolescente);</w:t>
      </w:r>
    </w:p>
    <w:p w14:paraId="1E1DAC14"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 w:name="art2vi"/>
      <w:bookmarkEnd w:id="11"/>
      <w:r w:rsidRPr="00FE6FA4">
        <w:rPr>
          <w:rFonts w:ascii="Book Antiqua" w:eastAsia="Times New Roman" w:hAnsi="Book Antiqua" w:cs="Arial"/>
          <w:color w:val="000000"/>
          <w:kern w:val="0"/>
          <w:sz w:val="19"/>
          <w:szCs w:val="19"/>
          <w:lang w:eastAsia="pt-BR"/>
          <w14:ligatures w14:val="none"/>
        </w:rPr>
        <w:lastRenderedPageBreak/>
        <w:t>VI - a responsabilidade do poder público quanto à informação pública relativa ao transtorno e suas implicações;</w:t>
      </w:r>
    </w:p>
    <w:p w14:paraId="735F4A3D"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 w:name="art2vii"/>
      <w:bookmarkEnd w:id="12"/>
      <w:r w:rsidRPr="00FE6FA4">
        <w:rPr>
          <w:rFonts w:ascii="Book Antiqua" w:eastAsia="Times New Roman" w:hAnsi="Book Antiqua" w:cs="Arial"/>
          <w:color w:val="000000"/>
          <w:kern w:val="0"/>
          <w:sz w:val="19"/>
          <w:szCs w:val="19"/>
          <w:lang w:eastAsia="pt-BR"/>
          <w14:ligatures w14:val="none"/>
        </w:rPr>
        <w:t>VII - o incentivo à formação e à capacitação de profissionais especializados no atendimento à pessoa com transtorno do espectro autista, bem como a pais e responsáveis;</w:t>
      </w:r>
    </w:p>
    <w:p w14:paraId="29AFF13C"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 w:name="art2viii"/>
      <w:bookmarkEnd w:id="13"/>
      <w:r w:rsidRPr="00FE6FA4">
        <w:rPr>
          <w:rFonts w:ascii="Book Antiqua" w:eastAsia="Times New Roman" w:hAnsi="Book Antiqua" w:cs="Arial"/>
          <w:color w:val="000000"/>
          <w:kern w:val="0"/>
          <w:sz w:val="19"/>
          <w:szCs w:val="19"/>
          <w:lang w:eastAsia="pt-BR"/>
          <w14:ligatures w14:val="none"/>
        </w:rPr>
        <w:t>VIII - o estímulo à pesquisa científica, com prioridade para estudos epidemiológicos tendentes a dimensionar a magnitude e as características do problema relativo ao transtorno do espectro autista no País.</w:t>
      </w:r>
    </w:p>
    <w:p w14:paraId="5DC65400"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 w:name="art2p"/>
      <w:bookmarkEnd w:id="14"/>
      <w:r w:rsidRPr="00FE6FA4">
        <w:rPr>
          <w:rFonts w:ascii="Book Antiqua" w:eastAsia="Times New Roman" w:hAnsi="Book Antiqua" w:cs="Arial"/>
          <w:color w:val="000000"/>
          <w:kern w:val="0"/>
          <w:sz w:val="19"/>
          <w:szCs w:val="19"/>
          <w:lang w:eastAsia="pt-BR"/>
          <w14:ligatures w14:val="none"/>
        </w:rPr>
        <w:t>Parágrafo único. Para cumprimento das diretrizes de que trata este artigo, o poder público poderá firmar contrato de direito público ou convênio com pessoas jurídicas de direito privado.</w:t>
      </w:r>
    </w:p>
    <w:p w14:paraId="1C916F99"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 w:name="art3"/>
      <w:bookmarkEnd w:id="15"/>
      <w:r w:rsidRPr="00FE6FA4">
        <w:rPr>
          <w:rFonts w:ascii="Book Antiqua" w:eastAsia="Times New Roman" w:hAnsi="Book Antiqua" w:cs="Arial"/>
          <w:color w:val="000000"/>
          <w:kern w:val="0"/>
          <w:sz w:val="19"/>
          <w:szCs w:val="19"/>
          <w:lang w:eastAsia="pt-BR"/>
          <w14:ligatures w14:val="none"/>
        </w:rPr>
        <w:t>Art. 3º São direitos da pessoa com transtorno do espectro autista:</w:t>
      </w:r>
    </w:p>
    <w:p w14:paraId="12731421"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 w:name="art3i"/>
      <w:bookmarkEnd w:id="16"/>
      <w:r w:rsidRPr="00FE6FA4">
        <w:rPr>
          <w:rFonts w:ascii="Book Antiqua" w:eastAsia="Times New Roman" w:hAnsi="Book Antiqua" w:cs="Arial"/>
          <w:color w:val="000000"/>
          <w:kern w:val="0"/>
          <w:sz w:val="19"/>
          <w:szCs w:val="19"/>
          <w:lang w:eastAsia="pt-BR"/>
          <w14:ligatures w14:val="none"/>
        </w:rPr>
        <w:t>I - a vida digna, a integridade física e moral, o livre desenvolvimento da personalidade, a segurança e o lazer;</w:t>
      </w:r>
    </w:p>
    <w:p w14:paraId="63D7FDC5"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 w:name="art3ii"/>
      <w:bookmarkEnd w:id="17"/>
      <w:r w:rsidRPr="00FE6FA4">
        <w:rPr>
          <w:rFonts w:ascii="Book Antiqua" w:eastAsia="Times New Roman" w:hAnsi="Book Antiqua" w:cs="Arial"/>
          <w:color w:val="000000"/>
          <w:kern w:val="0"/>
          <w:sz w:val="19"/>
          <w:szCs w:val="19"/>
          <w:lang w:eastAsia="pt-BR"/>
          <w14:ligatures w14:val="none"/>
        </w:rPr>
        <w:t>II - a proteção contra qualquer forma de abuso e exploração;</w:t>
      </w:r>
    </w:p>
    <w:p w14:paraId="702F48DA"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 w:name="art3iii"/>
      <w:bookmarkEnd w:id="18"/>
      <w:r w:rsidRPr="00FE6FA4">
        <w:rPr>
          <w:rFonts w:ascii="Book Antiqua" w:eastAsia="Times New Roman" w:hAnsi="Book Antiqua" w:cs="Arial"/>
          <w:color w:val="000000"/>
          <w:kern w:val="0"/>
          <w:sz w:val="19"/>
          <w:szCs w:val="19"/>
          <w:lang w:eastAsia="pt-BR"/>
          <w14:ligatures w14:val="none"/>
        </w:rPr>
        <w:t>III - o acesso a ações e serviços de saúde, com vistas à atenção integral às suas necessidades de saúde, incluindo:</w:t>
      </w:r>
    </w:p>
    <w:p w14:paraId="610ACEAD"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 w:name="art3iiia"/>
      <w:bookmarkEnd w:id="19"/>
      <w:r w:rsidRPr="00FE6FA4">
        <w:rPr>
          <w:rFonts w:ascii="Book Antiqua" w:eastAsia="Times New Roman" w:hAnsi="Book Antiqua" w:cs="Arial"/>
          <w:color w:val="000000"/>
          <w:kern w:val="0"/>
          <w:sz w:val="19"/>
          <w:szCs w:val="19"/>
          <w:lang w:eastAsia="pt-BR"/>
          <w14:ligatures w14:val="none"/>
        </w:rPr>
        <w:t>a) o diagnóstico precoce, ainda que não definitivo;</w:t>
      </w:r>
    </w:p>
    <w:p w14:paraId="76A7A9DF"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 w:name="art3iiib"/>
      <w:bookmarkEnd w:id="20"/>
      <w:r w:rsidRPr="00FE6FA4">
        <w:rPr>
          <w:rFonts w:ascii="Book Antiqua" w:eastAsia="Times New Roman" w:hAnsi="Book Antiqua" w:cs="Arial"/>
          <w:color w:val="000000"/>
          <w:kern w:val="0"/>
          <w:sz w:val="19"/>
          <w:szCs w:val="19"/>
          <w:lang w:eastAsia="pt-BR"/>
          <w14:ligatures w14:val="none"/>
        </w:rPr>
        <w:t>b) o atendimento multiprofissional;</w:t>
      </w:r>
    </w:p>
    <w:p w14:paraId="192CC6DA"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 w:name="art3iiic"/>
      <w:bookmarkEnd w:id="21"/>
      <w:r w:rsidRPr="00FE6FA4">
        <w:rPr>
          <w:rFonts w:ascii="Book Antiqua" w:eastAsia="Times New Roman" w:hAnsi="Book Antiqua" w:cs="Arial"/>
          <w:color w:val="000000"/>
          <w:kern w:val="0"/>
          <w:sz w:val="19"/>
          <w:szCs w:val="19"/>
          <w:lang w:eastAsia="pt-BR"/>
          <w14:ligatures w14:val="none"/>
        </w:rPr>
        <w:t>c) a nutrição adequada e a terapia nutricional;</w:t>
      </w:r>
    </w:p>
    <w:p w14:paraId="65D54FF7"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 w:name="art3iiid"/>
      <w:bookmarkEnd w:id="22"/>
      <w:r w:rsidRPr="00FE6FA4">
        <w:rPr>
          <w:rFonts w:ascii="Book Antiqua" w:eastAsia="Times New Roman" w:hAnsi="Book Antiqua" w:cs="Arial"/>
          <w:color w:val="000000"/>
          <w:kern w:val="0"/>
          <w:sz w:val="19"/>
          <w:szCs w:val="19"/>
          <w:lang w:eastAsia="pt-BR"/>
          <w14:ligatures w14:val="none"/>
        </w:rPr>
        <w:t>d) os medicamentos;</w:t>
      </w:r>
    </w:p>
    <w:p w14:paraId="4369AE77"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 w:name="art3iiie"/>
      <w:bookmarkEnd w:id="23"/>
      <w:r w:rsidRPr="00FE6FA4">
        <w:rPr>
          <w:rFonts w:ascii="Book Antiqua" w:eastAsia="Times New Roman" w:hAnsi="Book Antiqua" w:cs="Arial"/>
          <w:color w:val="000000"/>
          <w:kern w:val="0"/>
          <w:sz w:val="19"/>
          <w:szCs w:val="19"/>
          <w:lang w:eastAsia="pt-BR"/>
          <w14:ligatures w14:val="none"/>
        </w:rPr>
        <w:t>e) informações que auxiliem no diagnóstico e no tratamento;</w:t>
      </w:r>
    </w:p>
    <w:p w14:paraId="4856EF1C"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 w:name="art3iv"/>
      <w:bookmarkEnd w:id="24"/>
      <w:r w:rsidRPr="00FE6FA4">
        <w:rPr>
          <w:rFonts w:ascii="Book Antiqua" w:eastAsia="Times New Roman" w:hAnsi="Book Antiqua" w:cs="Arial"/>
          <w:color w:val="000000"/>
          <w:kern w:val="0"/>
          <w:sz w:val="19"/>
          <w:szCs w:val="19"/>
          <w:lang w:eastAsia="pt-BR"/>
          <w14:ligatures w14:val="none"/>
        </w:rPr>
        <w:t>IV - o acesso:</w:t>
      </w:r>
    </w:p>
    <w:p w14:paraId="4A1FE3E2"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 w:name="art3iva"/>
      <w:bookmarkEnd w:id="25"/>
      <w:r w:rsidRPr="00FE6FA4">
        <w:rPr>
          <w:rFonts w:ascii="Book Antiqua" w:eastAsia="Times New Roman" w:hAnsi="Book Antiqua" w:cs="Arial"/>
          <w:color w:val="000000"/>
          <w:kern w:val="0"/>
          <w:sz w:val="19"/>
          <w:szCs w:val="19"/>
          <w:lang w:eastAsia="pt-BR"/>
          <w14:ligatures w14:val="none"/>
        </w:rPr>
        <w:t>a) à educação e ao ensino profissionalizante;</w:t>
      </w:r>
    </w:p>
    <w:p w14:paraId="44761F5B"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 w:name="art3ivb"/>
      <w:bookmarkEnd w:id="26"/>
      <w:r w:rsidRPr="00FE6FA4">
        <w:rPr>
          <w:rFonts w:ascii="Book Antiqua" w:eastAsia="Times New Roman" w:hAnsi="Book Antiqua" w:cs="Arial"/>
          <w:color w:val="000000"/>
          <w:kern w:val="0"/>
          <w:sz w:val="19"/>
          <w:szCs w:val="19"/>
          <w:lang w:eastAsia="pt-BR"/>
          <w14:ligatures w14:val="none"/>
        </w:rPr>
        <w:t>b) à moradia, inclusive à residência protegida;</w:t>
      </w:r>
    </w:p>
    <w:p w14:paraId="029DC020"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 w:name="art3ivc"/>
      <w:bookmarkEnd w:id="27"/>
      <w:r w:rsidRPr="00FE6FA4">
        <w:rPr>
          <w:rFonts w:ascii="Book Antiqua" w:eastAsia="Times New Roman" w:hAnsi="Book Antiqua" w:cs="Arial"/>
          <w:color w:val="000000"/>
          <w:kern w:val="0"/>
          <w:sz w:val="19"/>
          <w:szCs w:val="19"/>
          <w:lang w:eastAsia="pt-BR"/>
          <w14:ligatures w14:val="none"/>
        </w:rPr>
        <w:t>c) ao mercado de trabalho;</w:t>
      </w:r>
    </w:p>
    <w:p w14:paraId="78E04BD6"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 w:name="art3ivd"/>
      <w:bookmarkEnd w:id="28"/>
      <w:r w:rsidRPr="00FE6FA4">
        <w:rPr>
          <w:rFonts w:ascii="Book Antiqua" w:eastAsia="Times New Roman" w:hAnsi="Book Antiqua" w:cs="Arial"/>
          <w:color w:val="000000"/>
          <w:kern w:val="0"/>
          <w:sz w:val="19"/>
          <w:szCs w:val="19"/>
          <w:lang w:eastAsia="pt-BR"/>
          <w14:ligatures w14:val="none"/>
        </w:rPr>
        <w:t>d) à previdência social e à assistência social.</w:t>
      </w:r>
    </w:p>
    <w:p w14:paraId="3AF08C41" w14:textId="77777777" w:rsidR="0030695F" w:rsidRPr="0030695F" w:rsidRDefault="0030695F" w:rsidP="0030695F">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9" w:name="art3p"/>
      <w:bookmarkEnd w:id="29"/>
      <w:r w:rsidRPr="0030695F">
        <w:rPr>
          <w:rFonts w:ascii="Book Antiqua" w:eastAsia="Times New Roman" w:hAnsi="Book Antiqua" w:cs="Arial"/>
          <w:color w:val="000000"/>
          <w:kern w:val="0"/>
          <w:sz w:val="19"/>
          <w:szCs w:val="19"/>
          <w:lang w:eastAsia="pt-BR"/>
          <w14:ligatures w14:val="none"/>
        </w:rPr>
        <w:t>§1º Em casos de comprovada necessidade, a pessoa com transtorno do espectro autista incluída nas classes comuns de ensino regular, nos termos do inciso IV do art. 2º , terá direito a acompanhante especializado</w:t>
      </w:r>
      <w:r w:rsidRPr="0030695F">
        <w:rPr>
          <w:rFonts w:ascii="Book Antiqua" w:eastAsia="Times New Roman" w:hAnsi="Book Antiqua" w:cs="Arial"/>
          <w:color w:val="000000"/>
          <w:kern w:val="0"/>
          <w:sz w:val="16"/>
          <w:szCs w:val="16"/>
          <w:lang w:eastAsia="pt-BR"/>
          <w14:ligatures w14:val="none"/>
        </w:rPr>
        <w:t>.   </w:t>
      </w:r>
      <w:hyperlink r:id="rId7" w:anchor="art2" w:history="1">
        <w:r w:rsidRPr="0030695F">
          <w:rPr>
            <w:rStyle w:val="Hyperlink"/>
            <w:rFonts w:ascii="Book Antiqua" w:eastAsia="Times New Roman" w:hAnsi="Book Antiqua" w:cs="Arial"/>
            <w:color w:val="3333FF"/>
            <w:kern w:val="0"/>
            <w:sz w:val="16"/>
            <w:szCs w:val="16"/>
            <w:lang w:eastAsia="pt-BR"/>
            <w14:ligatures w14:val="none"/>
          </w:rPr>
          <w:t>(Redação dada pela Lei nº 15.131, de 2025)</w:t>
        </w:r>
      </w:hyperlink>
    </w:p>
    <w:p w14:paraId="39418044" w14:textId="77777777" w:rsidR="0030695F" w:rsidRPr="0030695F" w:rsidRDefault="0030695F" w:rsidP="0030695F">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0" w:name="art3§2"/>
      <w:bookmarkEnd w:id="30"/>
      <w:r w:rsidRPr="0030695F">
        <w:rPr>
          <w:rFonts w:ascii="Book Antiqua" w:eastAsia="Times New Roman" w:hAnsi="Book Antiqua" w:cs="Arial"/>
          <w:color w:val="000000"/>
          <w:kern w:val="0"/>
          <w:sz w:val="19"/>
          <w:szCs w:val="19"/>
          <w:lang w:eastAsia="pt-BR"/>
          <w14:ligatures w14:val="none"/>
        </w:rPr>
        <w:t>§ 2º A nutrição adequada e a terapia nutricional a que se refere a alínea “c” do inciso III do </w:t>
      </w:r>
      <w:r w:rsidRPr="0030695F">
        <w:rPr>
          <w:rFonts w:ascii="Book Antiqua" w:eastAsia="Times New Roman" w:hAnsi="Book Antiqua" w:cs="Arial"/>
          <w:i/>
          <w:iCs/>
          <w:color w:val="000000"/>
          <w:kern w:val="0"/>
          <w:sz w:val="19"/>
          <w:szCs w:val="19"/>
          <w:lang w:eastAsia="pt-BR"/>
          <w14:ligatures w14:val="none"/>
        </w:rPr>
        <w:t>caput</w:t>
      </w:r>
      <w:r w:rsidRPr="0030695F">
        <w:rPr>
          <w:rFonts w:ascii="Book Antiqua" w:eastAsia="Times New Roman" w:hAnsi="Book Antiqua" w:cs="Arial"/>
          <w:color w:val="000000"/>
          <w:kern w:val="0"/>
          <w:sz w:val="19"/>
          <w:szCs w:val="19"/>
          <w:lang w:eastAsia="pt-BR"/>
          <w14:ligatures w14:val="none"/>
        </w:rPr>
        <w:t> deste artigo compreendem todas as ações de promoção e de proteção da pessoa com transtorno do espectro autista sob o ponto de vista nutricional, realizadas por profissional de saúde legalmente habilitado, observados os protocolos clínicos e as diretrizes terapêuticas publicadas pela autoridade competente</w:t>
      </w:r>
      <w:r w:rsidRPr="0030695F">
        <w:rPr>
          <w:rFonts w:ascii="Book Antiqua" w:eastAsia="Times New Roman" w:hAnsi="Book Antiqua" w:cs="Arial"/>
          <w:color w:val="000000"/>
          <w:kern w:val="0"/>
          <w:sz w:val="16"/>
          <w:szCs w:val="16"/>
          <w:lang w:eastAsia="pt-BR"/>
          <w14:ligatures w14:val="none"/>
        </w:rPr>
        <w:t>.   </w:t>
      </w:r>
      <w:hyperlink r:id="rId8" w:anchor="art2" w:history="1">
        <w:r w:rsidRPr="0030695F">
          <w:rPr>
            <w:rStyle w:val="Hyperlink"/>
            <w:rFonts w:ascii="Book Antiqua" w:eastAsia="Times New Roman" w:hAnsi="Book Antiqua" w:cs="Arial"/>
            <w:color w:val="3333FF"/>
            <w:kern w:val="0"/>
            <w:sz w:val="16"/>
            <w:szCs w:val="16"/>
            <w:lang w:eastAsia="pt-BR"/>
            <w14:ligatures w14:val="none"/>
          </w:rPr>
          <w:t>(Incluído pela Lei nº 15.131, de 2025)</w:t>
        </w:r>
      </w:hyperlink>
    </w:p>
    <w:p w14:paraId="1DA4B2C8" w14:textId="56F3F2FD" w:rsidR="00FE6FA4" w:rsidRPr="00C94CE0"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1" w:name="art3a"/>
      <w:bookmarkEnd w:id="31"/>
      <w:r w:rsidRPr="00C94CE0">
        <w:rPr>
          <w:rFonts w:ascii="Book Antiqua" w:eastAsia="Times New Roman" w:hAnsi="Book Antiqua" w:cs="Arial"/>
          <w:color w:val="000000"/>
          <w:kern w:val="0"/>
          <w:sz w:val="19"/>
          <w:szCs w:val="19"/>
          <w:lang w:eastAsia="pt-BR"/>
          <w14:ligatures w14:val="none"/>
        </w:rPr>
        <w:t>Art. 3º-A</w:t>
      </w:r>
      <w:r w:rsidRPr="00C94CE0">
        <w:rPr>
          <w:rFonts w:ascii="Book Antiqua" w:eastAsia="Times New Roman" w:hAnsi="Book Antiqua" w:cs="Arial"/>
          <w:b/>
          <w:bCs/>
          <w:color w:val="000000"/>
          <w:kern w:val="0"/>
          <w:sz w:val="19"/>
          <w:szCs w:val="19"/>
          <w:lang w:eastAsia="pt-BR"/>
          <w14:ligatures w14:val="none"/>
        </w:rPr>
        <w:t>. É criada a Carteira de Identificação da Pessoa com Transtorno do Espectro Autista (Ciptea), com vistas a garantir atenção integral, pronto atendimento e prioridade no atendimento e no acesso aos serviços públicos e privados, em especial nas áreas de saúde, educação e assistência social</w:t>
      </w:r>
      <w:r w:rsidRPr="00C94CE0">
        <w:rPr>
          <w:rFonts w:ascii="Book Antiqua" w:eastAsia="Times New Roman" w:hAnsi="Book Antiqua" w:cs="Arial"/>
          <w:b/>
          <w:bCs/>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9"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r w:rsidR="00C94CE0">
        <w:t xml:space="preserve"> </w:t>
      </w:r>
    </w:p>
    <w:p w14:paraId="526B61BF"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2" w:name="art3a§1"/>
      <w:bookmarkEnd w:id="32"/>
      <w:r w:rsidRPr="00FE6FA4">
        <w:rPr>
          <w:rFonts w:ascii="Book Antiqua" w:eastAsia="Times New Roman" w:hAnsi="Book Antiqua" w:cs="Arial"/>
          <w:color w:val="000000"/>
          <w:kern w:val="0"/>
          <w:sz w:val="19"/>
          <w:szCs w:val="19"/>
          <w:lang w:eastAsia="pt-BR"/>
          <w14:ligatures w14:val="none"/>
        </w:rPr>
        <w:lastRenderedPageBreak/>
        <w:t>§ 1º A Ciptea será expedida pelos órgãos responsáveis pela execução da Política Nacional de Proteção dos Direitos da Pessoa com Transtorno do Espectro Autista dos Estados, do Distrito Federal e dos Municípios, mediante requerimento, acompanhado de relatório médico, com indicação do código da Classificação Estatística Internacional de Doenças e Problemas Relacionados à Saúde (CID), e deverá conter, no mínimo, as seguintes informações</w:t>
      </w:r>
      <w:r w:rsidRPr="00FE6FA4">
        <w:rPr>
          <w:rFonts w:ascii="Book Antiqua" w:eastAsia="Times New Roman" w:hAnsi="Book Antiqua" w:cs="Arial"/>
          <w:color w:val="000000"/>
          <w:kern w:val="0"/>
          <w:sz w:val="16"/>
          <w:szCs w:val="16"/>
          <w:lang w:eastAsia="pt-BR"/>
          <w14:ligatures w14:val="none"/>
        </w:rPr>
        <w:t>:            </w:t>
      </w:r>
      <w:hyperlink r:id="rId10"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7C91B3F9"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3" w:name="art3a§1i"/>
      <w:bookmarkEnd w:id="33"/>
      <w:r w:rsidRPr="00FE6FA4">
        <w:rPr>
          <w:rFonts w:ascii="Book Antiqua" w:eastAsia="Times New Roman" w:hAnsi="Book Antiqua" w:cs="Arial"/>
          <w:color w:val="000000"/>
          <w:kern w:val="0"/>
          <w:sz w:val="19"/>
          <w:szCs w:val="19"/>
          <w:lang w:eastAsia="pt-BR"/>
          <w14:ligatures w14:val="none"/>
        </w:rPr>
        <w:t>I - nome completo, filiação, local e data de nascimento, número da carteira de identidade civil, número de inscrição no Cadastro de Pessoas Físicas (CPF), tipo sanguíneo, endereço residencial completo e número de telefone do identificado</w:t>
      </w:r>
      <w:r w:rsidRPr="00FE6FA4">
        <w:rPr>
          <w:rFonts w:ascii="Book Antiqua" w:eastAsia="Times New Roman" w:hAnsi="Book Antiqua" w:cs="Arial"/>
          <w:color w:val="000000"/>
          <w:kern w:val="0"/>
          <w:sz w:val="16"/>
          <w:szCs w:val="16"/>
          <w:lang w:eastAsia="pt-BR"/>
          <w14:ligatures w14:val="none"/>
        </w:rPr>
        <w:t>;            </w:t>
      </w:r>
      <w:hyperlink r:id="rId11"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7CB2649E"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4" w:name="art3a§1ii"/>
      <w:bookmarkEnd w:id="34"/>
      <w:r w:rsidRPr="00FE6FA4">
        <w:rPr>
          <w:rFonts w:ascii="Book Antiqua" w:eastAsia="Times New Roman" w:hAnsi="Book Antiqua" w:cs="Arial"/>
          <w:color w:val="000000"/>
          <w:kern w:val="0"/>
          <w:sz w:val="19"/>
          <w:szCs w:val="19"/>
          <w:lang w:eastAsia="pt-BR"/>
          <w14:ligatures w14:val="none"/>
        </w:rPr>
        <w:t>II - fotografia no formato 3 (três) centímetros (cm) x 4 (quatro) centímetros (cm) e assinatura ou impressão digital do identificado</w:t>
      </w:r>
      <w:r w:rsidRPr="00FE6FA4">
        <w:rPr>
          <w:rFonts w:ascii="Book Antiqua" w:eastAsia="Times New Roman" w:hAnsi="Book Antiqua" w:cs="Arial"/>
          <w:color w:val="000000"/>
          <w:kern w:val="0"/>
          <w:sz w:val="16"/>
          <w:szCs w:val="16"/>
          <w:lang w:eastAsia="pt-BR"/>
          <w14:ligatures w14:val="none"/>
        </w:rPr>
        <w:t>;            </w:t>
      </w:r>
      <w:hyperlink r:id="rId12"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62CB09B1"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5" w:name="art3a§1iii"/>
      <w:bookmarkEnd w:id="35"/>
      <w:r w:rsidRPr="00FE6FA4">
        <w:rPr>
          <w:rFonts w:ascii="Book Antiqua" w:eastAsia="Times New Roman" w:hAnsi="Book Antiqua" w:cs="Arial"/>
          <w:color w:val="000000"/>
          <w:kern w:val="0"/>
          <w:sz w:val="19"/>
          <w:szCs w:val="19"/>
          <w:lang w:eastAsia="pt-BR"/>
          <w14:ligatures w14:val="none"/>
        </w:rPr>
        <w:t>III - nome completo, documento de identificação, endereço residencial, telefone e e-mail do responsável legal ou do cuidador</w:t>
      </w:r>
      <w:r w:rsidRPr="00FE6FA4">
        <w:rPr>
          <w:rFonts w:ascii="Book Antiqua" w:eastAsia="Times New Roman" w:hAnsi="Book Antiqua" w:cs="Arial"/>
          <w:color w:val="000000"/>
          <w:kern w:val="0"/>
          <w:sz w:val="16"/>
          <w:szCs w:val="16"/>
          <w:lang w:eastAsia="pt-BR"/>
          <w14:ligatures w14:val="none"/>
        </w:rPr>
        <w:t>;            </w:t>
      </w:r>
      <w:hyperlink r:id="rId13"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223FB4BA"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6" w:name="art3a§1iv"/>
      <w:bookmarkEnd w:id="36"/>
      <w:r w:rsidRPr="00FE6FA4">
        <w:rPr>
          <w:rFonts w:ascii="Book Antiqua" w:eastAsia="Times New Roman" w:hAnsi="Book Antiqua" w:cs="Arial"/>
          <w:color w:val="000000"/>
          <w:kern w:val="0"/>
          <w:sz w:val="19"/>
          <w:szCs w:val="19"/>
          <w:lang w:eastAsia="pt-BR"/>
          <w14:ligatures w14:val="none"/>
        </w:rPr>
        <w:t>IV - identificação da unidade da Federação e do órgão expedidor e assinatura do dirigente responsável</w:t>
      </w:r>
      <w:r w:rsidRPr="00FE6FA4">
        <w:rPr>
          <w:rFonts w:ascii="Book Antiqua" w:eastAsia="Times New Roman" w:hAnsi="Book Antiqua" w:cs="Arial"/>
          <w:color w:val="000000"/>
          <w:kern w:val="0"/>
          <w:sz w:val="16"/>
          <w:szCs w:val="16"/>
          <w:lang w:eastAsia="pt-BR"/>
          <w14:ligatures w14:val="none"/>
        </w:rPr>
        <w:t>.            </w:t>
      </w:r>
      <w:hyperlink r:id="rId14"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01050CDB"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7" w:name="art3a§2"/>
      <w:bookmarkEnd w:id="37"/>
      <w:r w:rsidRPr="00FE6FA4">
        <w:rPr>
          <w:rFonts w:ascii="Book Antiqua" w:eastAsia="Times New Roman" w:hAnsi="Book Antiqua" w:cs="Arial"/>
          <w:color w:val="000000"/>
          <w:kern w:val="0"/>
          <w:sz w:val="19"/>
          <w:szCs w:val="19"/>
          <w:lang w:eastAsia="pt-BR"/>
          <w14:ligatures w14:val="none"/>
        </w:rPr>
        <w:t>§ 2º Nos casos em que a pessoa com transtorno do espectro autista seja imigrante detentor de visto temporário ou de autorização de residência, residente fronteiriço ou solicitante de refúgio, deverá ser apresentada a Cédula de Identidade de Estrangeiro (CIE), a Carteira de Registro Nacional Migratório (CRNM) ou o Documento Provisório de Registro Nacional Migratório (DPRNM), com validade em todo o território nacional</w:t>
      </w:r>
      <w:r w:rsidRPr="00FE6FA4">
        <w:rPr>
          <w:rFonts w:ascii="Book Antiqua" w:eastAsia="Times New Roman" w:hAnsi="Book Antiqua" w:cs="Arial"/>
          <w:color w:val="000000"/>
          <w:kern w:val="0"/>
          <w:sz w:val="16"/>
          <w:szCs w:val="16"/>
          <w:lang w:eastAsia="pt-BR"/>
          <w14:ligatures w14:val="none"/>
        </w:rPr>
        <w:t>.            </w:t>
      </w:r>
      <w:hyperlink r:id="rId15"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39CAD366" w14:textId="409DF969"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8" w:name="art3a§3"/>
      <w:bookmarkEnd w:id="38"/>
      <w:r w:rsidRPr="00FE6FA4">
        <w:rPr>
          <w:rFonts w:ascii="Book Antiqua" w:eastAsia="Times New Roman" w:hAnsi="Book Antiqua" w:cs="Arial"/>
          <w:color w:val="000000"/>
          <w:kern w:val="0"/>
          <w:sz w:val="19"/>
          <w:szCs w:val="19"/>
          <w:lang w:eastAsia="pt-BR"/>
          <w14:ligatures w14:val="none"/>
        </w:rPr>
        <w:t>§ 3º A Ciptea terá validade de 5 (cinco) anos, devendo ser mantidos atualizados os dados cadastrais do identificado, e deverá ser revalidada com o mesmo número, de modo a permitir a contagem das pessoas com transtorno do espectro autista em todo o território nacional</w:t>
      </w:r>
      <w:r w:rsidRPr="00FE6FA4">
        <w:rPr>
          <w:rFonts w:ascii="Book Antiqua" w:eastAsia="Times New Roman" w:hAnsi="Book Antiqua" w:cs="Arial"/>
          <w:color w:val="000000"/>
          <w:kern w:val="0"/>
          <w:sz w:val="16"/>
          <w:szCs w:val="16"/>
          <w:lang w:eastAsia="pt-BR"/>
          <w14:ligatures w14:val="none"/>
        </w:rPr>
        <w:t>. </w:t>
      </w:r>
      <w:hyperlink r:id="rId16"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351CBF7B" w14:textId="108CD70E"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9" w:name="art3a§4"/>
      <w:bookmarkEnd w:id="39"/>
      <w:r w:rsidRPr="00FE6FA4">
        <w:rPr>
          <w:rFonts w:ascii="Book Antiqua" w:eastAsia="Times New Roman" w:hAnsi="Book Antiqua" w:cs="Arial"/>
          <w:color w:val="000000"/>
          <w:kern w:val="0"/>
          <w:sz w:val="19"/>
          <w:szCs w:val="19"/>
          <w:lang w:eastAsia="pt-BR"/>
          <w14:ligatures w14:val="none"/>
        </w:rPr>
        <w:t>§ 4º Até que seja implementado o disposto no </w:t>
      </w:r>
      <w:r w:rsidRPr="00FE6FA4">
        <w:rPr>
          <w:rFonts w:ascii="Book Antiqua" w:eastAsia="Times New Roman" w:hAnsi="Book Antiqua" w:cs="Arial"/>
          <w:b/>
          <w:bCs/>
          <w:color w:val="000000"/>
          <w:kern w:val="0"/>
          <w:sz w:val="19"/>
          <w:szCs w:val="19"/>
          <w:lang w:eastAsia="pt-BR"/>
          <w14:ligatures w14:val="none"/>
        </w:rPr>
        <w:t>caput</w:t>
      </w:r>
      <w:r w:rsidRPr="00FE6FA4">
        <w:rPr>
          <w:rFonts w:ascii="Book Antiqua" w:eastAsia="Times New Roman" w:hAnsi="Book Antiqua" w:cs="Arial"/>
          <w:color w:val="000000"/>
          <w:kern w:val="0"/>
          <w:sz w:val="19"/>
          <w:szCs w:val="19"/>
          <w:lang w:eastAsia="pt-BR"/>
          <w14:ligatures w14:val="none"/>
        </w:rPr>
        <w:t> deste artigo, os órgãos responsáveis pela execução da Política Nacional de Proteção dos Direitos da Pessoa com Transtorno do Espectro Autista deverão trabalhar em conjunto com os respectivos responsáveis pela emissão de documentos de identificação, para que sejam incluídas as necessárias informações sobre o transtorno do espectro autista no Registro Geral (RG) ou, se estrangeiro, na Carteira de Registro Nacional Migratório (CRNM) ou na Cédula de Identidade de Estrangeiro (CIE), válidos em todo o território nacional</w:t>
      </w:r>
      <w:r w:rsidRPr="00FE6FA4">
        <w:rPr>
          <w:rFonts w:ascii="Book Antiqua" w:eastAsia="Times New Roman" w:hAnsi="Book Antiqua" w:cs="Arial"/>
          <w:color w:val="000000"/>
          <w:kern w:val="0"/>
          <w:sz w:val="16"/>
          <w:szCs w:val="16"/>
          <w:lang w:eastAsia="pt-BR"/>
          <w14:ligatures w14:val="none"/>
        </w:rPr>
        <w:t>. </w:t>
      </w:r>
      <w:hyperlink r:id="rId17" w:anchor="art2" w:history="1">
        <w:r w:rsidRPr="00FE6FA4">
          <w:rPr>
            <w:rFonts w:ascii="Book Antiqua" w:eastAsia="Times New Roman" w:hAnsi="Book Antiqua" w:cs="Arial"/>
            <w:color w:val="0000FF"/>
            <w:kern w:val="0"/>
            <w:sz w:val="16"/>
            <w:szCs w:val="16"/>
            <w:u w:val="single"/>
            <w:lang w:eastAsia="pt-BR"/>
            <w14:ligatures w14:val="none"/>
          </w:rPr>
          <w:t>(Incluído pela Lei nº 13.977, de 2020)</w:t>
        </w:r>
      </w:hyperlink>
    </w:p>
    <w:p w14:paraId="2AEAA54E"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 w:name="art4"/>
      <w:bookmarkEnd w:id="40"/>
      <w:r w:rsidRPr="00FE6FA4">
        <w:rPr>
          <w:rFonts w:ascii="Book Antiqua" w:eastAsia="Times New Roman" w:hAnsi="Book Antiqua" w:cs="Arial"/>
          <w:color w:val="000000"/>
          <w:kern w:val="0"/>
          <w:sz w:val="19"/>
          <w:szCs w:val="19"/>
          <w:lang w:eastAsia="pt-BR"/>
          <w14:ligatures w14:val="none"/>
        </w:rPr>
        <w:t>Art. 4º A pessoa com transtorno do espectro autista não será submetida a tratamento desumano ou degradante, não será privada de sua liberdade ou do convívio familiar nem sofrerá discriminação por motivo da deficiência.</w:t>
      </w:r>
    </w:p>
    <w:p w14:paraId="06D47017"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 w:name="art4p"/>
      <w:bookmarkEnd w:id="41"/>
      <w:r w:rsidRPr="00FE6FA4">
        <w:rPr>
          <w:rFonts w:ascii="Book Antiqua" w:eastAsia="Times New Roman" w:hAnsi="Book Antiqua" w:cs="Arial"/>
          <w:color w:val="000000"/>
          <w:kern w:val="0"/>
          <w:sz w:val="19"/>
          <w:szCs w:val="19"/>
          <w:lang w:eastAsia="pt-BR"/>
          <w14:ligatures w14:val="none"/>
        </w:rPr>
        <w:t>Parágrafo único. Nos casos de necessidade de internação médica em unidades especializadas, observar-se-á o que dispõe o </w:t>
      </w:r>
      <w:hyperlink r:id="rId18" w:anchor="art4" w:history="1">
        <w:r w:rsidRPr="00FE6FA4">
          <w:rPr>
            <w:rFonts w:ascii="Book Antiqua" w:eastAsia="Times New Roman" w:hAnsi="Book Antiqua" w:cs="Arial"/>
            <w:color w:val="0000FF"/>
            <w:kern w:val="0"/>
            <w:sz w:val="19"/>
            <w:szCs w:val="19"/>
            <w:u w:val="single"/>
            <w:lang w:eastAsia="pt-BR"/>
            <w14:ligatures w14:val="none"/>
          </w:rPr>
          <w:t>art. 4º da Lei nº 10.216, de 6 de abril de 2001.</w:t>
        </w:r>
      </w:hyperlink>
    </w:p>
    <w:p w14:paraId="1EDCD229"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 w:name="art5"/>
      <w:bookmarkEnd w:id="42"/>
      <w:r w:rsidRPr="00FE6FA4">
        <w:rPr>
          <w:rFonts w:ascii="Book Antiqua" w:eastAsia="Times New Roman" w:hAnsi="Book Antiqua" w:cs="Arial"/>
          <w:color w:val="000000"/>
          <w:kern w:val="0"/>
          <w:sz w:val="19"/>
          <w:szCs w:val="19"/>
          <w:lang w:eastAsia="pt-BR"/>
          <w14:ligatures w14:val="none"/>
        </w:rPr>
        <w:t>Art. 5º A pessoa com transtorno do espectro autista não será impedida de participar de planos privados de assistência à saúde em razão de sua condição de pessoa com deficiência, conforme dispõe o </w:t>
      </w:r>
      <w:hyperlink r:id="rId19" w:anchor="art14" w:history="1">
        <w:r w:rsidRPr="00FE6FA4">
          <w:rPr>
            <w:rFonts w:ascii="Book Antiqua" w:eastAsia="Times New Roman" w:hAnsi="Book Antiqua" w:cs="Arial"/>
            <w:color w:val="0000FF"/>
            <w:kern w:val="0"/>
            <w:sz w:val="19"/>
            <w:szCs w:val="19"/>
            <w:u w:val="single"/>
            <w:lang w:eastAsia="pt-BR"/>
            <w14:ligatures w14:val="none"/>
          </w:rPr>
          <w:t>art. 14 da Lei nº 9.656, de 3 de junho de 1998.</w:t>
        </w:r>
      </w:hyperlink>
    </w:p>
    <w:p w14:paraId="18774464"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3" w:name="art6"/>
      <w:bookmarkEnd w:id="43"/>
      <w:r w:rsidRPr="00FE6FA4">
        <w:rPr>
          <w:rFonts w:ascii="Book Antiqua" w:eastAsia="Times New Roman" w:hAnsi="Book Antiqua" w:cs="Arial"/>
          <w:color w:val="000000"/>
          <w:kern w:val="0"/>
          <w:sz w:val="16"/>
          <w:szCs w:val="16"/>
          <w:lang w:eastAsia="pt-BR"/>
          <w14:ligatures w14:val="none"/>
        </w:rPr>
        <w:t>Art. 6º (VETADO).</w:t>
      </w:r>
    </w:p>
    <w:p w14:paraId="32876D79"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 w:name="art7"/>
      <w:bookmarkEnd w:id="44"/>
      <w:r w:rsidRPr="00FE6FA4">
        <w:rPr>
          <w:rFonts w:ascii="Book Antiqua" w:eastAsia="Times New Roman" w:hAnsi="Book Antiqua" w:cs="Arial"/>
          <w:color w:val="000000"/>
          <w:kern w:val="0"/>
          <w:sz w:val="19"/>
          <w:szCs w:val="19"/>
          <w:lang w:eastAsia="pt-BR"/>
          <w14:ligatures w14:val="none"/>
        </w:rPr>
        <w:t>Art. 7º O gestor escolar, ou autoridade competente, que recusar a matrícula de aluno com transtorno do espectro autista, ou qualquer outro tipo de deficiência, será punido com multa de 3 (três) a 20 (vinte) salários-mínimos.</w:t>
      </w:r>
    </w:p>
    <w:p w14:paraId="107F76D4"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 w:name="art7§1"/>
      <w:bookmarkEnd w:id="45"/>
      <w:r w:rsidRPr="00FE6FA4">
        <w:rPr>
          <w:rFonts w:ascii="Book Antiqua" w:eastAsia="Times New Roman" w:hAnsi="Book Antiqua" w:cs="Arial"/>
          <w:color w:val="000000"/>
          <w:kern w:val="0"/>
          <w:sz w:val="19"/>
          <w:szCs w:val="19"/>
          <w:lang w:eastAsia="pt-BR"/>
          <w14:ligatures w14:val="none"/>
        </w:rPr>
        <w:t>§ 1º Em caso de reincidência, apurada por processo administrativo, assegurado o contraditório e a ampla defesa, haverá a perda do cargo.</w:t>
      </w:r>
    </w:p>
    <w:p w14:paraId="04FE5B84"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6" w:name="art7§2"/>
      <w:bookmarkEnd w:id="46"/>
      <w:r w:rsidRPr="00FE6FA4">
        <w:rPr>
          <w:rFonts w:ascii="Book Antiqua" w:eastAsia="Times New Roman" w:hAnsi="Book Antiqua" w:cs="Arial"/>
          <w:color w:val="000000"/>
          <w:kern w:val="0"/>
          <w:sz w:val="16"/>
          <w:szCs w:val="16"/>
          <w:lang w:eastAsia="pt-BR"/>
          <w14:ligatures w14:val="none"/>
        </w:rPr>
        <w:t>§ 2º (VETADO).</w:t>
      </w:r>
    </w:p>
    <w:p w14:paraId="2D0988C8"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 w:name="art8"/>
      <w:bookmarkEnd w:id="47"/>
      <w:r w:rsidRPr="00FE6FA4">
        <w:rPr>
          <w:rFonts w:ascii="Book Antiqua" w:eastAsia="Times New Roman" w:hAnsi="Book Antiqua" w:cs="Arial"/>
          <w:color w:val="000000"/>
          <w:kern w:val="0"/>
          <w:sz w:val="19"/>
          <w:szCs w:val="19"/>
          <w:lang w:eastAsia="pt-BR"/>
          <w14:ligatures w14:val="none"/>
        </w:rPr>
        <w:lastRenderedPageBreak/>
        <w:t>Art. 8º Esta Lei entra em vigor na data de sua publicação.</w:t>
      </w:r>
    </w:p>
    <w:p w14:paraId="61D1327A" w14:textId="77777777" w:rsidR="00FE6FA4" w:rsidRPr="00FE6FA4" w:rsidRDefault="00FE6FA4" w:rsidP="00C94CE0">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E6FA4">
        <w:rPr>
          <w:rFonts w:ascii="Book Antiqua" w:eastAsia="Times New Roman" w:hAnsi="Book Antiqua" w:cs="Arial"/>
          <w:color w:val="000000"/>
          <w:kern w:val="0"/>
          <w:sz w:val="19"/>
          <w:szCs w:val="19"/>
          <w:lang w:eastAsia="pt-BR"/>
          <w14:ligatures w14:val="none"/>
        </w:rPr>
        <w:t>Brasília, 27 de dezembro de 2012; 191º da Independência e 124º da República.</w:t>
      </w:r>
    </w:p>
    <w:p w14:paraId="318A59A6" w14:textId="77777777" w:rsidR="00FE6FA4" w:rsidRPr="00FE6FA4" w:rsidRDefault="00FE6FA4" w:rsidP="00C94CE0">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FE6FA4">
        <w:rPr>
          <w:rFonts w:ascii="Book Antiqua" w:eastAsia="Times New Roman" w:hAnsi="Book Antiqua" w:cs="Arial"/>
          <w:color w:val="000000"/>
          <w:kern w:val="0"/>
          <w:sz w:val="19"/>
          <w:szCs w:val="19"/>
          <w:lang w:eastAsia="pt-BR"/>
          <w14:ligatures w14:val="none"/>
        </w:rPr>
        <w:t>DILMA ROUSSEFF</w:t>
      </w:r>
      <w:r w:rsidRPr="00FE6FA4">
        <w:rPr>
          <w:rFonts w:ascii="Book Antiqua" w:eastAsia="Times New Roman" w:hAnsi="Book Antiqua" w:cs="Arial"/>
          <w:color w:val="000000"/>
          <w:kern w:val="0"/>
          <w:sz w:val="19"/>
          <w:szCs w:val="19"/>
          <w:lang w:eastAsia="pt-BR"/>
          <w14:ligatures w14:val="none"/>
        </w:rPr>
        <w:br/>
      </w:r>
      <w:r w:rsidRPr="00FE6FA4">
        <w:rPr>
          <w:rFonts w:ascii="Book Antiqua" w:eastAsia="Times New Roman" w:hAnsi="Book Antiqua" w:cs="Arial"/>
          <w:i/>
          <w:iCs/>
          <w:color w:val="000000"/>
          <w:kern w:val="0"/>
          <w:sz w:val="19"/>
          <w:szCs w:val="19"/>
          <w:lang w:eastAsia="pt-BR"/>
          <w14:ligatures w14:val="none"/>
        </w:rPr>
        <w:t>José Henrique Paim Fernandes</w:t>
      </w:r>
      <w:r w:rsidRPr="00FE6FA4">
        <w:rPr>
          <w:rFonts w:ascii="Book Antiqua" w:eastAsia="Times New Roman" w:hAnsi="Book Antiqua" w:cs="Arial"/>
          <w:i/>
          <w:iCs/>
          <w:color w:val="000000"/>
          <w:kern w:val="0"/>
          <w:sz w:val="19"/>
          <w:szCs w:val="19"/>
          <w:lang w:eastAsia="pt-BR"/>
          <w14:ligatures w14:val="none"/>
        </w:rPr>
        <w:br/>
        <w:t>Miriam Belchior</w:t>
      </w:r>
    </w:p>
    <w:p w14:paraId="73E7BB3F" w14:textId="5D7CB902" w:rsidR="00BB7FE6" w:rsidRPr="00C94CE0" w:rsidRDefault="00FE6FA4" w:rsidP="00C94CE0">
      <w:pPr>
        <w:spacing w:before="100" w:beforeAutospacing="1" w:after="100" w:afterAutospacing="1" w:line="240" w:lineRule="auto"/>
        <w:ind w:firstLine="432"/>
        <w:rPr>
          <w:rFonts w:ascii="Book Antiqua" w:eastAsia="Times New Roman" w:hAnsi="Book Antiqua" w:cs="Arial"/>
          <w:color w:val="000000"/>
          <w:kern w:val="0"/>
          <w:sz w:val="19"/>
          <w:szCs w:val="19"/>
          <w:lang w:eastAsia="pt-BR"/>
          <w14:ligatures w14:val="none"/>
        </w:rPr>
      </w:pPr>
      <w:r w:rsidRPr="00FE6FA4">
        <w:rPr>
          <w:rFonts w:ascii="Book Antiqua" w:eastAsia="Times New Roman" w:hAnsi="Book Antiqua" w:cs="Arial"/>
          <w:color w:val="FF0000"/>
          <w:kern w:val="0"/>
          <w:sz w:val="19"/>
          <w:szCs w:val="19"/>
          <w:lang w:eastAsia="pt-BR"/>
          <w14:ligatures w14:val="none"/>
        </w:rPr>
        <w:t>Este texto não substitui o publicado no DOU de 28.12.2012</w:t>
      </w:r>
    </w:p>
    <w:sectPr w:rsidR="00BB7FE6" w:rsidRPr="00C94CE0" w:rsidSect="00FE6FA4">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00"/>
    <w:rsid w:val="000667F1"/>
    <w:rsid w:val="00076200"/>
    <w:rsid w:val="0030695F"/>
    <w:rsid w:val="005872AB"/>
    <w:rsid w:val="007F6905"/>
    <w:rsid w:val="00A76A4A"/>
    <w:rsid w:val="00BB7FE6"/>
    <w:rsid w:val="00C94CE0"/>
    <w:rsid w:val="00D346F6"/>
    <w:rsid w:val="00F802C0"/>
    <w:rsid w:val="00FE6F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EA9EF"/>
  <w15:chartTrackingRefBased/>
  <w15:docId w15:val="{9C18CD13-8404-4C16-89D7-78369E4D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94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30695F"/>
    <w:rPr>
      <w:color w:val="0563C1" w:themeColor="hyperlink"/>
      <w:u w:val="single"/>
    </w:rPr>
  </w:style>
  <w:style w:type="character" w:styleId="MenoPendente">
    <w:name w:val="Unresolved Mention"/>
    <w:basedOn w:val="Fontepargpadro"/>
    <w:uiPriority w:val="99"/>
    <w:semiHidden/>
    <w:unhideWhenUsed/>
    <w:rsid w:val="003069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844606">
      <w:bodyDiv w:val="1"/>
      <w:marLeft w:val="0"/>
      <w:marRight w:val="0"/>
      <w:marTop w:val="0"/>
      <w:marBottom w:val="0"/>
      <w:divBdr>
        <w:top w:val="none" w:sz="0" w:space="0" w:color="auto"/>
        <w:left w:val="none" w:sz="0" w:space="0" w:color="auto"/>
        <w:bottom w:val="none" w:sz="0" w:space="0" w:color="auto"/>
        <w:right w:val="none" w:sz="0" w:space="0" w:color="auto"/>
      </w:divBdr>
    </w:div>
    <w:div w:id="1087654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23-2026/2025/Lei/L15131.htm" TargetMode="External"/><Relationship Id="rId13" Type="http://schemas.openxmlformats.org/officeDocument/2006/relationships/hyperlink" Target="https://www.planalto.gov.br/ccivil_03/_Ato2019-2022/2020/Lei/L13977.htm" TargetMode="External"/><Relationship Id="rId18" Type="http://schemas.openxmlformats.org/officeDocument/2006/relationships/hyperlink" Target="https://www.planalto.gov.br/ccivil_03/LEIS/LEIS_2001/L10216.htm"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planalto.gov.br/ccivil_03/_Ato2023-2026/2025/Lei/L15131.htm" TargetMode="External"/><Relationship Id="rId12" Type="http://schemas.openxmlformats.org/officeDocument/2006/relationships/hyperlink" Target="https://www.planalto.gov.br/ccivil_03/_Ato2019-2022/2020/Lei/L13977.htm" TargetMode="External"/><Relationship Id="rId17" Type="http://schemas.openxmlformats.org/officeDocument/2006/relationships/hyperlink" Target="https://www.planalto.gov.br/ccivil_03/_Ato2019-2022/2020/Lei/L13977.htm" TargetMode="External"/><Relationship Id="rId2" Type="http://schemas.openxmlformats.org/officeDocument/2006/relationships/settings" Target="settings.xml"/><Relationship Id="rId16" Type="http://schemas.openxmlformats.org/officeDocument/2006/relationships/hyperlink" Target="https://www.planalto.gov.br/ccivil_03/_Ato2019-2022/2020/Lei/L13977.ht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planalto.gov.br/ccivil_03/LEIS/L8069.htm" TargetMode="External"/><Relationship Id="rId11" Type="http://schemas.openxmlformats.org/officeDocument/2006/relationships/hyperlink" Target="https://www.planalto.gov.br/ccivil_03/_Ato2019-2022/2020/Lei/L13977.htm" TargetMode="External"/><Relationship Id="rId5" Type="http://schemas.openxmlformats.org/officeDocument/2006/relationships/hyperlink" Target="https://www.planalto.gov.br/ccivil_03/_Ato2019-2022/2020/Lei/L13977.htm" TargetMode="External"/><Relationship Id="rId15" Type="http://schemas.openxmlformats.org/officeDocument/2006/relationships/hyperlink" Target="https://www.planalto.gov.br/ccivil_03/_Ato2019-2022/2020/Lei/L13977.htm" TargetMode="External"/><Relationship Id="rId10" Type="http://schemas.openxmlformats.org/officeDocument/2006/relationships/hyperlink" Target="https://www.planalto.gov.br/ccivil_03/_Ato2019-2022/2020/Lei/L13977.htm" TargetMode="External"/><Relationship Id="rId19" Type="http://schemas.openxmlformats.org/officeDocument/2006/relationships/hyperlink" Target="https://www.planalto.gov.br/ccivil_03/LEIS/L9656.htm" TargetMode="External"/><Relationship Id="rId4" Type="http://schemas.openxmlformats.org/officeDocument/2006/relationships/hyperlink" Target="http://legislacao.planalto.gov.br/legisla/legislacao.nsf/Viw_Identificacao/lei%2012.764-2012?OpenDocument" TargetMode="External"/><Relationship Id="rId9" Type="http://schemas.openxmlformats.org/officeDocument/2006/relationships/hyperlink" Target="https://www.planalto.gov.br/ccivil_03/_Ato2019-2022/2020/Lei/L13977.htm" TargetMode="External"/><Relationship Id="rId14" Type="http://schemas.openxmlformats.org/officeDocument/2006/relationships/hyperlink" Target="https://www.planalto.gov.br/ccivil_03/_Ato2019-2022/2020/Lei/L1397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1720</Words>
  <Characters>9292</Characters>
  <Application>Microsoft Office Word</Application>
  <DocSecurity>0</DocSecurity>
  <Lines>77</Lines>
  <Paragraphs>21</Paragraphs>
  <ScaleCrop>false</ScaleCrop>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2024-11-27T16:45:00Z</dcterms:created>
  <dcterms:modified xsi:type="dcterms:W3CDTF">2025-07-19T17:53:00Z</dcterms:modified>
</cp:coreProperties>
</file>