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1B6F2" w14:textId="5555D093" w:rsidR="00E81F1C" w:rsidRPr="00E81F1C" w:rsidRDefault="00E81F1C" w:rsidP="00756227">
      <w:pPr>
        <w:spacing w:before="100" w:beforeAutospacing="1" w:after="100" w:afterAutospacing="1" w:line="240" w:lineRule="auto"/>
        <w:jc w:val="center"/>
        <w:rPr>
          <w:rFonts w:ascii="Book Antiqua" w:hAnsi="Book Antiqua"/>
          <w:b/>
          <w:bCs/>
          <w:color w:val="EE0000"/>
          <w:sz w:val="19"/>
          <w:szCs w:val="19"/>
        </w:rPr>
      </w:pPr>
      <w:r w:rsidRPr="00E81F1C">
        <w:rPr>
          <w:rFonts w:ascii="Book Antiqua" w:hAnsi="Book Antiqua"/>
          <w:b/>
          <w:bCs/>
          <w:color w:val="EE0000"/>
          <w:sz w:val="19"/>
          <w:szCs w:val="19"/>
        </w:rPr>
        <w:t>(Atualização em 15/07/2025: questões de concurso)</w:t>
      </w:r>
    </w:p>
    <w:p w14:paraId="1E0C842C" w14:textId="36F8B983" w:rsidR="00BB7FE6" w:rsidRPr="00756227" w:rsidRDefault="00756227" w:rsidP="00756227">
      <w:pPr>
        <w:spacing w:before="100" w:beforeAutospacing="1" w:after="100" w:afterAutospacing="1" w:line="240" w:lineRule="auto"/>
        <w:jc w:val="center"/>
        <w:rPr>
          <w:rFonts w:ascii="Book Antiqua" w:hAnsi="Book Antiqua"/>
          <w:b/>
          <w:bCs/>
          <w:sz w:val="19"/>
          <w:szCs w:val="19"/>
        </w:rPr>
      </w:pPr>
      <w:r w:rsidRPr="00756227">
        <w:rPr>
          <w:rFonts w:ascii="Book Antiqua" w:hAnsi="Book Antiqua"/>
          <w:b/>
          <w:bCs/>
          <w:sz w:val="19"/>
          <w:szCs w:val="19"/>
        </w:rPr>
        <w:t>Resolução Nº 484 de 19/12/2022</w:t>
      </w:r>
    </w:p>
    <w:p w14:paraId="502CD2C9" w14:textId="20B7475F" w:rsidR="00756227" w:rsidRPr="00756227" w:rsidRDefault="00756227" w:rsidP="00756227">
      <w:pPr>
        <w:spacing w:before="100" w:beforeAutospacing="1" w:after="100" w:afterAutospacing="1" w:line="240" w:lineRule="auto"/>
        <w:ind w:left="2835"/>
        <w:jc w:val="both"/>
        <w:rPr>
          <w:rFonts w:ascii="Book Antiqua" w:hAnsi="Book Antiqua"/>
          <w:sz w:val="19"/>
          <w:szCs w:val="19"/>
        </w:rPr>
      </w:pPr>
      <w:r w:rsidRPr="00756227">
        <w:rPr>
          <w:rFonts w:ascii="Book Antiqua" w:hAnsi="Book Antiqua"/>
          <w:sz w:val="19"/>
          <w:szCs w:val="19"/>
        </w:rPr>
        <w:t>Estabelece diretrizes para a realização do reconhecimento de pessoas em procedimentos e processos criminais e sua avaliação no âmbito do Poder Judiciário.</w:t>
      </w:r>
    </w:p>
    <w:p w14:paraId="17BFF291" w14:textId="77777777" w:rsidR="00756227" w:rsidRDefault="00756227" w:rsidP="00756227">
      <w:pPr>
        <w:spacing w:before="100" w:beforeAutospacing="1" w:after="100" w:afterAutospacing="1" w:line="240" w:lineRule="auto"/>
        <w:ind w:firstLine="567"/>
        <w:jc w:val="both"/>
        <w:rPr>
          <w:rFonts w:ascii="Book Antiqua" w:hAnsi="Book Antiqua"/>
          <w:sz w:val="19"/>
          <w:szCs w:val="19"/>
        </w:rPr>
      </w:pPr>
      <w:r w:rsidRPr="00756227">
        <w:rPr>
          <w:rFonts w:ascii="Book Antiqua" w:hAnsi="Book Antiqua"/>
          <w:sz w:val="19"/>
          <w:szCs w:val="19"/>
        </w:rPr>
        <w:t>A PRESIDENTE DO CONSELHO NACIONAL DA JUSTIÇA (CNJ), no uso de suas atribuições legais e regimentais,</w:t>
      </w:r>
    </w:p>
    <w:p w14:paraId="6F1D7869" w14:textId="77777777" w:rsidR="00756227" w:rsidRDefault="00756227" w:rsidP="00756227">
      <w:pPr>
        <w:spacing w:before="100" w:beforeAutospacing="1" w:after="100" w:afterAutospacing="1" w:line="240" w:lineRule="auto"/>
        <w:ind w:firstLine="567"/>
        <w:jc w:val="both"/>
        <w:rPr>
          <w:rFonts w:ascii="Book Antiqua" w:hAnsi="Book Antiqua"/>
          <w:sz w:val="19"/>
          <w:szCs w:val="19"/>
        </w:rPr>
      </w:pPr>
      <w:r w:rsidRPr="00756227">
        <w:rPr>
          <w:rFonts w:ascii="Book Antiqua" w:hAnsi="Book Antiqua"/>
          <w:sz w:val="19"/>
          <w:szCs w:val="19"/>
        </w:rPr>
        <w:t>CONSIDERANDO os princípios fundamentais da dignidade da pessoa humana, do devido processo legal, da ampla defesa e a vedação às provas ilícitas (</w:t>
      </w:r>
      <w:proofErr w:type="spellStart"/>
      <w:r w:rsidRPr="00756227">
        <w:rPr>
          <w:rFonts w:ascii="Book Antiqua" w:hAnsi="Book Antiqua"/>
          <w:sz w:val="19"/>
          <w:szCs w:val="19"/>
        </w:rPr>
        <w:t>arts</w:t>
      </w:r>
      <w:proofErr w:type="spellEnd"/>
      <w:r w:rsidRPr="00756227">
        <w:rPr>
          <w:rFonts w:ascii="Book Antiqua" w:hAnsi="Book Antiqua"/>
          <w:sz w:val="19"/>
          <w:szCs w:val="19"/>
        </w:rPr>
        <w:t>. 3º, III, e 5º, LIV, LV e LVI);</w:t>
      </w:r>
    </w:p>
    <w:p w14:paraId="3779982E" w14:textId="77777777" w:rsidR="00756227" w:rsidRDefault="00756227" w:rsidP="00756227">
      <w:pPr>
        <w:spacing w:before="100" w:beforeAutospacing="1" w:after="100" w:afterAutospacing="1" w:line="240" w:lineRule="auto"/>
        <w:ind w:firstLine="567"/>
        <w:jc w:val="both"/>
        <w:rPr>
          <w:rFonts w:ascii="Book Antiqua" w:hAnsi="Book Antiqua"/>
          <w:sz w:val="19"/>
          <w:szCs w:val="19"/>
        </w:rPr>
      </w:pPr>
      <w:r w:rsidRPr="00756227">
        <w:rPr>
          <w:rFonts w:ascii="Book Antiqua" w:hAnsi="Book Antiqua"/>
          <w:sz w:val="19"/>
          <w:szCs w:val="19"/>
        </w:rPr>
        <w:t>CONSIDERANDO as discussões do Grupo de Trabalho criado pela Presidência do CNJ para realizar estudos e elaborar proposta de regulamentação de diretrizes para o reconhecimento de pessoas em processos criminais e a sua aplicação no âmbito do Poder Judiciário, com vistas a evitar condenação de pessoas inocentes (Portaria CNJ n. 209/2021);</w:t>
      </w:r>
    </w:p>
    <w:p w14:paraId="2DAE1C5C" w14:textId="77777777" w:rsidR="00756227" w:rsidRDefault="00756227" w:rsidP="00756227">
      <w:pPr>
        <w:spacing w:before="100" w:beforeAutospacing="1" w:after="100" w:afterAutospacing="1" w:line="240" w:lineRule="auto"/>
        <w:ind w:firstLine="567"/>
        <w:jc w:val="both"/>
        <w:rPr>
          <w:rFonts w:ascii="Book Antiqua" w:hAnsi="Book Antiqua"/>
          <w:sz w:val="19"/>
          <w:szCs w:val="19"/>
        </w:rPr>
      </w:pPr>
      <w:r w:rsidRPr="00756227">
        <w:rPr>
          <w:rFonts w:ascii="Book Antiqua" w:hAnsi="Book Antiqua"/>
          <w:sz w:val="19"/>
          <w:szCs w:val="19"/>
        </w:rPr>
        <w:t>CONSIDERANDO que o reconhecimento de pessoas equivocado é uma das principais causas de erro judiciário, conforme demonstrado por ampla produção científica, nacional e internacional, que indica a existência de diversos fatores sensíveis no procedimento de reconhecimento;</w:t>
      </w:r>
    </w:p>
    <w:p w14:paraId="4B73D354" w14:textId="77777777" w:rsidR="00756227" w:rsidRDefault="00756227" w:rsidP="00756227">
      <w:pPr>
        <w:spacing w:before="100" w:beforeAutospacing="1" w:after="100" w:afterAutospacing="1" w:line="240" w:lineRule="auto"/>
        <w:ind w:firstLine="567"/>
        <w:jc w:val="both"/>
        <w:rPr>
          <w:rFonts w:ascii="Book Antiqua" w:hAnsi="Book Antiqua"/>
          <w:sz w:val="19"/>
          <w:szCs w:val="19"/>
        </w:rPr>
      </w:pPr>
      <w:r w:rsidRPr="00756227">
        <w:rPr>
          <w:rFonts w:ascii="Book Antiqua" w:hAnsi="Book Antiqua"/>
          <w:sz w:val="19"/>
          <w:szCs w:val="19"/>
        </w:rPr>
        <w:t>CONSIDERANDO o alto potencial de identificações incorretas decorrentes de práticas que ignoram a necessidade de preservação da memória de vítimas e testemunhas;</w:t>
      </w:r>
    </w:p>
    <w:p w14:paraId="4327B093" w14:textId="77777777" w:rsidR="00756227" w:rsidRDefault="00756227" w:rsidP="00756227">
      <w:pPr>
        <w:spacing w:before="100" w:beforeAutospacing="1" w:after="100" w:afterAutospacing="1" w:line="240" w:lineRule="auto"/>
        <w:ind w:firstLine="567"/>
        <w:jc w:val="both"/>
        <w:rPr>
          <w:rFonts w:ascii="Book Antiqua" w:hAnsi="Book Antiqua"/>
          <w:sz w:val="19"/>
          <w:szCs w:val="19"/>
        </w:rPr>
      </w:pPr>
      <w:r w:rsidRPr="00756227">
        <w:rPr>
          <w:rFonts w:ascii="Book Antiqua" w:hAnsi="Book Antiqua"/>
          <w:sz w:val="19"/>
          <w:szCs w:val="19"/>
        </w:rPr>
        <w:t>CONSIDERANDO a vasta literatura científica existente, a qual aponta para as possíveis distorções da memória, bem como os casos de reconhecimentos irregulares realizados por agentes públicos a partir da apresentação informal ou inadequada de fotos ou investigados não vinculados aos fatos, ou ainda mediante sugestões, induções ou reforço às respostas apresentadas pelas vítimas ou testemunhas;</w:t>
      </w:r>
    </w:p>
    <w:p w14:paraId="3A6996C1" w14:textId="77777777" w:rsidR="00756227" w:rsidRDefault="00756227" w:rsidP="00756227">
      <w:pPr>
        <w:spacing w:before="100" w:beforeAutospacing="1" w:after="100" w:afterAutospacing="1" w:line="240" w:lineRule="auto"/>
        <w:ind w:firstLine="567"/>
        <w:jc w:val="both"/>
        <w:rPr>
          <w:rFonts w:ascii="Book Antiqua" w:hAnsi="Book Antiqua"/>
          <w:sz w:val="19"/>
          <w:szCs w:val="19"/>
        </w:rPr>
      </w:pPr>
      <w:r w:rsidRPr="00756227">
        <w:rPr>
          <w:rFonts w:ascii="Book Antiqua" w:hAnsi="Book Antiqua"/>
          <w:sz w:val="19"/>
          <w:szCs w:val="19"/>
        </w:rPr>
        <w:t>CONSIDERANDO o dever do Poder Judiciário de exercer a jurisdição criminal de maneira eficiente, a fim de impedir a condenação de inocentes e possibilitar a responsabilização dos culpados, a partir da adoção de procedimentos probatórios construídos à luz das evidências científicas e das regras do devido processo legal, que não constituam fator de incremento da seletividade penal e do racismo estrutural;</w:t>
      </w:r>
    </w:p>
    <w:p w14:paraId="54AB6D5A" w14:textId="77777777" w:rsidR="00756227" w:rsidRDefault="00756227" w:rsidP="00756227">
      <w:pPr>
        <w:spacing w:before="100" w:beforeAutospacing="1" w:after="100" w:afterAutospacing="1" w:line="240" w:lineRule="auto"/>
        <w:ind w:firstLine="567"/>
        <w:jc w:val="both"/>
        <w:rPr>
          <w:rFonts w:ascii="Book Antiqua" w:hAnsi="Book Antiqua"/>
          <w:sz w:val="19"/>
          <w:szCs w:val="19"/>
        </w:rPr>
      </w:pPr>
      <w:r w:rsidRPr="00756227">
        <w:rPr>
          <w:rFonts w:ascii="Book Antiqua" w:hAnsi="Book Antiqua"/>
          <w:sz w:val="19"/>
          <w:szCs w:val="19"/>
        </w:rPr>
        <w:t>CONSIDERANDO que levantamento feito pela Defensoria Pública do Estado do Rio de Janeiro, em âmbito nacional, identificou que (i) em 60% dos casos de reconhecimento fotográfico equivocado em sede policial houve a decretação da prisão preventiva e, em média, o tempo de prisão foi de 281 dias, ou seja, aproximadamente 9 meses, e que (</w:t>
      </w:r>
      <w:proofErr w:type="spellStart"/>
      <w:r w:rsidRPr="00756227">
        <w:rPr>
          <w:rFonts w:ascii="Book Antiqua" w:hAnsi="Book Antiqua"/>
          <w:sz w:val="19"/>
          <w:szCs w:val="19"/>
        </w:rPr>
        <w:t>ii</w:t>
      </w:r>
      <w:proofErr w:type="spellEnd"/>
      <w:r w:rsidRPr="00756227">
        <w:rPr>
          <w:rFonts w:ascii="Book Antiqua" w:hAnsi="Book Antiqua"/>
          <w:sz w:val="19"/>
          <w:szCs w:val="19"/>
        </w:rPr>
        <w:t>) em 83% dos casos de reconhecimento equivocado as pessoas apontadas eram negras, o que reforça as marcas da seletividade e do racismo estrutural do sistema de justiça criminal;</w:t>
      </w:r>
    </w:p>
    <w:p w14:paraId="1CA37FCD" w14:textId="77777777" w:rsidR="00756227" w:rsidRDefault="00756227" w:rsidP="00756227">
      <w:pPr>
        <w:spacing w:before="100" w:beforeAutospacing="1" w:after="100" w:afterAutospacing="1" w:line="240" w:lineRule="auto"/>
        <w:ind w:firstLine="567"/>
        <w:jc w:val="both"/>
        <w:rPr>
          <w:rFonts w:ascii="Book Antiqua" w:hAnsi="Book Antiqua"/>
          <w:sz w:val="19"/>
          <w:szCs w:val="19"/>
        </w:rPr>
      </w:pPr>
      <w:r w:rsidRPr="00756227">
        <w:rPr>
          <w:rFonts w:ascii="Book Antiqua" w:hAnsi="Book Antiqua"/>
          <w:sz w:val="19"/>
          <w:szCs w:val="19"/>
        </w:rPr>
        <w:t xml:space="preserve">CONSIDERANDO os casos emblemáticos de erros judiciais decorrentes de reconhecimentos equivocados identificados pelo Superior Tribunal de Justiça, pelo Supremo Tribunal Federal e pelo </w:t>
      </w:r>
      <w:proofErr w:type="spellStart"/>
      <w:r w:rsidRPr="00756227">
        <w:rPr>
          <w:rFonts w:ascii="Book Antiqua" w:hAnsi="Book Antiqua"/>
          <w:sz w:val="19"/>
          <w:szCs w:val="19"/>
        </w:rPr>
        <w:t>Innocence</w:t>
      </w:r>
      <w:proofErr w:type="spellEnd"/>
      <w:r w:rsidRPr="00756227">
        <w:rPr>
          <w:rFonts w:ascii="Book Antiqua" w:hAnsi="Book Antiqua"/>
          <w:sz w:val="19"/>
          <w:szCs w:val="19"/>
        </w:rPr>
        <w:t xml:space="preserve"> Project Brasil;</w:t>
      </w:r>
    </w:p>
    <w:p w14:paraId="3923846C" w14:textId="77777777" w:rsidR="00756227" w:rsidRDefault="00756227" w:rsidP="00756227">
      <w:pPr>
        <w:spacing w:before="100" w:beforeAutospacing="1" w:after="100" w:afterAutospacing="1" w:line="240" w:lineRule="auto"/>
        <w:ind w:firstLine="567"/>
        <w:jc w:val="both"/>
        <w:rPr>
          <w:rFonts w:ascii="Book Antiqua" w:hAnsi="Book Antiqua"/>
          <w:sz w:val="19"/>
          <w:szCs w:val="19"/>
        </w:rPr>
      </w:pPr>
      <w:r w:rsidRPr="00756227">
        <w:rPr>
          <w:rFonts w:ascii="Book Antiqua" w:hAnsi="Book Antiqua"/>
          <w:sz w:val="19"/>
          <w:szCs w:val="19"/>
        </w:rPr>
        <w:t>CONSIDERANDO a jurisprudência recente do Superior Tribunal de Justiça e do Supremo Tribunal Federal no sentido da obrigatoriedade da observância das garantias mínimas previstas no art. 226 do Código de Processo Penal para a realização do reconhecimento de pessoas, com o fim de elevar o padrão de qualidade da prova e minimizar a ocorrência de erros (HC n. 598.886/STJ, HC n. 652.284/STJ, REsp n. 1.954.785/STJ, HC n. 712.781/STJ e RHC n. 206.846/STF);</w:t>
      </w:r>
    </w:p>
    <w:p w14:paraId="44E4057E" w14:textId="77777777" w:rsidR="00756227" w:rsidRDefault="00756227" w:rsidP="00756227">
      <w:pPr>
        <w:spacing w:before="100" w:beforeAutospacing="1" w:after="100" w:afterAutospacing="1" w:line="240" w:lineRule="auto"/>
        <w:ind w:firstLine="567"/>
        <w:jc w:val="both"/>
        <w:rPr>
          <w:rFonts w:ascii="Book Antiqua" w:hAnsi="Book Antiqua"/>
          <w:sz w:val="19"/>
          <w:szCs w:val="19"/>
        </w:rPr>
      </w:pPr>
      <w:r w:rsidRPr="00756227">
        <w:rPr>
          <w:rFonts w:ascii="Book Antiqua" w:hAnsi="Book Antiqua"/>
          <w:sz w:val="19"/>
          <w:szCs w:val="19"/>
        </w:rPr>
        <w:t xml:space="preserve">CONSIDERANDO que a normatização de boas práticas vai ao encontro dos </w:t>
      </w:r>
      <w:proofErr w:type="spellStart"/>
      <w:r w:rsidRPr="00756227">
        <w:rPr>
          <w:rFonts w:ascii="Book Antiqua" w:hAnsi="Book Antiqua"/>
          <w:sz w:val="19"/>
          <w:szCs w:val="19"/>
        </w:rPr>
        <w:t>macrodesafios</w:t>
      </w:r>
      <w:proofErr w:type="spellEnd"/>
      <w:r w:rsidRPr="00756227">
        <w:rPr>
          <w:rFonts w:ascii="Book Antiqua" w:hAnsi="Book Antiqua"/>
          <w:sz w:val="19"/>
          <w:szCs w:val="19"/>
        </w:rPr>
        <w:t xml:space="preserve"> do Poder Judiciário elencados na Resolução CNJ n. 325/2020, que dispõe sobre a Estratégia Nacional do Poder Judiciário entre 2021-2026, valendo pontuar, especificamente: (i) a garantia dos direitos fundamentais; (</w:t>
      </w:r>
      <w:proofErr w:type="spellStart"/>
      <w:r w:rsidRPr="00756227">
        <w:rPr>
          <w:rFonts w:ascii="Book Antiqua" w:hAnsi="Book Antiqua"/>
          <w:sz w:val="19"/>
          <w:szCs w:val="19"/>
        </w:rPr>
        <w:t>ii</w:t>
      </w:r>
      <w:proofErr w:type="spellEnd"/>
      <w:r w:rsidRPr="00756227">
        <w:rPr>
          <w:rFonts w:ascii="Book Antiqua" w:hAnsi="Book Antiqua"/>
          <w:sz w:val="19"/>
          <w:szCs w:val="19"/>
        </w:rPr>
        <w:t xml:space="preserve">) consolidação do sistema de precedentes obrigatórios, que visa fortalecer as decisões </w:t>
      </w:r>
      <w:r w:rsidRPr="00756227">
        <w:rPr>
          <w:rFonts w:ascii="Book Antiqua" w:hAnsi="Book Antiqua"/>
          <w:sz w:val="19"/>
          <w:szCs w:val="19"/>
        </w:rPr>
        <w:lastRenderedPageBreak/>
        <w:t>judiciais e garantir a segurança jurídica e a integridade dos provimentos judiciais; e (</w:t>
      </w:r>
      <w:proofErr w:type="spellStart"/>
      <w:r w:rsidRPr="00756227">
        <w:rPr>
          <w:rFonts w:ascii="Book Antiqua" w:hAnsi="Book Antiqua"/>
          <w:sz w:val="19"/>
          <w:szCs w:val="19"/>
        </w:rPr>
        <w:t>iii</w:t>
      </w:r>
      <w:proofErr w:type="spellEnd"/>
      <w:r w:rsidRPr="00756227">
        <w:rPr>
          <w:rFonts w:ascii="Book Antiqua" w:hAnsi="Book Antiqua"/>
          <w:sz w:val="19"/>
          <w:szCs w:val="19"/>
        </w:rPr>
        <w:t>) o aperfeiçoamento da gestão da justiça criminal;</w:t>
      </w:r>
    </w:p>
    <w:p w14:paraId="77E0DE92" w14:textId="77777777" w:rsidR="00756227" w:rsidRDefault="00756227" w:rsidP="00756227">
      <w:pPr>
        <w:spacing w:before="100" w:beforeAutospacing="1" w:after="100" w:afterAutospacing="1" w:line="240" w:lineRule="auto"/>
        <w:ind w:firstLine="567"/>
        <w:jc w:val="both"/>
        <w:rPr>
          <w:rFonts w:ascii="Book Antiqua" w:hAnsi="Book Antiqua"/>
          <w:sz w:val="19"/>
          <w:szCs w:val="19"/>
        </w:rPr>
      </w:pPr>
      <w:r w:rsidRPr="00756227">
        <w:rPr>
          <w:rFonts w:ascii="Book Antiqua" w:hAnsi="Book Antiqua"/>
          <w:sz w:val="19"/>
          <w:szCs w:val="19"/>
        </w:rPr>
        <w:t>CONSIDERANDO a decisão plenária tomada no julgamento do Ato Normativo n. 0007613-32.2022.2.00.0000, na 361ª Sessão Ordinária, realizada em 06 de dezembro de 2022;</w:t>
      </w:r>
    </w:p>
    <w:p w14:paraId="0474A505" w14:textId="08CB3C9C" w:rsidR="00756227" w:rsidRPr="00756227" w:rsidRDefault="00756227" w:rsidP="00756227">
      <w:pPr>
        <w:spacing w:before="100" w:beforeAutospacing="1" w:after="100" w:afterAutospacing="1" w:line="240" w:lineRule="auto"/>
        <w:ind w:firstLine="567"/>
        <w:jc w:val="both"/>
        <w:rPr>
          <w:rFonts w:ascii="Book Antiqua" w:hAnsi="Book Antiqua"/>
          <w:sz w:val="19"/>
          <w:szCs w:val="19"/>
        </w:rPr>
      </w:pPr>
      <w:r w:rsidRPr="00756227">
        <w:rPr>
          <w:rFonts w:ascii="Book Antiqua" w:hAnsi="Book Antiqua"/>
          <w:sz w:val="19"/>
          <w:szCs w:val="19"/>
        </w:rPr>
        <w:t>RESOLVE:</w:t>
      </w:r>
    </w:p>
    <w:p w14:paraId="7A2B3676"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Art. 1º Estabelecer diretrizes para a realização do reconhecimento de pessoas em procedimentos e processos criminais e sua avaliação no âmbito do Poder Judiciário.</w:t>
      </w:r>
    </w:p>
    <w:p w14:paraId="21D4C7E0"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E81F1C">
        <w:rPr>
          <w:rFonts w:ascii="Book Antiqua" w:hAnsi="Book Antiqua"/>
          <w:b/>
          <w:bCs/>
          <w:sz w:val="19"/>
          <w:szCs w:val="19"/>
          <w:highlight w:val="magenta"/>
        </w:rPr>
        <w:t>Art. 2º</w:t>
      </w:r>
      <w:r w:rsidRPr="00756227">
        <w:rPr>
          <w:rFonts w:ascii="Book Antiqua" w:hAnsi="Book Antiqua"/>
          <w:sz w:val="19"/>
          <w:szCs w:val="19"/>
        </w:rPr>
        <w:t xml:space="preserve"> Entende-se por reconhecimento de pessoas o procedimento em que a vítima ou testemunha de um fato criminoso é instada a reconhecer pessoa investigada ou processada, dela desconhecida antes da conduta.</w:t>
      </w:r>
    </w:p>
    <w:p w14:paraId="7A937E68" w14:textId="0935B3D3" w:rsidR="00756227" w:rsidRPr="00756227" w:rsidRDefault="00756227" w:rsidP="00756227">
      <w:pPr>
        <w:spacing w:before="100" w:beforeAutospacing="1" w:after="100" w:afterAutospacing="1" w:line="240" w:lineRule="auto"/>
        <w:jc w:val="both"/>
        <w:rPr>
          <w:rFonts w:ascii="Book Antiqua" w:hAnsi="Book Antiqua"/>
          <w:sz w:val="19"/>
          <w:szCs w:val="19"/>
        </w:rPr>
      </w:pPr>
      <w:r w:rsidRPr="00E81F1C">
        <w:rPr>
          <w:rFonts w:ascii="Book Antiqua" w:hAnsi="Book Antiqua"/>
          <w:b/>
          <w:bCs/>
          <w:sz w:val="19"/>
          <w:szCs w:val="19"/>
          <w:highlight w:val="magenta"/>
        </w:rPr>
        <w:t>§ 1º</w:t>
      </w:r>
      <w:r w:rsidRPr="00E81F1C">
        <w:rPr>
          <w:rFonts w:ascii="Book Antiqua" w:hAnsi="Book Antiqua"/>
          <w:b/>
          <w:bCs/>
          <w:sz w:val="19"/>
          <w:szCs w:val="19"/>
        </w:rPr>
        <w:t xml:space="preserve"> O </w:t>
      </w:r>
      <w:r w:rsidRPr="00E81F1C">
        <w:rPr>
          <w:rFonts w:ascii="Book Antiqua" w:hAnsi="Book Antiqua"/>
          <w:b/>
          <w:bCs/>
          <w:caps/>
          <w:sz w:val="19"/>
          <w:szCs w:val="19"/>
          <w:shd w:val="clear" w:color="auto" w:fill="F7CAAC" w:themeFill="accent2" w:themeFillTint="66"/>
        </w:rPr>
        <w:t>reconhecimento de pessoas</w:t>
      </w:r>
      <w:r w:rsidRPr="00E81F1C">
        <w:rPr>
          <w:rFonts w:ascii="Book Antiqua" w:hAnsi="Book Antiqua"/>
          <w:b/>
          <w:bCs/>
          <w:sz w:val="19"/>
          <w:szCs w:val="19"/>
        </w:rPr>
        <w:t xml:space="preserve">, </w:t>
      </w:r>
      <w:r w:rsidRPr="00E81F1C">
        <w:rPr>
          <w:rFonts w:ascii="Book Antiqua" w:hAnsi="Book Antiqua"/>
          <w:b/>
          <w:bCs/>
          <w:sz w:val="19"/>
          <w:szCs w:val="19"/>
          <w:highlight w:val="yellow"/>
        </w:rPr>
        <w:t>por sua natureza</w:t>
      </w:r>
      <w:r w:rsidRPr="00E81F1C">
        <w:rPr>
          <w:rFonts w:ascii="Book Antiqua" w:hAnsi="Book Antiqua"/>
          <w:b/>
          <w:bCs/>
          <w:sz w:val="19"/>
          <w:szCs w:val="19"/>
        </w:rPr>
        <w:t xml:space="preserve">, </w:t>
      </w:r>
      <w:r w:rsidRPr="00E81F1C">
        <w:rPr>
          <w:rFonts w:ascii="Book Antiqua" w:hAnsi="Book Antiqua"/>
          <w:b/>
          <w:bCs/>
          <w:caps/>
          <w:sz w:val="19"/>
          <w:szCs w:val="19"/>
          <w:highlight w:val="green"/>
        </w:rPr>
        <w:t>consiste</w:t>
      </w:r>
      <w:r w:rsidRPr="00E81F1C">
        <w:rPr>
          <w:rFonts w:ascii="Book Antiqua" w:hAnsi="Book Antiqua"/>
          <w:b/>
          <w:bCs/>
          <w:sz w:val="19"/>
          <w:szCs w:val="19"/>
        </w:rPr>
        <w:t xml:space="preserve"> </w:t>
      </w:r>
      <w:r w:rsidRPr="00E81F1C">
        <w:rPr>
          <w:rFonts w:ascii="Book Antiqua" w:hAnsi="Book Antiqua"/>
          <w:b/>
          <w:bCs/>
          <w:sz w:val="19"/>
          <w:szCs w:val="19"/>
          <w:highlight w:val="cyan"/>
        </w:rPr>
        <w:t>em prova irrepetível</w:t>
      </w:r>
      <w:r w:rsidRPr="00E81F1C">
        <w:rPr>
          <w:rFonts w:ascii="Book Antiqua" w:hAnsi="Book Antiqua"/>
          <w:b/>
          <w:bCs/>
          <w:sz w:val="19"/>
          <w:szCs w:val="19"/>
        </w:rPr>
        <w:t>, realizada uma única vez, consideradas as necessidades da investigação e da instrução processual, bem como os direitos à ampla defesa e ao contraditório</w:t>
      </w:r>
      <w:r w:rsidRPr="00756227">
        <w:rPr>
          <w:rFonts w:ascii="Book Antiqua" w:hAnsi="Book Antiqua"/>
          <w:sz w:val="19"/>
          <w:szCs w:val="19"/>
        </w:rPr>
        <w:t>.</w:t>
      </w:r>
      <w:r w:rsidR="00E81F1C">
        <w:rPr>
          <w:rFonts w:ascii="Book Antiqua" w:hAnsi="Book Antiqua"/>
          <w:sz w:val="19"/>
          <w:szCs w:val="19"/>
        </w:rPr>
        <w:t xml:space="preserve"> </w:t>
      </w:r>
      <w:r w:rsidR="00E81F1C">
        <w:rPr>
          <w:rFonts w:ascii="Book Antiqua" w:eastAsia="Times New Roman" w:hAnsi="Book Antiqua" w:cs="Times New Roman"/>
          <w:b/>
          <w:color w:val="FF0000"/>
          <w:sz w:val="16"/>
          <w:szCs w:val="16"/>
          <w:u w:val="single"/>
          <w:lang w:eastAsia="pt-BR"/>
        </w:rPr>
        <w:t>(PCSC-2024)</w:t>
      </w:r>
    </w:p>
    <w:tbl>
      <w:tblPr>
        <w:tblStyle w:val="Tabelacomgrade"/>
        <w:tblW w:w="0" w:type="auto"/>
        <w:tblLook w:val="04A0" w:firstRow="1" w:lastRow="0" w:firstColumn="1" w:lastColumn="0" w:noHBand="0" w:noVBand="1"/>
      </w:tblPr>
      <w:tblGrid>
        <w:gridCol w:w="8494"/>
      </w:tblGrid>
      <w:tr w:rsidR="00E81F1C" w14:paraId="6DADFED9" w14:textId="77777777" w:rsidTr="00E81F1C">
        <w:tc>
          <w:tcPr>
            <w:tcW w:w="8494" w:type="dxa"/>
            <w:shd w:val="clear" w:color="auto" w:fill="CCFFFF"/>
          </w:tcPr>
          <w:p w14:paraId="1CA7D548" w14:textId="33847385" w:rsidR="00E81F1C" w:rsidRDefault="00E81F1C" w:rsidP="00756227">
            <w:pPr>
              <w:spacing w:before="100" w:beforeAutospacing="1" w:after="100" w:afterAutospacing="1"/>
              <w:jc w:val="both"/>
              <w:rPr>
                <w:rFonts w:ascii="Book Antiqua" w:hAnsi="Book Antiqua"/>
                <w:sz w:val="19"/>
                <w:szCs w:val="19"/>
              </w:rPr>
            </w:pPr>
            <w:r>
              <w:rPr>
                <w:rFonts w:ascii="Book Antiqua" w:eastAsia="Times New Roman" w:hAnsi="Book Antiqua" w:cs="Times New Roman"/>
                <w:b/>
                <w:sz w:val="19"/>
                <w:szCs w:val="19"/>
                <w:lang w:eastAsia="pt-BR"/>
              </w:rPr>
              <w:t>(</w:t>
            </w:r>
            <w:r w:rsidRPr="00495EEE">
              <w:rPr>
                <w:rFonts w:ascii="Book Antiqua" w:eastAsia="Times New Roman" w:hAnsi="Book Antiqua" w:cs="Times New Roman"/>
                <w:b/>
                <w:sz w:val="19"/>
                <w:szCs w:val="19"/>
                <w:highlight w:val="yellow"/>
                <w:lang w:eastAsia="pt-BR"/>
              </w:rPr>
              <w:t>PC</w:t>
            </w:r>
            <w:r>
              <w:rPr>
                <w:rFonts w:ascii="Book Antiqua" w:eastAsia="Times New Roman" w:hAnsi="Book Antiqua" w:cs="Times New Roman"/>
                <w:b/>
                <w:sz w:val="19"/>
                <w:szCs w:val="19"/>
                <w:highlight w:val="yellow"/>
                <w:lang w:eastAsia="pt-BR"/>
              </w:rPr>
              <w:t>SC</w:t>
            </w:r>
            <w:r w:rsidRPr="00495EEE">
              <w:rPr>
                <w:rFonts w:ascii="Book Antiqua" w:eastAsia="Times New Roman" w:hAnsi="Book Antiqua" w:cs="Times New Roman"/>
                <w:b/>
                <w:sz w:val="19"/>
                <w:szCs w:val="19"/>
                <w:highlight w:val="yellow"/>
                <w:lang w:eastAsia="pt-BR"/>
              </w:rPr>
              <w:t>-202</w:t>
            </w:r>
            <w:r>
              <w:rPr>
                <w:rFonts w:ascii="Book Antiqua" w:eastAsia="Times New Roman" w:hAnsi="Book Antiqua" w:cs="Times New Roman"/>
                <w:b/>
                <w:sz w:val="19"/>
                <w:szCs w:val="19"/>
                <w:highlight w:val="yellow"/>
                <w:lang w:eastAsia="pt-BR"/>
              </w:rPr>
              <w:t>4</w:t>
            </w:r>
            <w:r w:rsidRPr="00495EEE">
              <w:rPr>
                <w:rFonts w:ascii="Book Antiqua" w:eastAsia="Times New Roman" w:hAnsi="Book Antiqua" w:cs="Times New Roman"/>
                <w:b/>
                <w:sz w:val="19"/>
                <w:szCs w:val="19"/>
                <w:highlight w:val="yellow"/>
                <w:lang w:eastAsia="pt-BR"/>
              </w:rPr>
              <w:t>-FGV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33A97">
              <w:rPr>
                <w:rFonts w:ascii="Book Antiqua" w:eastAsia="Times New Roman" w:hAnsi="Book Antiqua" w:cs="Times New Roman"/>
                <w:bCs/>
                <w:sz w:val="19"/>
                <w:szCs w:val="19"/>
                <w:lang w:eastAsia="pt-BR"/>
              </w:rPr>
              <w:t xml:space="preserve">A estrutura de garantias constitucionais organizada para manter firme o axioma </w:t>
            </w:r>
            <w:proofErr w:type="spellStart"/>
            <w:r w:rsidRPr="00733A97">
              <w:rPr>
                <w:rFonts w:ascii="Book Antiqua" w:eastAsia="Times New Roman" w:hAnsi="Book Antiqua" w:cs="Times New Roman"/>
                <w:bCs/>
                <w:i/>
                <w:iCs/>
                <w:sz w:val="19"/>
                <w:szCs w:val="19"/>
                <w:lang w:eastAsia="pt-BR"/>
              </w:rPr>
              <w:t>Nulla</w:t>
            </w:r>
            <w:proofErr w:type="spellEnd"/>
            <w:r w:rsidRPr="00733A97">
              <w:rPr>
                <w:rFonts w:ascii="Book Antiqua" w:eastAsia="Times New Roman" w:hAnsi="Book Antiqua" w:cs="Times New Roman"/>
                <w:bCs/>
                <w:i/>
                <w:iCs/>
                <w:sz w:val="19"/>
                <w:szCs w:val="19"/>
                <w:lang w:eastAsia="pt-BR"/>
              </w:rPr>
              <w:t xml:space="preserve"> </w:t>
            </w:r>
            <w:proofErr w:type="spellStart"/>
            <w:r w:rsidRPr="00733A97">
              <w:rPr>
                <w:rFonts w:ascii="Book Antiqua" w:eastAsia="Times New Roman" w:hAnsi="Book Antiqua" w:cs="Times New Roman"/>
                <w:bCs/>
                <w:i/>
                <w:iCs/>
                <w:sz w:val="19"/>
                <w:szCs w:val="19"/>
                <w:lang w:eastAsia="pt-BR"/>
              </w:rPr>
              <w:t>poena</w:t>
            </w:r>
            <w:proofErr w:type="spellEnd"/>
            <w:r w:rsidRPr="00733A97">
              <w:rPr>
                <w:rFonts w:ascii="Book Antiqua" w:eastAsia="Times New Roman" w:hAnsi="Book Antiqua" w:cs="Times New Roman"/>
                <w:bCs/>
                <w:i/>
                <w:iCs/>
                <w:sz w:val="19"/>
                <w:szCs w:val="19"/>
                <w:lang w:eastAsia="pt-BR"/>
              </w:rPr>
              <w:t xml:space="preserve"> </w:t>
            </w:r>
            <w:proofErr w:type="spellStart"/>
            <w:r w:rsidRPr="00733A97">
              <w:rPr>
                <w:rFonts w:ascii="Book Antiqua" w:eastAsia="Times New Roman" w:hAnsi="Book Antiqua" w:cs="Times New Roman"/>
                <w:bCs/>
                <w:i/>
                <w:iCs/>
                <w:sz w:val="19"/>
                <w:szCs w:val="19"/>
                <w:lang w:eastAsia="pt-BR"/>
              </w:rPr>
              <w:t>sine</w:t>
            </w:r>
            <w:proofErr w:type="spellEnd"/>
            <w:r w:rsidRPr="00733A97">
              <w:rPr>
                <w:rFonts w:ascii="Book Antiqua" w:eastAsia="Times New Roman" w:hAnsi="Book Antiqua" w:cs="Times New Roman"/>
                <w:bCs/>
                <w:i/>
                <w:iCs/>
                <w:sz w:val="19"/>
                <w:szCs w:val="19"/>
                <w:lang w:eastAsia="pt-BR"/>
              </w:rPr>
              <w:t xml:space="preserve"> </w:t>
            </w:r>
            <w:proofErr w:type="spellStart"/>
            <w:r w:rsidRPr="00733A97">
              <w:rPr>
                <w:rFonts w:ascii="Book Antiqua" w:eastAsia="Times New Roman" w:hAnsi="Book Antiqua" w:cs="Times New Roman"/>
                <w:bCs/>
                <w:i/>
                <w:iCs/>
                <w:sz w:val="19"/>
                <w:szCs w:val="19"/>
                <w:lang w:eastAsia="pt-BR"/>
              </w:rPr>
              <w:t>probatione</w:t>
            </w:r>
            <w:proofErr w:type="spellEnd"/>
            <w:r w:rsidRPr="00733A97">
              <w:rPr>
                <w:rFonts w:ascii="Book Antiqua" w:eastAsia="Times New Roman" w:hAnsi="Book Antiqua" w:cs="Times New Roman"/>
                <w:bCs/>
                <w:sz w:val="19"/>
                <w:szCs w:val="19"/>
                <w:lang w:eastAsia="pt-BR"/>
              </w:rPr>
              <w:t xml:space="preserve"> exige dos Poderes Públicos, sobretudo do Poder Judiciário, do Ministério Público e dos organismos policiais, a observância na busca, aquisição, proposição e avaliação dos elementos probatórios. Nesse compasso, a fim de evitar erros judiciários que levem à condenação de pessoas inocentes, impedir o incremento da seletividade penal e do racismo estrutural, o Conselho Nacional de Justiça, por meio da Resolução nº 484, de 19 de dezembro de 2022, estabeleceu diretrizes para a realização e avaliação do reconhecimento de pessoas em inquéritos policiais, procedimentos de investigação e processos criminais, nos termos do Art. 226 do Código de Processo Penal.</w:t>
            </w:r>
            <w:r>
              <w:rPr>
                <w:rFonts w:ascii="Book Antiqua" w:eastAsia="Times New Roman" w:hAnsi="Book Antiqua" w:cs="Times New Roman"/>
                <w:bCs/>
                <w:sz w:val="19"/>
                <w:szCs w:val="19"/>
                <w:lang w:eastAsia="pt-BR"/>
              </w:rPr>
              <w:t xml:space="preserve"> </w:t>
            </w:r>
            <w:r w:rsidRPr="00733A97">
              <w:rPr>
                <w:rFonts w:ascii="Book Antiqua" w:eastAsia="Times New Roman" w:hAnsi="Book Antiqua" w:cs="Times New Roman"/>
                <w:bCs/>
                <w:sz w:val="19"/>
                <w:szCs w:val="19"/>
                <w:lang w:eastAsia="pt-BR"/>
              </w:rPr>
              <w:t xml:space="preserve">Fonte: CNJ. (Resolução 484/2019). </w:t>
            </w:r>
            <w:hyperlink r:id="rId4" w:history="1">
              <w:r w:rsidRPr="002E3056">
                <w:rPr>
                  <w:rStyle w:val="Hyperlink"/>
                  <w:rFonts w:ascii="Book Antiqua" w:eastAsia="Times New Roman" w:hAnsi="Book Antiqua" w:cs="Times New Roman"/>
                  <w:bCs/>
                  <w:sz w:val="19"/>
                  <w:szCs w:val="19"/>
                  <w:lang w:eastAsia="pt-BR"/>
                </w:rPr>
                <w:t>https://atos.cnj.jus.br</w:t>
              </w:r>
            </w:hyperlink>
            <w:r w:rsidRPr="00733A9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33A97">
              <w:rPr>
                <w:rFonts w:ascii="Book Antiqua" w:eastAsia="Times New Roman" w:hAnsi="Book Antiqua" w:cs="Times New Roman"/>
                <w:bCs/>
                <w:sz w:val="19"/>
                <w:szCs w:val="19"/>
                <w:lang w:eastAsia="pt-BR"/>
              </w:rPr>
              <w:t xml:space="preserve">A respeito da prova no Processo Penal, considerando as disposições do </w:t>
            </w:r>
            <w:r>
              <w:rPr>
                <w:rFonts w:ascii="Book Antiqua" w:eastAsia="Times New Roman" w:hAnsi="Book Antiqua" w:cs="Times New Roman"/>
                <w:bCs/>
                <w:sz w:val="19"/>
                <w:szCs w:val="19"/>
                <w:lang w:eastAsia="pt-BR"/>
              </w:rPr>
              <w:t>CPP</w:t>
            </w:r>
            <w:r w:rsidRPr="00733A97">
              <w:rPr>
                <w:rFonts w:ascii="Book Antiqua" w:eastAsia="Times New Roman" w:hAnsi="Book Antiqua" w:cs="Times New Roman"/>
                <w:bCs/>
                <w:sz w:val="19"/>
                <w:szCs w:val="19"/>
                <w:lang w:eastAsia="pt-BR"/>
              </w:rPr>
              <w:t xml:space="preserve">, da </w:t>
            </w:r>
            <w:r>
              <w:rPr>
                <w:rFonts w:ascii="Book Antiqua" w:eastAsia="Times New Roman" w:hAnsi="Book Antiqua" w:cs="Times New Roman"/>
                <w:bCs/>
                <w:sz w:val="19"/>
                <w:szCs w:val="19"/>
                <w:lang w:eastAsia="pt-BR"/>
              </w:rPr>
              <w:t>CF/</w:t>
            </w:r>
            <w:r w:rsidRPr="00733A97">
              <w:rPr>
                <w:rFonts w:ascii="Book Antiqua" w:eastAsia="Times New Roman" w:hAnsi="Book Antiqua" w:cs="Times New Roman"/>
                <w:bCs/>
                <w:sz w:val="19"/>
                <w:szCs w:val="19"/>
                <w:lang w:eastAsia="pt-BR"/>
              </w:rPr>
              <w:t xml:space="preserve">88, das leis processuais penais, e da Jurisprudência recente do </w:t>
            </w:r>
            <w:r>
              <w:rPr>
                <w:rFonts w:ascii="Book Antiqua" w:eastAsia="Times New Roman" w:hAnsi="Book Antiqua" w:cs="Times New Roman"/>
                <w:bCs/>
                <w:sz w:val="19"/>
                <w:szCs w:val="19"/>
                <w:lang w:eastAsia="pt-BR"/>
              </w:rPr>
              <w:t>STJ</w:t>
            </w:r>
            <w:r w:rsidRPr="00733A97">
              <w:rPr>
                <w:rFonts w:ascii="Book Antiqua" w:eastAsia="Times New Roman" w:hAnsi="Book Antiqua" w:cs="Times New Roman"/>
                <w:bCs/>
                <w:sz w:val="19"/>
                <w:szCs w:val="19"/>
                <w:lang w:eastAsia="pt-BR"/>
              </w:rPr>
              <w:t xml:space="preserve"> e do </w:t>
            </w:r>
            <w:r>
              <w:rPr>
                <w:rFonts w:ascii="Book Antiqua" w:eastAsia="Times New Roman" w:hAnsi="Book Antiqua" w:cs="Times New Roman"/>
                <w:bCs/>
                <w:sz w:val="19"/>
                <w:szCs w:val="19"/>
                <w:lang w:eastAsia="pt-BR"/>
              </w:rPr>
              <w:t>STF</w:t>
            </w:r>
            <w:r w:rsidRPr="00733A97">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assinale a alternativa correta:</w:t>
            </w:r>
            <w:r>
              <w:t xml:space="preserve"> </w:t>
            </w:r>
            <w:r w:rsidRPr="00E81F1C">
              <w:rPr>
                <w:rFonts w:ascii="Book Antiqua" w:eastAsia="Times New Roman" w:hAnsi="Book Antiqua" w:cs="Times New Roman"/>
                <w:bCs/>
                <w:sz w:val="19"/>
                <w:szCs w:val="19"/>
                <w:lang w:eastAsia="pt-BR"/>
              </w:rPr>
              <w:t>O reconhecimento de pessoas, por sua natureza, consiste em prova irrepetível.</w:t>
            </w:r>
            <w:r>
              <w:rPr>
                <w:rFonts w:ascii="Book Antiqua" w:eastAsia="Times New Roman" w:hAnsi="Book Antiqua" w:cs="Times New Roman"/>
                <w:bCs/>
                <w:sz w:val="19"/>
                <w:szCs w:val="19"/>
                <w:lang w:eastAsia="pt-BR"/>
              </w:rPr>
              <w:t xml:space="preserve"> </w:t>
            </w:r>
            <w:r w:rsidRPr="002E4065">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2º, §1º, Res. 484/22, CNJ.</w:t>
            </w:r>
          </w:p>
        </w:tc>
      </w:tr>
    </w:tbl>
    <w:p w14:paraId="5395862D" w14:textId="12A58CE9"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 2º A pessoa cujo reconhecimento se pretender tem direito a constituir defensor para acompanhar o procedimento de reconhecimento pessoal ou fotográfico, nos termos da legislação vigente.</w:t>
      </w:r>
    </w:p>
    <w:p w14:paraId="59E53C49"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Art. 3º Compete às autoridades judiciais admitir e valorar o reconhecimento de pessoas à luz das diretrizes e procedimentos descritos em lei e nesta Resolução e zelar para que a prova seja produzida de maneira a evitar a ocorrência de reconhecimentos equivocados.</w:t>
      </w:r>
    </w:p>
    <w:p w14:paraId="14FF8B30"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Parágrafo único. A observância das diretrizes e dos procedimentos estabelecidos nesta Resolução e no Código de Processo Penal será considerada pelos magistrados para avaliação da prova.</w:t>
      </w:r>
    </w:p>
    <w:p w14:paraId="3FAD4361"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Art. 4º O reconhecimento será realizado preferencialmente pelo alinhamento presencial de pessoas e, em caso de impossibilidade devidamente justificada, pela apresentação de fotografias, observadas, em qualquer caso, as diretrizes da presente Resolução e do Código de Processo Penal.</w:t>
      </w:r>
    </w:p>
    <w:p w14:paraId="6B777FF6"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Parágrafo único. Na impossibilidade de realização do reconhecimento conforme os parâmetros indicados na presente Resolução, devem ser priorizados outros meios de prova para identificação da pessoa responsável pelo delito.</w:t>
      </w:r>
    </w:p>
    <w:p w14:paraId="3AE0929A"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Art. 5º O reconhecimento de pessoas é composto pelas seguintes etapas:</w:t>
      </w:r>
    </w:p>
    <w:p w14:paraId="3E2FA676"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 xml:space="preserve">I – </w:t>
      </w:r>
      <w:proofErr w:type="gramStart"/>
      <w:r w:rsidRPr="00756227">
        <w:rPr>
          <w:rFonts w:ascii="Book Antiqua" w:hAnsi="Book Antiqua"/>
          <w:sz w:val="19"/>
          <w:szCs w:val="19"/>
        </w:rPr>
        <w:t>entrevista</w:t>
      </w:r>
      <w:proofErr w:type="gramEnd"/>
      <w:r w:rsidRPr="00756227">
        <w:rPr>
          <w:rFonts w:ascii="Book Antiqua" w:hAnsi="Book Antiqua"/>
          <w:sz w:val="19"/>
          <w:szCs w:val="19"/>
        </w:rPr>
        <w:t xml:space="preserve"> prévia com a vítima ou testemunha para a descrição da pessoa investigada ou processada;</w:t>
      </w:r>
    </w:p>
    <w:p w14:paraId="59B1408D"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 xml:space="preserve">II – </w:t>
      </w:r>
      <w:proofErr w:type="gramStart"/>
      <w:r w:rsidRPr="00756227">
        <w:rPr>
          <w:rFonts w:ascii="Book Antiqua" w:hAnsi="Book Antiqua"/>
          <w:sz w:val="19"/>
          <w:szCs w:val="19"/>
        </w:rPr>
        <w:t>fornecimento</w:t>
      </w:r>
      <w:proofErr w:type="gramEnd"/>
      <w:r w:rsidRPr="00756227">
        <w:rPr>
          <w:rFonts w:ascii="Book Antiqua" w:hAnsi="Book Antiqua"/>
          <w:sz w:val="19"/>
          <w:szCs w:val="19"/>
        </w:rPr>
        <w:t xml:space="preserve"> de instruções à vítima ou testemunha sobre a natureza do procedimento;</w:t>
      </w:r>
    </w:p>
    <w:p w14:paraId="0DBADC75"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III – alinhamento de pessoas ou fotografias padronizadas a serem apresentadas à vítima ou testemunha para fins de reconhecimento;</w:t>
      </w:r>
    </w:p>
    <w:p w14:paraId="5282C277"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lastRenderedPageBreak/>
        <w:t xml:space="preserve">IV – </w:t>
      </w:r>
      <w:proofErr w:type="gramStart"/>
      <w:r w:rsidRPr="00756227">
        <w:rPr>
          <w:rFonts w:ascii="Book Antiqua" w:hAnsi="Book Antiqua"/>
          <w:sz w:val="19"/>
          <w:szCs w:val="19"/>
        </w:rPr>
        <w:t>o</w:t>
      </w:r>
      <w:proofErr w:type="gramEnd"/>
      <w:r w:rsidRPr="00756227">
        <w:rPr>
          <w:rFonts w:ascii="Book Antiqua" w:hAnsi="Book Antiqua"/>
          <w:sz w:val="19"/>
          <w:szCs w:val="19"/>
        </w:rPr>
        <w:t xml:space="preserve"> registro da resposta da vítima ou testemunha em relação ao reconhecimento ou não da pessoa investigada ou processada; e</w:t>
      </w:r>
    </w:p>
    <w:p w14:paraId="16D37E05"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 xml:space="preserve">V – </w:t>
      </w:r>
      <w:proofErr w:type="gramStart"/>
      <w:r w:rsidRPr="00756227">
        <w:rPr>
          <w:rFonts w:ascii="Book Antiqua" w:hAnsi="Book Antiqua"/>
          <w:sz w:val="19"/>
          <w:szCs w:val="19"/>
        </w:rPr>
        <w:t>o</w:t>
      </w:r>
      <w:proofErr w:type="gramEnd"/>
      <w:r w:rsidRPr="00756227">
        <w:rPr>
          <w:rFonts w:ascii="Book Antiqua" w:hAnsi="Book Antiqua"/>
          <w:sz w:val="19"/>
          <w:szCs w:val="19"/>
        </w:rPr>
        <w:t xml:space="preserve"> registro do grau de convencimento da vítima ou testemunha, em suas próprias palavras.</w:t>
      </w:r>
    </w:p>
    <w:p w14:paraId="00C1BCAE"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 1º Para fins de aferição da legalidade e garantia do direito de defesa, o procedimento será integralmente gravado, desde a entrevista prévia até a declaração do grau de convencimento da vítima ou testemunha, com a disponibilização do respectivo vídeo às partes, caso solicitado.</w:t>
      </w:r>
    </w:p>
    <w:p w14:paraId="1D617D6C"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 2º A inclusão da pessoa ou de sua fotografia em procedimento de reconhecimento, na condição de investigada ou processada, será embasada em outros indícios de sua participação no delito, como a averiguação de sua presença no dia e local do fato ou outra circunstância relevante.</w:t>
      </w:r>
    </w:p>
    <w:p w14:paraId="1093F25A"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Art. 6º A entrevista prévia será composta pelas seguintes etapas:</w:t>
      </w:r>
    </w:p>
    <w:p w14:paraId="221F8072"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 xml:space="preserve">I – </w:t>
      </w:r>
      <w:proofErr w:type="gramStart"/>
      <w:r w:rsidRPr="00756227">
        <w:rPr>
          <w:rFonts w:ascii="Book Antiqua" w:hAnsi="Book Antiqua"/>
          <w:sz w:val="19"/>
          <w:szCs w:val="19"/>
        </w:rPr>
        <w:t>solicitação</w:t>
      </w:r>
      <w:proofErr w:type="gramEnd"/>
      <w:r w:rsidRPr="00756227">
        <w:rPr>
          <w:rFonts w:ascii="Book Antiqua" w:hAnsi="Book Antiqua"/>
          <w:sz w:val="19"/>
          <w:szCs w:val="19"/>
        </w:rPr>
        <w:t xml:space="preserve"> à vítima ou testemunha para descrever as pessoas investigadas ou processadas pelo crime, por meio de relato livre e de perguntas abertas, sem o uso de questões que possam induzir ou sugerir a resposta;</w:t>
      </w:r>
    </w:p>
    <w:p w14:paraId="6CB586F4"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 xml:space="preserve">II – </w:t>
      </w:r>
      <w:proofErr w:type="gramStart"/>
      <w:r w:rsidRPr="00756227">
        <w:rPr>
          <w:rFonts w:ascii="Book Antiqua" w:hAnsi="Book Antiqua"/>
          <w:sz w:val="19"/>
          <w:szCs w:val="19"/>
        </w:rPr>
        <w:t>indagação</w:t>
      </w:r>
      <w:proofErr w:type="gramEnd"/>
      <w:r w:rsidRPr="00756227">
        <w:rPr>
          <w:rFonts w:ascii="Book Antiqua" w:hAnsi="Book Antiqua"/>
          <w:sz w:val="19"/>
          <w:szCs w:val="19"/>
        </w:rPr>
        <w:t xml:space="preserve"> sobre a dinâmica dos fatos, a distância aproximada a que estava das pessoas que praticaram o fato delituoso, o tempo aproximado durante o qual visualizou o rosto dessas pessoas, as condições de visibilidade e de iluminação no local;</w:t>
      </w:r>
    </w:p>
    <w:p w14:paraId="302DD45A"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III – inclusão de autodeclaração da vítima, da testemunha e das pessoas investigadas ou processadas pelo crime sobre a sua raça/cor, bem como heteroidentificação da vítima e testemunha em relação à raça/cor das pessoas investigadas ou processadas; e</w:t>
      </w:r>
    </w:p>
    <w:p w14:paraId="3077BCA5"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 xml:space="preserve">IV – </w:t>
      </w:r>
      <w:proofErr w:type="gramStart"/>
      <w:r w:rsidRPr="00756227">
        <w:rPr>
          <w:rFonts w:ascii="Book Antiqua" w:hAnsi="Book Antiqua"/>
          <w:sz w:val="19"/>
          <w:szCs w:val="19"/>
        </w:rPr>
        <w:t>indagação</w:t>
      </w:r>
      <w:proofErr w:type="gramEnd"/>
      <w:r w:rsidRPr="00756227">
        <w:rPr>
          <w:rFonts w:ascii="Book Antiqua" w:hAnsi="Book Antiqua"/>
          <w:sz w:val="19"/>
          <w:szCs w:val="19"/>
        </w:rPr>
        <w:t xml:space="preserve"> referente à apresentação anterior de alguma pessoa ou fotografia, acesso ou visualização prévia de imagem das pessoas investigadas ou processadas pelo crime ou, ainda, ocorrência de conversa com agente policial, vítima ou testemunha sobre as características da(s) pessoa(s) investigada(s) ou processada(s).</w:t>
      </w:r>
    </w:p>
    <w:p w14:paraId="3F475D4F"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 1º A entrevista será realizada de forma separada e reservada com cada vítima ou testemunha, com a garantia de que não haja contato entre elas e de que não saibam nem ouçam as respostas umas das outras, constando o registro dessas circunstâncias no respectivo termo.</w:t>
      </w:r>
    </w:p>
    <w:p w14:paraId="5E047F26"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 2º Nas hipóteses do inciso IV deste artigo ou naquelas em que a descrição apresentada pela vítima ou testemunha não coincidir com as características das pessoas investigadas ou processadas, o reconhecimento não será realizado.</w:t>
      </w:r>
    </w:p>
    <w:p w14:paraId="19275B14"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 xml:space="preserve">§ 3º As fichas de autodeclaração e de </w:t>
      </w:r>
      <w:proofErr w:type="spellStart"/>
      <w:r w:rsidRPr="00756227">
        <w:rPr>
          <w:rFonts w:ascii="Book Antiqua" w:hAnsi="Book Antiqua"/>
          <w:sz w:val="19"/>
          <w:szCs w:val="19"/>
        </w:rPr>
        <w:t>heterodeclaração</w:t>
      </w:r>
      <w:proofErr w:type="spellEnd"/>
      <w:r w:rsidRPr="00756227">
        <w:rPr>
          <w:rFonts w:ascii="Book Antiqua" w:hAnsi="Book Antiqua"/>
          <w:sz w:val="19"/>
          <w:szCs w:val="19"/>
        </w:rPr>
        <w:t xml:space="preserve"> de que trata o inciso III obedecerão ao sistema classificatório utilizado pelo Instituto Brasileiro de Geografia e Estatística (IBGE), com as seguintes opções de resposta: “amarelo, branco, indígena, pardo e preto”.</w:t>
      </w:r>
    </w:p>
    <w:p w14:paraId="773BE93F"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Art. 7º Imediatamente antes de iniciar o procedimento de reconhecimento, a vítima ou a testemunha será alertada de que:</w:t>
      </w:r>
    </w:p>
    <w:p w14:paraId="72E4B1F3"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 xml:space="preserve">I – </w:t>
      </w:r>
      <w:proofErr w:type="gramStart"/>
      <w:r w:rsidRPr="00756227">
        <w:rPr>
          <w:rFonts w:ascii="Book Antiqua" w:hAnsi="Book Antiqua"/>
          <w:sz w:val="19"/>
          <w:szCs w:val="19"/>
        </w:rPr>
        <w:t>a</w:t>
      </w:r>
      <w:proofErr w:type="gramEnd"/>
      <w:r w:rsidRPr="00756227">
        <w:rPr>
          <w:rFonts w:ascii="Book Antiqua" w:hAnsi="Book Antiqua"/>
          <w:sz w:val="19"/>
          <w:szCs w:val="19"/>
        </w:rPr>
        <w:t xml:space="preserve"> pessoa investigada ou processada pode ou não estar entre aquelas que lhes serão apresentadas;</w:t>
      </w:r>
    </w:p>
    <w:p w14:paraId="6C8F20EA"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 xml:space="preserve">II – </w:t>
      </w:r>
      <w:proofErr w:type="gramStart"/>
      <w:r w:rsidRPr="00756227">
        <w:rPr>
          <w:rFonts w:ascii="Book Antiqua" w:hAnsi="Book Antiqua"/>
          <w:sz w:val="19"/>
          <w:szCs w:val="19"/>
        </w:rPr>
        <w:t>após</w:t>
      </w:r>
      <w:proofErr w:type="gramEnd"/>
      <w:r w:rsidRPr="00756227">
        <w:rPr>
          <w:rFonts w:ascii="Book Antiqua" w:hAnsi="Book Antiqua"/>
          <w:sz w:val="19"/>
          <w:szCs w:val="19"/>
        </w:rPr>
        <w:t xml:space="preserve"> observar as pessoas apresentadas, ela poderá reconhecer uma dessas, bem como não reconhecer qualquer uma delas;</w:t>
      </w:r>
    </w:p>
    <w:p w14:paraId="62CF706E"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III – a apuração dos fatos continuará independentemente do resultado do reconhecimento;</w:t>
      </w:r>
    </w:p>
    <w:p w14:paraId="1F6CBCAF"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 xml:space="preserve">IV – </w:t>
      </w:r>
      <w:proofErr w:type="gramStart"/>
      <w:r w:rsidRPr="00756227">
        <w:rPr>
          <w:rFonts w:ascii="Book Antiqua" w:hAnsi="Book Antiqua"/>
          <w:sz w:val="19"/>
          <w:szCs w:val="19"/>
        </w:rPr>
        <w:t>deverá</w:t>
      </w:r>
      <w:proofErr w:type="gramEnd"/>
      <w:r w:rsidRPr="00756227">
        <w:rPr>
          <w:rFonts w:ascii="Book Antiqua" w:hAnsi="Book Antiqua"/>
          <w:sz w:val="19"/>
          <w:szCs w:val="19"/>
        </w:rPr>
        <w:t xml:space="preserve"> indicar, com suas próprias palavras, o grau de confiança em sua resposta.</w:t>
      </w:r>
    </w:p>
    <w:p w14:paraId="7724D28A"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lastRenderedPageBreak/>
        <w:t>Parágrafo único. As orientações de que trata este artigo serão apresentadas sem o fornecimento, à vítima ou testemunha, de informações sobre a vida pregressa da pessoa investigada ou processada ou acerca de outros elementos que possam influenciar a resposta da vítima ou testemunha.</w:t>
      </w:r>
    </w:p>
    <w:p w14:paraId="5B0F1BC0"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Art. 8º O reconhecimento será realizado por meio do alinhamento padronizado de pessoas ou de fotografias, observada a ordem de preferência do art. 4º, de forma que nenhuma se destaque das demais, observadas as medidas a seguir:</w:t>
      </w:r>
    </w:p>
    <w:p w14:paraId="7267FFDC"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 xml:space="preserve">I – </w:t>
      </w:r>
      <w:proofErr w:type="gramStart"/>
      <w:r w:rsidRPr="00756227">
        <w:rPr>
          <w:rFonts w:ascii="Book Antiqua" w:hAnsi="Book Antiqua"/>
          <w:sz w:val="19"/>
          <w:szCs w:val="19"/>
        </w:rPr>
        <w:t>o</w:t>
      </w:r>
      <w:proofErr w:type="gramEnd"/>
      <w:r w:rsidRPr="00756227">
        <w:rPr>
          <w:rFonts w:ascii="Book Antiqua" w:hAnsi="Book Antiqua"/>
          <w:sz w:val="19"/>
          <w:szCs w:val="19"/>
        </w:rPr>
        <w:t xml:space="preserve"> alinhamento de pessoas ou de fotografias poderá ser simultâneo, de modo que a pessoa investigada ou processada e as demais pessoas serão apresentadas em conjunto a quem tiver de fazer o reconhecimento, ou sequencial, de forma que a pessoa investigada ou processada e as demais sejam exibidas uma a uma, em iguais condições de espaço e períodos de tempo;</w:t>
      </w:r>
    </w:p>
    <w:p w14:paraId="284E3A15"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 xml:space="preserve">II – </w:t>
      </w:r>
      <w:proofErr w:type="gramStart"/>
      <w:r w:rsidRPr="00756227">
        <w:rPr>
          <w:rFonts w:ascii="Book Antiqua" w:hAnsi="Book Antiqua"/>
          <w:sz w:val="19"/>
          <w:szCs w:val="19"/>
        </w:rPr>
        <w:t>a</w:t>
      </w:r>
      <w:proofErr w:type="gramEnd"/>
      <w:r w:rsidRPr="00756227">
        <w:rPr>
          <w:rFonts w:ascii="Book Antiqua" w:hAnsi="Book Antiqua"/>
          <w:sz w:val="19"/>
          <w:szCs w:val="19"/>
        </w:rPr>
        <w:t xml:space="preserve"> pessoa investigada ou processada será apresentada com, no mínimo, outras 4 (quatro) pessoas não relacionadas ao fato investigado, que atendam igualmente à descrição dada pela vítima ou testemunha às características da pessoa investigada ou processada.</w:t>
      </w:r>
    </w:p>
    <w:p w14:paraId="7979779F"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 xml:space="preserve">§ 1º Na realização do alinhamento, a autoridade zelará pela higidez do procedimento, nos moldes deste artigo, inclusive a fim de evitar a apresentação isolada da pessoa (show </w:t>
      </w:r>
      <w:proofErr w:type="spellStart"/>
      <w:r w:rsidRPr="00756227">
        <w:rPr>
          <w:rFonts w:ascii="Book Antiqua" w:hAnsi="Book Antiqua"/>
          <w:sz w:val="19"/>
          <w:szCs w:val="19"/>
        </w:rPr>
        <w:t>up</w:t>
      </w:r>
      <w:proofErr w:type="spellEnd"/>
      <w:r w:rsidRPr="00756227">
        <w:rPr>
          <w:rFonts w:ascii="Book Antiqua" w:hAnsi="Book Antiqua"/>
          <w:sz w:val="19"/>
          <w:szCs w:val="19"/>
        </w:rPr>
        <w:t>), de sua fotografia ou imagem.</w:t>
      </w:r>
    </w:p>
    <w:p w14:paraId="41833511"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 2º A fim de assegurar a legalidade do procedimento, a autoridade zelará para a não ocorrência de apresentação sugestiva, entendida esta como um conjunto de fotografias ou imagens que se refiram somente a pessoas investigadas ou processadas, integrantes de álbuns de suspeitos, extraídas de redes sociais ou de qualquer outro meio.</w:t>
      </w:r>
    </w:p>
    <w:p w14:paraId="10FAC11F"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 3º Na apresentação de que trata o inciso II, será assegurado que as características físicas, o sexo, a raça/cor, a aparência, as vestimentas, a exposição ou a condução da pessoa investigada ou processada não sejam capazes de diferenciá-la em relação às demais.</w:t>
      </w:r>
    </w:p>
    <w:p w14:paraId="7893FD71"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 4º Nos casos em que a vítima ou testemunha manifestar receio de intimidação ou outra influência pela presença da pessoa investigada ou processada, a autoridade providenciará para que a pessoa e os demais participantes do alinhamento não vejam quem fará o reconhecimento.</w:t>
      </w:r>
    </w:p>
    <w:p w14:paraId="142F2C9C"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Art. 9º Após a realização da entrevista prévia, das instruções pertinentes e do alinhamento, de acordo com os artigos anteriores, a vítima ou a testemunha será convidada a apontar se reconhece, entre as fotografias ou pessoas apresentadas, aquela que participou do delito.</w:t>
      </w:r>
    </w:p>
    <w:p w14:paraId="53496C5D"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Parágrafo único. Após a resposta da vítima ou testemunha, será solicitado que ela indique, com suas próprias palavras, o grau de confiança em sua resposta, de modo que não seja transmitida à vítima ou à testemunha qualquer tipo de informação acerca de sua resposta coincidir ou não com a expectativa da autoridade condutora do reconhecimento.</w:t>
      </w:r>
    </w:p>
    <w:p w14:paraId="1B90575E"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Art. 10. O ato de reconhecimento será reduzido a termo, de forma pormenorizada e com informações sobre a fonte das fotografias e imagens, para juntada aos autos do processo, em conjunto com a respectiva gravação audiovisual.</w:t>
      </w:r>
    </w:p>
    <w:p w14:paraId="0E02803F"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Art. 11. Ao apreciar o reconhecimento de pessoas efetuado na investigação criminal, e considerando o disposto no art. 2º, § 1º, desta Resolução, a autoridade judicial avaliará a higidez do ato, para constatar se houve a adoção de todas as cautelas necessárias, incluídas a não apresentação da pessoa ou fotografia de forma isolada ou sugestiva, a ausência de informações prévias, insinuações ou reforço das respostas apresentadas, considerando o disposto no art. 157 do Código de Processo Penal.</w:t>
      </w:r>
    </w:p>
    <w:p w14:paraId="12ACA434"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Parágrafo único. A autoridade judicial, no desempenho de suas atribuições, atentará para a precariedade do caráter probatório do reconhecimento de pessoas, que será avaliado em conjunto com os demais elementos do acervo probatório, tendo em vista a falibilidade da memória humana.</w:t>
      </w:r>
    </w:p>
    <w:p w14:paraId="783A624C"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 xml:space="preserve">Art. 12. Para o cumprimento desta Resolução, os tribunais, em colaboração com a Escola Nacional de Formação e Aperfeiçoamento dos Magistrados e as demais Escolas de Magistratura, promoverão </w:t>
      </w:r>
      <w:r w:rsidRPr="00756227">
        <w:rPr>
          <w:rFonts w:ascii="Book Antiqua" w:hAnsi="Book Antiqua"/>
          <w:sz w:val="19"/>
          <w:szCs w:val="19"/>
        </w:rPr>
        <w:lastRenderedPageBreak/>
        <w:t>cursos destinados à permanente qualificação e atualização funcional dos magistrados e serventuários que atuam nas Varas Criminais em relação aos parâmetros científicos, às regras técnicas, às boas práticas, aos problemas identificados pelo GT Reconhecimento de Pessoas.</w:t>
      </w:r>
    </w:p>
    <w:p w14:paraId="307A9FD8"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 1º Os cursos de qualificação e atualização mencionados no caput também poderão ser oferecidos aos membros do Ministério Público e da Defensoria Pública, mediante convênio a ser firmado entre o referido órgão e o Poder Judiciário, respeitada a independência funcional das instituições.</w:t>
      </w:r>
    </w:p>
    <w:p w14:paraId="685AA48F"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 2º Os tribunais, com o apoio do CNJ, poderão firmar convênios com o Poder Executivo a fim de realizar cursos de qualificação e atualização funcional dos agentes de segurança pública sobre as diretrizes da presente Resolução.</w:t>
      </w:r>
    </w:p>
    <w:p w14:paraId="48D6E776"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Art. 13. O Departamento de Monitoramento e Fiscalização do Sistema Carcerário e do Sistema de Execução de Medidas Socioeducativas do Conselho Nacional de Justiça elaborará, em até 180 (centro e oitenta) dias, manual de boas práticas quanto à implementação das medidas previstas nesta Resolução.</w:t>
      </w:r>
    </w:p>
    <w:p w14:paraId="2FB5B86D" w14:textId="77777777" w:rsidR="00756227" w:rsidRPr="00756227" w:rsidRDefault="00756227" w:rsidP="00756227">
      <w:pPr>
        <w:spacing w:before="100" w:beforeAutospacing="1" w:after="100" w:afterAutospacing="1" w:line="240" w:lineRule="auto"/>
        <w:jc w:val="both"/>
        <w:rPr>
          <w:rFonts w:ascii="Book Antiqua" w:hAnsi="Book Antiqua"/>
          <w:sz w:val="19"/>
          <w:szCs w:val="19"/>
        </w:rPr>
      </w:pPr>
      <w:r w:rsidRPr="00756227">
        <w:rPr>
          <w:rFonts w:ascii="Book Antiqua" w:hAnsi="Book Antiqua"/>
          <w:sz w:val="19"/>
          <w:szCs w:val="19"/>
        </w:rPr>
        <w:t>Art. 14. Esta Resolução entra em vigor em 90 (noventa) dias após a sua publicação.</w:t>
      </w:r>
    </w:p>
    <w:p w14:paraId="6A5036C1" w14:textId="77777777" w:rsidR="00756227" w:rsidRDefault="00756227" w:rsidP="00756227">
      <w:pPr>
        <w:spacing w:before="100" w:beforeAutospacing="1" w:after="100" w:afterAutospacing="1" w:line="240" w:lineRule="auto"/>
        <w:rPr>
          <w:rFonts w:ascii="Book Antiqua" w:hAnsi="Book Antiqua"/>
          <w:sz w:val="19"/>
          <w:szCs w:val="19"/>
        </w:rPr>
      </w:pPr>
    </w:p>
    <w:p w14:paraId="6C684656" w14:textId="73A70AA4" w:rsidR="00756227" w:rsidRPr="00756227" w:rsidRDefault="00756227" w:rsidP="00756227">
      <w:pPr>
        <w:spacing w:before="100" w:beforeAutospacing="1" w:after="100" w:afterAutospacing="1" w:line="240" w:lineRule="auto"/>
        <w:jc w:val="center"/>
        <w:rPr>
          <w:rFonts w:ascii="Book Antiqua" w:hAnsi="Book Antiqua"/>
          <w:sz w:val="19"/>
          <w:szCs w:val="19"/>
        </w:rPr>
      </w:pPr>
      <w:r w:rsidRPr="00756227">
        <w:rPr>
          <w:rFonts w:ascii="Book Antiqua" w:hAnsi="Book Antiqua"/>
          <w:sz w:val="19"/>
          <w:szCs w:val="19"/>
        </w:rPr>
        <w:t>Ministra ROSA WEBER</w:t>
      </w:r>
    </w:p>
    <w:sectPr w:rsidR="00756227" w:rsidRPr="00756227" w:rsidSect="00756227">
      <w:pgSz w:w="11906" w:h="16838"/>
      <w:pgMar w:top="1134"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164"/>
    <w:rsid w:val="00056442"/>
    <w:rsid w:val="00095DB1"/>
    <w:rsid w:val="002F1190"/>
    <w:rsid w:val="00362164"/>
    <w:rsid w:val="00756227"/>
    <w:rsid w:val="00B80054"/>
    <w:rsid w:val="00BB7FE6"/>
    <w:rsid w:val="00D346F6"/>
    <w:rsid w:val="00E81F1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3D63B"/>
  <w15:chartTrackingRefBased/>
  <w15:docId w15:val="{08689273-0CB0-4F2E-95A0-539D28D47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621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3621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36216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36216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36216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36216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6216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6216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6216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62164"/>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362164"/>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362164"/>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362164"/>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362164"/>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36216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6216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6216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62164"/>
    <w:rPr>
      <w:rFonts w:eastAsiaTheme="majorEastAsia" w:cstheme="majorBidi"/>
      <w:color w:val="272727" w:themeColor="text1" w:themeTint="D8"/>
    </w:rPr>
  </w:style>
  <w:style w:type="paragraph" w:styleId="Ttulo">
    <w:name w:val="Title"/>
    <w:basedOn w:val="Normal"/>
    <w:next w:val="Normal"/>
    <w:link w:val="TtuloChar"/>
    <w:uiPriority w:val="10"/>
    <w:qFormat/>
    <w:rsid w:val="003621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6216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6216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6216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62164"/>
    <w:pPr>
      <w:spacing w:before="160"/>
      <w:jc w:val="center"/>
    </w:pPr>
    <w:rPr>
      <w:i/>
      <w:iCs/>
      <w:color w:val="404040" w:themeColor="text1" w:themeTint="BF"/>
    </w:rPr>
  </w:style>
  <w:style w:type="character" w:customStyle="1" w:styleId="CitaoChar">
    <w:name w:val="Citação Char"/>
    <w:basedOn w:val="Fontepargpadro"/>
    <w:link w:val="Citao"/>
    <w:uiPriority w:val="29"/>
    <w:rsid w:val="00362164"/>
    <w:rPr>
      <w:i/>
      <w:iCs/>
      <w:color w:val="404040" w:themeColor="text1" w:themeTint="BF"/>
    </w:rPr>
  </w:style>
  <w:style w:type="paragraph" w:styleId="PargrafodaLista">
    <w:name w:val="List Paragraph"/>
    <w:basedOn w:val="Normal"/>
    <w:uiPriority w:val="34"/>
    <w:qFormat/>
    <w:rsid w:val="00362164"/>
    <w:pPr>
      <w:ind w:left="720"/>
      <w:contextualSpacing/>
    </w:pPr>
  </w:style>
  <w:style w:type="character" w:styleId="nfaseIntensa">
    <w:name w:val="Intense Emphasis"/>
    <w:basedOn w:val="Fontepargpadro"/>
    <w:uiPriority w:val="21"/>
    <w:qFormat/>
    <w:rsid w:val="00362164"/>
    <w:rPr>
      <w:i/>
      <w:iCs/>
      <w:color w:val="2F5496" w:themeColor="accent1" w:themeShade="BF"/>
    </w:rPr>
  </w:style>
  <w:style w:type="paragraph" w:styleId="CitaoIntensa">
    <w:name w:val="Intense Quote"/>
    <w:basedOn w:val="Normal"/>
    <w:next w:val="Normal"/>
    <w:link w:val="CitaoIntensaChar"/>
    <w:uiPriority w:val="30"/>
    <w:qFormat/>
    <w:rsid w:val="003621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362164"/>
    <w:rPr>
      <w:i/>
      <w:iCs/>
      <w:color w:val="2F5496" w:themeColor="accent1" w:themeShade="BF"/>
    </w:rPr>
  </w:style>
  <w:style w:type="character" w:styleId="RefernciaIntensa">
    <w:name w:val="Intense Reference"/>
    <w:basedOn w:val="Fontepargpadro"/>
    <w:uiPriority w:val="32"/>
    <w:qFormat/>
    <w:rsid w:val="00362164"/>
    <w:rPr>
      <w:b/>
      <w:bCs/>
      <w:smallCaps/>
      <w:color w:val="2F5496" w:themeColor="accent1" w:themeShade="BF"/>
      <w:spacing w:val="5"/>
    </w:rPr>
  </w:style>
  <w:style w:type="table" w:styleId="Tabelacomgrade">
    <w:name w:val="Table Grid"/>
    <w:basedOn w:val="Tabelanormal"/>
    <w:uiPriority w:val="39"/>
    <w:rsid w:val="00E81F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E81F1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atos.cnj.jus.br"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2448</Words>
  <Characters>13223</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3</cp:revision>
  <dcterms:created xsi:type="dcterms:W3CDTF">2025-07-15T16:42:00Z</dcterms:created>
  <dcterms:modified xsi:type="dcterms:W3CDTF">2025-07-15T17:24:00Z</dcterms:modified>
</cp:coreProperties>
</file>