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3BBC" w14:textId="77777777" w:rsidR="00F14306" w:rsidRPr="00983348" w:rsidRDefault="00F14306" w:rsidP="00F1430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983348">
        <w:rPr>
          <w:rFonts w:ascii="Book Antiqua" w:hAnsi="Book Antiqua" w:cs="Times New Roman"/>
          <w:b/>
          <w:sz w:val="19"/>
          <w:szCs w:val="19"/>
        </w:rPr>
        <w:t xml:space="preserve">PRESCRIÇÃO QUINQUENAL – </w:t>
      </w:r>
      <w:bookmarkStart w:id="0" w:name="_Hlk38979116"/>
      <w:r w:rsidRPr="00983348">
        <w:rPr>
          <w:rFonts w:ascii="Book Antiqua" w:hAnsi="Book Antiqua" w:cs="Times New Roman"/>
          <w:b/>
          <w:sz w:val="19"/>
          <w:szCs w:val="19"/>
        </w:rPr>
        <w:t>Dec. 20.910/32</w:t>
      </w:r>
      <w:bookmarkEnd w:id="0"/>
      <w:r w:rsidRPr="00983348">
        <w:rPr>
          <w:rFonts w:ascii="Book Antiqua" w:hAnsi="Book Antiqua" w:cs="Times New Roman"/>
          <w:b/>
          <w:sz w:val="19"/>
          <w:szCs w:val="19"/>
        </w:rPr>
        <w:t>.</w:t>
      </w:r>
    </w:p>
    <w:p w14:paraId="65144B66" w14:textId="77777777" w:rsidR="00F14306" w:rsidRPr="00983348" w:rsidRDefault="00F14306" w:rsidP="00F1430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983348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69D796C" w14:textId="77777777" w:rsidR="00F14306" w:rsidRPr="00983348" w:rsidRDefault="00F14306" w:rsidP="00F14306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983348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F14306" w:rsidRPr="00274B14" w14:paraId="61B90989" w14:textId="77777777" w:rsidTr="007064CB">
        <w:trPr>
          <w:trHeight w:hRule="exact" w:val="4027"/>
        </w:trPr>
        <w:tc>
          <w:tcPr>
            <w:tcW w:w="8876" w:type="dxa"/>
            <w:shd w:val="clear" w:color="auto" w:fill="E7E6E6" w:themeFill="background2"/>
          </w:tcPr>
          <w:p w14:paraId="7247F741" w14:textId="77777777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4DE55C58" w14:textId="77777777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3146CD0" w14:textId="60F59E02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063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</w:t>
            </w:r>
            <w:r w:rsidR="00D475F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6</w:t>
            </w:r>
            <w:r w:rsidR="00063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</w:t>
            </w:r>
            <w:r w:rsidR="00D475F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</w:t>
            </w:r>
            <w:r w:rsidR="00063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</w:t>
            </w:r>
            <w:r w:rsidR="00D475F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-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Info </w:t>
            </w:r>
            <w:r w:rsidR="00063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644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(art. </w:t>
            </w:r>
            <w:r w:rsidR="000638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1º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); </w:t>
            </w:r>
            <w:r w:rsidR="00D475F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Info 668 (art. 1º).</w:t>
            </w:r>
          </w:p>
          <w:p w14:paraId="719F6763" w14:textId="77777777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B4E3CAD" w14:textId="3E1BED60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0875D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21</w:t>
            </w:r>
            <w:r w:rsidR="001F169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/07</w:t>
            </w:r>
            <w:r w:rsidR="00FC66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37A6820" w14:textId="77777777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9F98512" w14:textId="77777777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472B72B" w14:textId="77777777" w:rsidR="00F14306" w:rsidRPr="00444075" w:rsidRDefault="00F14306" w:rsidP="00F14306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FE9A5DF" w14:textId="77777777" w:rsidR="00F14306" w:rsidRPr="00444075" w:rsidRDefault="00F14306" w:rsidP="00F143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118D06CD" w14:textId="77777777" w:rsidR="00F14306" w:rsidRPr="00444075" w:rsidRDefault="00F14306" w:rsidP="00F143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6A4A8F15" w14:textId="77777777" w:rsidR="00F14306" w:rsidRPr="00444075" w:rsidRDefault="00F14306" w:rsidP="00F143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o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Dec. 20.910/32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496003B4" w14:textId="77777777" w:rsidR="00F14306" w:rsidRPr="00444075" w:rsidRDefault="00F14306" w:rsidP="00F143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037AD986" w14:textId="77777777" w:rsidR="00F14306" w:rsidRPr="00444075" w:rsidRDefault="00F14306" w:rsidP="00AA52A7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AF7A7F3" w14:textId="77777777" w:rsidR="00F14306" w:rsidRPr="00444075" w:rsidRDefault="00F14306" w:rsidP="00F14306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29F2C695" w14:textId="77777777" w:rsidR="00F14306" w:rsidRPr="00274B14" w:rsidRDefault="00F14306" w:rsidP="00F14306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12AFAA95" w14:textId="77777777" w:rsidR="00DD46BE" w:rsidRPr="002126AF" w:rsidRDefault="00DD46BE" w:rsidP="00DD46B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2126AF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>DECRETO Nº 20.910, DE 6 DE JANEIRO DE 1932.</w:t>
        </w:r>
      </w:hyperlink>
    </w:p>
    <w:tbl>
      <w:tblPr>
        <w:tblW w:w="45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5755"/>
      </w:tblGrid>
      <w:tr w:rsidR="00DD46BE" w:rsidRPr="002126AF" w14:paraId="3F25F78B" w14:textId="77777777" w:rsidTr="007064CB">
        <w:trPr>
          <w:tblCellSpacing w:w="0" w:type="dxa"/>
        </w:trPr>
        <w:tc>
          <w:tcPr>
            <w:tcW w:w="1282" w:type="pct"/>
            <w:vAlign w:val="center"/>
            <w:hideMark/>
          </w:tcPr>
          <w:p w14:paraId="782FD97D" w14:textId="77777777" w:rsidR="00DD46BE" w:rsidRPr="002126AF" w:rsidRDefault="00DD46BE" w:rsidP="00DD46BE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718" w:type="pct"/>
            <w:vAlign w:val="center"/>
            <w:hideMark/>
          </w:tcPr>
          <w:p w14:paraId="5EB77590" w14:textId="77777777" w:rsidR="00DD46BE" w:rsidRPr="002126AF" w:rsidRDefault="00DD46BE" w:rsidP="0052585A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064CB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Regula a prescrição quinquenal </w:t>
            </w:r>
          </w:p>
        </w:tc>
      </w:tr>
    </w:tbl>
    <w:p w14:paraId="2E966E5B" w14:textId="77777777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126AF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O Chefe do Governo Provisório da República dos Estados Unidos do Brasil, usando das atribuições contidas no art. 1º do decreto n. 19.398, de 11 de novembro de 1930, </w:t>
      </w:r>
    </w:p>
    <w:p w14:paraId="5C14713F" w14:textId="77777777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        DECRETA:</w:t>
      </w:r>
    </w:p>
    <w:p w14:paraId="17497613" w14:textId="2718EBD6" w:rsidR="00DD46BE" w:rsidRPr="000875DB" w:rsidRDefault="00DD46BE" w:rsidP="005F373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sz w:val="16"/>
          <w:szCs w:val="16"/>
          <w:u w:val="single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983348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Art. 1º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As dívidas passivas da União, dos Estados e dos Municípios, bem assim todo e qualquer direito ou 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ação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390E2E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contra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390E2E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Fazenda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federal, estadual ou municipal, seja qual for a sua natureza, </w:t>
      </w:r>
      <w:r w:rsidRPr="00390E2E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prescrevem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em cinco anos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390E2E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contados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da data do ato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ou </w:t>
      </w:r>
      <w:r w:rsidRPr="00390E2E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fato do qual se originarem</w:t>
      </w:r>
      <w:r w:rsidRPr="00423F1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4027CE" w:rsidRPr="00423F1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4027CE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(DPU-2007)</w:t>
      </w:r>
      <w:r w:rsidR="004266D7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266D7" w:rsidRPr="00423F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(DPEPA-2009)</w:t>
      </w:r>
      <w:r w:rsidR="00DD36D9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D36D9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(MPPB-2011)</w:t>
      </w:r>
      <w:r w:rsidR="00D32BB2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32BB2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</w:t>
      </w:r>
      <w:r w:rsidR="00D32BB2" w:rsidRPr="00423F1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RO</w:t>
      </w:r>
      <w:r w:rsidR="00D32BB2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-2011)</w:t>
      </w:r>
      <w:r w:rsidR="005270B1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270B1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(DPESC-2012)</w:t>
      </w:r>
      <w:r w:rsidR="0041374B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1374B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(DPESE-2012)</w:t>
      </w:r>
      <w:r w:rsidR="00E02AC2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02AC2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(TJMA-2013)</w:t>
      </w:r>
      <w:r w:rsidR="007A680B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2" w:name="_Hlk34135092"/>
      <w:r w:rsidR="007A680B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(TJRN-2013)</w:t>
      </w:r>
      <w:bookmarkEnd w:id="2"/>
      <w:r w:rsidRPr="00423F1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E94597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(DPESP-2013)</w:t>
      </w:r>
      <w:r w:rsidR="00D23038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bookmarkStart w:id="3" w:name="_Hlk60597167"/>
      <w:r w:rsidR="00DC62D2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(MPF-2013)</w:t>
      </w:r>
      <w:bookmarkEnd w:id="3"/>
      <w:r w:rsidR="00E321D4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E321D4" w:rsidRPr="00423F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(PGDF-2013)</w:t>
      </w:r>
      <w:r w:rsidR="00564AC8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bookmarkStart w:id="4" w:name="_Hlk97477208"/>
      <w:r w:rsidR="00564AC8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(MPM-2013)</w:t>
      </w:r>
      <w:bookmarkEnd w:id="4"/>
      <w:r w:rsidR="00A146D3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067554" w:rsidRPr="00423F1C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r w:rsidR="00002AC7" w:rsidRPr="00423F1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3109B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(PGERN-2014)</w:t>
      </w:r>
      <w:r w:rsidR="00ED2610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D2610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(AGU-2010/2015)</w:t>
      </w:r>
      <w:r w:rsidR="00965C0D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965C0D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(TJRR-2015)</w:t>
      </w:r>
      <w:r w:rsidR="00E82474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2474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(MPBA-2015)</w:t>
      </w:r>
      <w:r w:rsidR="00DD0099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D0099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(DPEPE-2015)</w:t>
      </w:r>
      <w:r w:rsidR="0087590F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7590F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(PGEPA-2015)</w:t>
      </w:r>
      <w:r w:rsidR="00466D16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66D16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(PGEPR-2015)</w:t>
      </w:r>
      <w:r w:rsidR="00EB33BB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5" w:name="_Hlk122185308"/>
      <w:r w:rsidR="00EB33BB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(PCDF-2015)</w:t>
      </w:r>
      <w:bookmarkEnd w:id="5"/>
      <w:r w:rsidR="00132FDD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03A5D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(DPEES-2016)</w:t>
      </w:r>
      <w:r w:rsidR="0083118C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6" w:name="_Hlk78893798"/>
      <w:r w:rsidR="0083118C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(TRF3-2016)</w:t>
      </w:r>
      <w:bookmarkEnd w:id="6"/>
      <w:r w:rsidR="00261412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822D9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(TJSC-2017)</w:t>
      </w:r>
      <w:r w:rsidR="00A0789F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0789F" w:rsidRPr="00423F1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(TRT/Unificado-2017)</w:t>
      </w:r>
      <w:r w:rsidR="00407C23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0C5C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(PGETO-2018)</w:t>
      </w:r>
      <w:r w:rsidR="003D2280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D2280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(TJAL-2019)</w:t>
      </w:r>
      <w:r w:rsidR="00B674CF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674CF" w:rsidRPr="00423F1C">
        <w:rPr>
          <w:rFonts w:ascii="Book Antiqua" w:hAnsi="Book Antiqua"/>
          <w:b/>
          <w:color w:val="FF0000"/>
          <w:sz w:val="16"/>
          <w:szCs w:val="16"/>
          <w:u w:val="single"/>
        </w:rPr>
        <w:t>(Cartórios/TJRS-2019)</w:t>
      </w:r>
      <w:r w:rsidR="005F6EB0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7" w:name="_Hlk125293935"/>
      <w:r w:rsidR="005F6EB0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bookmarkEnd w:id="7"/>
      <w:r w:rsidR="00D02773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2773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(MPSC-2013/2021)</w:t>
      </w:r>
      <w:r w:rsidR="00BE35B7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BE35B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(PGEMS-2014/2021)</w:t>
      </w:r>
      <w:r w:rsidR="008632D9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8632D9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(PGEPB-2021)</w:t>
      </w:r>
      <w:r w:rsid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(PCMS-2021)</w:t>
      </w:r>
      <w:r w:rsidR="00390E2E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390E2E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(PCPA-2021)</w:t>
      </w:r>
      <w:r w:rsidR="00724098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724098">
        <w:rPr>
          <w:rFonts w:ascii="Book Antiqua" w:hAnsi="Book Antiqua"/>
          <w:b/>
          <w:color w:val="FF0000"/>
          <w:sz w:val="16"/>
          <w:szCs w:val="16"/>
          <w:u w:val="single"/>
        </w:rPr>
        <w:t>(PCPR-2021)</w:t>
      </w:r>
      <w:r w:rsidR="00AA7975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AA7975" w:rsidRPr="00423F1C">
        <w:rPr>
          <w:rFonts w:ascii="Book Antiqua" w:hAnsi="Book Antiqua"/>
          <w:b/>
          <w:color w:val="FF0000"/>
          <w:sz w:val="16"/>
          <w:szCs w:val="16"/>
          <w:u w:val="single"/>
        </w:rPr>
        <w:t>(PGEAM-2016/2022)</w:t>
      </w:r>
      <w:r w:rsidR="00D73C73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bookmarkStart w:id="8" w:name="_Hlk114496634"/>
      <w:r w:rsidR="00D73C73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(MPAC-2022)</w:t>
      </w:r>
      <w:bookmarkEnd w:id="8"/>
      <w:r w:rsidR="009E67CE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bookmarkStart w:id="9" w:name="_Hlk145944609"/>
      <w:r w:rsidR="009E67CE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</w:t>
      </w:r>
      <w:r w:rsidR="009E67CE">
        <w:rPr>
          <w:rStyle w:val="Hyperlink"/>
          <w:rFonts w:ascii="Book Antiqua" w:hAnsi="Book Antiqua"/>
          <w:b/>
          <w:bCs/>
          <w:color w:val="FF0000"/>
          <w:sz w:val="16"/>
          <w:szCs w:val="16"/>
        </w:rPr>
        <w:t>MPTO</w:t>
      </w:r>
      <w:r w:rsidR="009E67CE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-2022)</w:t>
      </w:r>
      <w:bookmarkEnd w:id="9"/>
      <w:r w:rsidR="00776E6E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u w:val="none"/>
          <w:lang w:eastAsia="pt-BR"/>
        </w:rPr>
        <w:t xml:space="preserve"> </w:t>
      </w:r>
      <w:bookmarkStart w:id="10" w:name="_Hlk166935906"/>
      <w:r w:rsidR="00776E6E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(DPEMT-2022)</w:t>
      </w:r>
      <w:bookmarkEnd w:id="10"/>
      <w:r w:rsidR="00241CB1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241CB1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(PCBA-2022)</w:t>
      </w:r>
      <w:r w:rsidR="00E02388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E02388">
        <w:rPr>
          <w:rFonts w:ascii="Book Antiqua" w:hAnsi="Book Antiqua"/>
          <w:b/>
          <w:color w:val="FF0000"/>
          <w:sz w:val="16"/>
          <w:szCs w:val="16"/>
          <w:u w:val="single"/>
        </w:rPr>
        <w:t>(PGM-Teresina/PI-2022)</w:t>
      </w:r>
      <w:r w:rsidR="0027518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7518D" w:rsidRPr="00423F1C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(TRF1-2013</w:t>
      </w:r>
      <w:r w:rsidR="0027518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/2023</w:t>
      </w:r>
      <w:r w:rsidR="0027518D" w:rsidRPr="00423F1C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r w:rsidR="004C7B5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C7B5B">
        <w:rPr>
          <w:rFonts w:ascii="Book Antiqua" w:hAnsi="Book Antiqua"/>
          <w:b/>
          <w:color w:val="FF0000"/>
          <w:sz w:val="16"/>
          <w:szCs w:val="16"/>
          <w:u w:val="single"/>
        </w:rPr>
        <w:t>(MPPA-2023)</w:t>
      </w:r>
      <w:r w:rsidR="00403D01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03D01">
        <w:rPr>
          <w:rFonts w:ascii="Book Antiqua" w:hAnsi="Book Antiqua"/>
          <w:b/>
          <w:color w:val="FF0000"/>
          <w:sz w:val="16"/>
          <w:szCs w:val="16"/>
          <w:u w:val="single"/>
        </w:rPr>
        <w:t>(PGERR-2023)</w:t>
      </w:r>
      <w:r w:rsidR="001F169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F1694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(PGESP-2018</w:t>
      </w:r>
      <w:r w:rsidR="001F169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1F1694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D03B6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03B6B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  <w:r w:rsidR="000875D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875DB">
        <w:rPr>
          <w:rFonts w:ascii="Book Antiqua" w:hAnsi="Book Antiqua"/>
          <w:b/>
          <w:color w:val="FF0000"/>
          <w:sz w:val="16"/>
          <w:szCs w:val="16"/>
          <w:u w:val="single"/>
        </w:rPr>
        <w:t>(PGM-Cuiabá/MT-2024)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F373F" w14:paraId="1480ECD6" w14:textId="77777777" w:rsidTr="005F373F">
        <w:tc>
          <w:tcPr>
            <w:tcW w:w="8494" w:type="dxa"/>
            <w:shd w:val="clear" w:color="auto" w:fill="CCFFFF"/>
          </w:tcPr>
          <w:p w14:paraId="5B2723D3" w14:textId="10905634" w:rsidR="00D475F8" w:rsidRDefault="00D475F8" w:rsidP="00D475F8">
            <w:pPr>
              <w:jc w:val="both"/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</w:pPr>
            <w:r w:rsidRPr="00B77042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B77042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B77042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F41739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J</w:t>
            </w:r>
            <w:r w:rsidRPr="00B77042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B77042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DOD</w:t>
            </w:r>
            <w:r w:rsidR="00423F1C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423F1C" w:rsidRPr="00423F1C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PCMS-2021</w:t>
            </w:r>
            <w:r w:rsidR="008632D9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8632D9" w:rsidRPr="008632D9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PGEPB-2021</w:t>
            </w:r>
            <w:r w:rsidR="00423F1C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423F1C" w:rsidRPr="00423F1C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FAPEC</w:t>
            </w:r>
            <w:r w:rsidR="008632D9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8632D9" w:rsidRPr="008632D9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CESPE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D475F8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>O prazo para se questionar a preterição de nomeação de candidato em concurso público é de 5 anos, contado da data em que o outro servidor foi nomeado no lugar do aprovado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D475F8">
              <w:rPr>
                <w:rFonts w:ascii="Book Antiqua" w:hAnsi="Book Antiqua"/>
                <w:b/>
                <w:bCs/>
                <w:sz w:val="19"/>
                <w:szCs w:val="19"/>
              </w:rPr>
              <w:t>Nos casos de preterição de candidato na nomeação em concurso público, o termo inicial do prazo prescricional quinquenal recai na data em que foi nomeado outro servidor no lugar do aprovado no certame.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 w:rsidRPr="00D475F8">
              <w:rPr>
                <w:rFonts w:ascii="Book Antiqua" w:hAnsi="Book Antiqua"/>
                <w:sz w:val="19"/>
                <w:szCs w:val="19"/>
              </w:rPr>
              <w:t xml:space="preserve">STJ. 2ª T. </w:t>
            </w:r>
            <w:proofErr w:type="spellStart"/>
            <w:r w:rsidRPr="00D475F8">
              <w:rPr>
                <w:rFonts w:ascii="Book Antiqua" w:hAnsi="Book Antiqua"/>
                <w:sz w:val="19"/>
                <w:szCs w:val="19"/>
              </w:rPr>
              <w:t>AgInt</w:t>
            </w:r>
            <w:proofErr w:type="spellEnd"/>
            <w:r w:rsidRPr="00D475F8">
              <w:rPr>
                <w:rFonts w:ascii="Book Antiqua" w:hAnsi="Book Antiqua"/>
                <w:sz w:val="19"/>
                <w:szCs w:val="19"/>
              </w:rPr>
              <w:t xml:space="preserve"> no REsp 1643048-GO, Rel. Min. Assusete Magalhães, j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D475F8">
              <w:rPr>
                <w:rFonts w:ascii="Book Antiqua" w:hAnsi="Book Antiqua"/>
                <w:sz w:val="19"/>
                <w:szCs w:val="19"/>
              </w:rPr>
              <w:t xml:space="preserve"> 05/03/20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 w:rsidRPr="00D475F8">
              <w:rPr>
                <w:rFonts w:ascii="Book Antiqua" w:hAnsi="Book Antiqua"/>
                <w:b/>
                <w:bCs/>
                <w:sz w:val="19"/>
                <w:szCs w:val="19"/>
              </w:rPr>
              <w:t>(Info 668).</w:t>
            </w:r>
          </w:p>
          <w:p w14:paraId="2C23B2D9" w14:textId="77777777" w:rsidR="00D475F8" w:rsidRDefault="00D475F8" w:rsidP="005F373F">
            <w:pPr>
              <w:jc w:val="both"/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784377DD" w14:textId="662833F9" w:rsidR="005F373F" w:rsidRPr="00983348" w:rsidRDefault="005F373F" w:rsidP="005F373F">
            <w:pPr>
              <w:jc w:val="both"/>
              <w:rPr>
                <w:rFonts w:ascii="Book Antiqua" w:hAnsi="Book Antiqua" w:cs="Times New Roman"/>
                <w:b/>
                <w:bCs/>
                <w:sz w:val="19"/>
                <w:szCs w:val="19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1C4FE5">
              <w:rPr>
                <w:rFonts w:ascii="Book Antiqua" w:eastAsia="Times New Roman" w:hAnsi="Book Antiqua" w:cs="Arial"/>
                <w:b/>
                <w:i/>
                <w:sz w:val="19"/>
                <w:szCs w:val="19"/>
                <w:u w:val="single"/>
                <w:lang w:eastAsia="pt-BR"/>
              </w:rPr>
              <w:t>Pedido de concessão de pensão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Não ocorre a prescrição do fundo de direito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no 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pedido de concessão de pensão por morte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, 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  <w:highlight w:val="green"/>
              </w:rPr>
              <w:t>estando prescritas apenas as prestações vencidas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no quinquênio que precedeu à propositura da ação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. </w:t>
            </w:r>
            <w:r w:rsidRPr="00983348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STJ. 1ª S. </w:t>
            </w:r>
            <w:proofErr w:type="spellStart"/>
            <w:r w:rsidRPr="00983348">
              <w:rPr>
                <w:rFonts w:ascii="Book Antiqua" w:hAnsi="Book Antiqua" w:cs="Times New Roman"/>
                <w:bCs/>
                <w:sz w:val="19"/>
                <w:szCs w:val="19"/>
              </w:rPr>
              <w:t>EREsp</w:t>
            </w:r>
            <w:proofErr w:type="spellEnd"/>
            <w:r w:rsidRPr="00983348">
              <w:rPr>
                <w:rFonts w:ascii="Book Antiqua" w:hAnsi="Book Antiqua" w:cs="Times New Roman"/>
                <w:bCs/>
                <w:sz w:val="19"/>
                <w:szCs w:val="19"/>
              </w:rPr>
              <w:t xml:space="preserve"> 1269726-MG, Rel. Min. Napoleão Nunes Maia Filho, j. 13/3/19</w:t>
            </w:r>
            <w:r w:rsidRPr="00983348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(Info 644).</w:t>
            </w:r>
          </w:p>
          <w:p w14:paraId="4F5A45A2" w14:textId="77777777" w:rsidR="005F373F" w:rsidRPr="00983348" w:rsidRDefault="005F373F" w:rsidP="005F373F">
            <w:pPr>
              <w:jc w:val="both"/>
              <w:rPr>
                <w:rFonts w:ascii="Book Antiqua" w:hAnsi="Book Antiqua" w:cs="Times New Roman"/>
                <w:b/>
                <w:bCs/>
                <w:sz w:val="19"/>
                <w:szCs w:val="19"/>
              </w:rPr>
            </w:pPr>
          </w:p>
          <w:p w14:paraId="552E2481" w14:textId="10B9829F" w:rsidR="005F373F" w:rsidRDefault="005F373F" w:rsidP="005F373F">
            <w:pPr>
              <w:jc w:val="both"/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1C4FE5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C4FE5" w:rsidRPr="001C4FE5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MPPR-2019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1C4FE5">
              <w:rPr>
                <w:rFonts w:ascii="Book Antiqua" w:eastAsia="Times New Roman" w:hAnsi="Book Antiqua" w:cs="Arial"/>
                <w:b/>
                <w:i/>
                <w:sz w:val="19"/>
                <w:szCs w:val="19"/>
                <w:u w:val="single"/>
                <w:lang w:eastAsia="pt-BR"/>
              </w:rPr>
              <w:t>Pedido de revisão do ato de aposentadoria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983348">
              <w:rPr>
                <w:rFonts w:ascii="Book Antiqua" w:eastAsia="Times New Roman" w:hAnsi="Book Antiqua" w:cs="Times New Roman"/>
                <w:b/>
                <w:color w:val="333333"/>
                <w:sz w:val="19"/>
                <w:szCs w:val="19"/>
                <w:highlight w:val="yellow"/>
                <w:lang w:eastAsia="pt-BR"/>
              </w:rPr>
              <w:t>Ocorre a prescrição do próprio fundo de direito</w:t>
            </w:r>
            <w:r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 </w:t>
            </w:r>
            <w:r w:rsidRPr="00983348">
              <w:rPr>
                <w:rFonts w:ascii="Book Antiqua" w:eastAsia="Times New Roman" w:hAnsi="Book Antiqua" w:cs="Times New Roman"/>
                <w:b/>
                <w:color w:val="333333"/>
                <w:sz w:val="19"/>
                <w:szCs w:val="19"/>
                <w:shd w:val="clear" w:color="auto" w:fill="F7CAAC" w:themeFill="accent2" w:themeFillTint="66"/>
                <w:lang w:eastAsia="pt-BR"/>
              </w:rPr>
              <w:t>na busca da revisão do ato de aposentadoria</w:t>
            </w:r>
            <w:r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, </w:t>
            </w:r>
            <w:r w:rsidRPr="00983348">
              <w:rPr>
                <w:rFonts w:ascii="Book Antiqua" w:eastAsia="Times New Roman" w:hAnsi="Book Antiqua" w:cs="Times New Roman"/>
                <w:b/>
                <w:color w:val="333333"/>
                <w:sz w:val="19"/>
                <w:szCs w:val="19"/>
                <w:highlight w:val="green"/>
                <w:lang w:eastAsia="pt-BR"/>
              </w:rPr>
              <w:t>após o transcurso de mais de cinco anos entre o ato de concessão e o ajuizamento da ação</w:t>
            </w:r>
            <w:r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. A aposentadoria do servidor público é concedida por um único ato e, a partir dessa concessão, inicia-se a pretensão do aposentado de exigir sua revisão. Superado esse prazo de cinco anos, extingue-se não apenas a pretensão de receber as parcelas em atraso, mas também o próprio fundo de direito. </w:t>
            </w:r>
            <w:r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lastRenderedPageBreak/>
              <w:t>STJ. 2ª T. REsp 1730407/PR, Rel. Min. Herman Benjamin, j. 13/12/18.</w:t>
            </w:r>
            <w:r w:rsidR="00AA7975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 (....) </w:t>
            </w:r>
            <w:r w:rsidR="00AA7975"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Nos casos em que </w:t>
            </w:r>
            <w:r w:rsidR="00AA7975" w:rsidRPr="00983348">
              <w:rPr>
                <w:rFonts w:ascii="Book Antiqua" w:eastAsia="Times New Roman" w:hAnsi="Book Antiqua" w:cs="Times New Roman"/>
                <w:b/>
                <w:color w:val="333333"/>
                <w:sz w:val="19"/>
                <w:szCs w:val="19"/>
                <w:highlight w:val="yellow"/>
                <w:lang w:eastAsia="pt-BR"/>
              </w:rPr>
              <w:t>o servidor busca a revisão do ato de aposentadoria</w:t>
            </w:r>
            <w:r w:rsidR="00AA7975"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, </w:t>
            </w:r>
            <w:r w:rsidR="00AA7975" w:rsidRPr="00983348">
              <w:rPr>
                <w:rFonts w:ascii="Book Antiqua" w:eastAsia="Times New Roman" w:hAnsi="Book Antiqua" w:cs="Times New Roman"/>
                <w:b/>
                <w:color w:val="333333"/>
                <w:sz w:val="19"/>
                <w:szCs w:val="19"/>
                <w:shd w:val="clear" w:color="auto" w:fill="F7CAAC" w:themeFill="accent2" w:themeFillTint="66"/>
                <w:lang w:eastAsia="pt-BR"/>
              </w:rPr>
              <w:t>ocorre a prescrição do próprio fundo de direito</w:t>
            </w:r>
            <w:r w:rsidR="00AA7975"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 xml:space="preserve"> </w:t>
            </w:r>
            <w:r w:rsidR="00AA7975" w:rsidRPr="00983348">
              <w:rPr>
                <w:rFonts w:ascii="Book Antiqua" w:eastAsia="Times New Roman" w:hAnsi="Book Antiqua" w:cs="Times New Roman"/>
                <w:b/>
                <w:color w:val="333333"/>
                <w:sz w:val="19"/>
                <w:szCs w:val="19"/>
                <w:highlight w:val="green"/>
                <w:lang w:eastAsia="pt-BR"/>
              </w:rPr>
              <w:t>após o transcurso de mais de cinco anos entre o ato de concessão e o ajuizamento da ação</w:t>
            </w:r>
            <w:r w:rsidR="00AA7975"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>. Inteligência do art. 1º do Decreto 20.910/32. A existência de norma específica que regula a prescrição quinquenal, nos feitos que envolvem as relações de cunho administrativo - tais como aquelas que envolvem a Administração Pública e os seus servidores -, afasta a adoção do prazo decenal previsto no art. 103, caput, da Lei 8.213/91, que dispõe sobre os Planos de Benefícios da Previdência Social. STJ. 1ª Seção. Pet 9.156/RJ, Rel. Min. Arnaldo Esteves Lima, julgado em 28/05/2014.</w:t>
            </w:r>
          </w:p>
          <w:p w14:paraId="663B3BBB" w14:textId="77777777" w:rsidR="005F373F" w:rsidRPr="00983348" w:rsidRDefault="005F373F" w:rsidP="00AA7975">
            <w:pPr>
              <w:jc w:val="both"/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Times New Roman"/>
                <w:color w:val="333333"/>
                <w:sz w:val="19"/>
                <w:szCs w:val="19"/>
                <w:lang w:eastAsia="pt-BR"/>
              </w:rPr>
              <w:t> </w:t>
            </w:r>
          </w:p>
          <w:p w14:paraId="096F7118" w14:textId="1DCE6073" w:rsidR="001103B6" w:rsidRPr="00983348" w:rsidRDefault="005F373F" w:rsidP="005F373F">
            <w:pPr>
              <w:jc w:val="both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103B6"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Divergência entre o 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1103B6"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 e o STF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A146D3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E82474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E82474" w:rsidRPr="00E82474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MPBA-2015</w:t>
            </w:r>
            <w:r w:rsidR="0087590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87590F" w:rsidRPr="0087590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PGEPA-2015</w:t>
            </w:r>
            <w:r w:rsidR="00FE2551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FE2551" w:rsidRPr="00FE2551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PCDF-2015</w:t>
            </w:r>
            <w:r w:rsidR="00132FD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32FDD" w:rsidRPr="00132FD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AGU-2015</w:t>
            </w:r>
            <w:r w:rsidR="00A0789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A0789F" w:rsidRPr="00A0789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TRT/Unificado-2017</w:t>
            </w:r>
            <w:r w:rsidR="00407C23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A90C5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A90C5C" w:rsidRPr="00A90C5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PGETO-2018</w:t>
            </w:r>
            <w:r w:rsidR="00021F5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021F58" w:rsidRPr="00021F5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TJBA-2019</w:t>
            </w:r>
            <w:r w:rsidR="00021F5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021F58" w:rsidRPr="00021F5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TJPA-2019</w:t>
            </w:r>
            <w:r w:rsidR="00B674C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B674CF" w:rsidRPr="00B674C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Cartórios/TJRS-2019</w:t>
            </w:r>
            <w:r w:rsidR="00727D8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727D8C" w:rsidRPr="00727D8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MPSC-2021</w:t>
            </w:r>
            <w:r w:rsidR="00390E2E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="00390E2E" w:rsidRPr="00FD71F4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PCPA-20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21</w:t>
            </w:r>
            <w:r w:rsidR="00AA7975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AA7975" w:rsidRPr="00AA7975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PGEAM-2022</w:t>
            </w:r>
            <w:r w:rsidR="00AA7975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</w:t>
            </w:r>
            <w:r w:rsidR="001F1694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 xml:space="preserve"> </w:t>
            </w:r>
            <w:r w:rsidR="001F1694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1F1694" w:rsidRPr="00407C23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PGESP-201</w:t>
            </w:r>
            <w:r w:rsidR="001F1694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8/2024</w:t>
            </w:r>
            <w:r w:rsidR="001F1694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</w:t>
            </w:r>
            <w:r w:rsidR="000875DB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 </w:t>
            </w:r>
            <w:r w:rsidR="000875DB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="000875DB" w:rsidRPr="00D0012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PGM-Cuiabá/MT-2024</w:t>
            </w:r>
            <w:r w:rsidR="000875DB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 xml:space="preserve">: 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="00390E2E" w:rsidRP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AOCP</w:t>
            </w:r>
            <w:r w:rsidR="00021F5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021F58" w:rsidRPr="00021F5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A90C5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A90C5C" w:rsidRPr="00A90C5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D8789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D8789A" w:rsidRPr="00D8789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</w:p>
          <w:p w14:paraId="13525860" w14:textId="070FDC01" w:rsidR="001103B6" w:rsidRPr="00983348" w:rsidRDefault="001103B6" w:rsidP="00021F58">
            <w:pPr>
              <w:pStyle w:val="PargrafodaLista"/>
              <w:numPr>
                <w:ilvl w:val="0"/>
                <w:numId w:val="1"/>
              </w:numPr>
              <w:ind w:left="312" w:hanging="284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Prazo de 5 anos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posição pacífica do STJ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jurisprudência do STJ é no sentido de que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 prescrição contra a Fazenda Pública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é quinquenal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mesmo em ações indenizatórias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uma vez que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é regida pelo Decreto 20.910/32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norma especial que prevalece sobre lei geral. (...) 5. O STJ tem entendimento jurisprudencial no sentido de que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o prazo prescricional da Fazenda Pública deve ser o mesmo prazo previsto no Decreto 20.910/32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em razão do princípio da isonomia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(...) (STJ. 2ª T. </w:t>
            </w:r>
            <w:proofErr w:type="spellStart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AREsp</w:t>
            </w:r>
            <w:proofErr w:type="spellEnd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768400/DF, Rel. Min. Humberto Martins, j</w:t>
            </w:r>
            <w:r w:rsidR="00F14306"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3/11/15)</w:t>
            </w:r>
            <w:r w:rsidR="0040774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="0040774F" w:rsidRPr="00021F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Recurso Repetitivo/STJ - Tema 553</w:t>
            </w:r>
            <w:r w:rsidR="0040774F" w:rsidRPr="0040774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40774F" w:rsidRPr="00021F5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“Aplica-se o prazo prescricional quinquenal - previsto do Decreto 20.910/32 - nas ações indenizatórias ajuizadas contra a Fazenda Pública, em detrimento do prazo trienal contido do Código Civil de 2002.</w:t>
            </w:r>
            <w:r w:rsidR="00021F58" w:rsidRPr="00021F5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”</w:t>
            </w:r>
          </w:p>
          <w:p w14:paraId="59150642" w14:textId="77777777" w:rsidR="001103B6" w:rsidRPr="00983348" w:rsidRDefault="001103B6" w:rsidP="00021F58">
            <w:pPr>
              <w:pStyle w:val="PargrafodaLista"/>
              <w:numPr>
                <w:ilvl w:val="0"/>
                <w:numId w:val="1"/>
              </w:numPr>
              <w:ind w:left="312" w:hanging="284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magenta"/>
                <w:lang w:eastAsia="pt-BR"/>
              </w:rPr>
              <w:t>Prazo de 3 anos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8334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posição do STF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8268"/>
            </w:tblGrid>
            <w:tr w:rsidR="00F14306" w14:paraId="44669759" w14:textId="77777777" w:rsidTr="00F14306">
              <w:tc>
                <w:tcPr>
                  <w:tcW w:w="8268" w:type="dxa"/>
                  <w:shd w:val="clear" w:color="auto" w:fill="FFFFFF" w:themeFill="background1"/>
                </w:tcPr>
                <w:p w14:paraId="0A815593" w14:textId="77777777" w:rsidR="00F14306" w:rsidRPr="0040774F" w:rsidRDefault="00F14306" w:rsidP="001103B6">
                  <w:pPr>
                    <w:jc w:val="both"/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</w:pP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TJBA-2019-CESPE</w:t>
                  </w: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 w:rsidRPr="0040774F">
                    <w:rPr>
                      <w:rFonts w:ascii="Book Antiqua" w:hAnsi="Book Antiqua"/>
                      <w:sz w:val="18"/>
                      <w:szCs w:val="18"/>
                    </w:rPr>
                    <w:t xml:space="preserve">: Determinado taxista dirigia embriagado quando colidiu contra o prédio de determinada secretaria estadual, que foi danificado com a batida. Nessa situação hipotética, conforme o entendimento do STJ, o estado federado prejudicado deverá propor ação de ressarcimento no prazo prescricional de cinco anos, com base em aplicação analógica do Decreto Federal n.º 20.910/1932. </w:t>
                  </w: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BL: </w:t>
                  </w:r>
                  <w:r w:rsidRPr="0040774F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 do Dec. 20910/</w:t>
                  </w:r>
                  <w:proofErr w:type="gramStart"/>
                  <w:r w:rsidRPr="0040774F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32 </w:t>
                  </w:r>
                  <w:r w:rsidRPr="0040774F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 e</w:t>
                  </w:r>
                  <w:proofErr w:type="gramEnd"/>
                  <w:r w:rsidRPr="0040774F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 </w:t>
                  </w: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Entendimento do STJ (vide teor do julgado acima).</w:t>
                  </w:r>
                </w:p>
                <w:p w14:paraId="7E6239FC" w14:textId="3D9EDA32" w:rsidR="0040774F" w:rsidRDefault="0040774F" w:rsidP="001103B6">
                  <w:pPr>
                    <w:jc w:val="both"/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40774F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TJPA-2019-CESPE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0774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Segundo o entendimento majoritário do STJ, no caso de ação indenizatória ajuizada contra a fazenda pública em razão da responsabilidade civil do Estado, o prazo prescricional é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40774F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quinquenal, como previsto pelas normas de direito público, em detrimento do prazo trienal contido no Código Civil.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40774F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 do Dec. 20910/32</w:t>
                  </w:r>
                  <w:r w:rsidRPr="0040774F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 e </w:t>
                  </w: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Entendimento do STJ (vide teor do julgado acima).</w:t>
                  </w:r>
                </w:p>
                <w:p w14:paraId="169DF256" w14:textId="12257D45" w:rsidR="00407C23" w:rsidRPr="009B0158" w:rsidRDefault="00A90C5C" w:rsidP="001103B6">
                  <w:pPr>
                    <w:jc w:val="both"/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A90C5C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PGETO-2018-FCC</w:t>
                  </w:r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</w:t>
                  </w:r>
                  <w:r w:rsidRPr="00A90C5C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Em 20/03/17 a Fazenda Pública do Estado de Tocantins ajuizou ação indenizatória em face do causador de um acidente de trânsito, ocorrido em 20/02/14, do qual resultou a destruição de uma viatura oficial. Na sentença, de ofício, reconheceu-se que o prazo prescricional para a pretensão de reparação civil era de 3 anos, razão por que se julgou improcedente o pedido. Em recurso de apelação, poderá o Procurador do Estado alegar a não ocorrência de prescrição,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A90C5C">
                    <w:rPr>
                      <w:rFonts w:ascii="Book Antiqua" w:hAnsi="Book Antiqua"/>
                      <w:bCs/>
                      <w:sz w:val="18"/>
                      <w:szCs w:val="18"/>
                    </w:rPr>
                    <w:t>fundando-se no Decreto 20.910/32, aplicável por isonomia, o qual estabelece que o prazo prescricional nas ações contra a Fazenda Pública é quinquenal, existindo recentes julgados do Superior Tribunal de Justiça neste sentido.</w:t>
                  </w:r>
                  <w:r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 </w:t>
                  </w:r>
                  <w:r w:rsidRPr="0040774F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BL: art. 1º do Dec. 20910/32 </w:t>
                  </w:r>
                  <w:r w:rsidRPr="0040774F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e </w:t>
                  </w:r>
                  <w:r w:rsidRPr="0040774F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Entendimento do STJ (vide teor do julgado acima).</w:t>
                  </w:r>
                </w:p>
              </w:tc>
            </w:tr>
          </w:tbl>
          <w:p w14:paraId="2EC8FD76" w14:textId="403437AD" w:rsidR="00F14306" w:rsidRDefault="00F14306" w:rsidP="001103B6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5DDE54B" w14:textId="3A4FA93B" w:rsidR="00132FDD" w:rsidRDefault="00132FDD" w:rsidP="00132FDD">
            <w:pPr>
              <w:jc w:val="both"/>
              <w:rPr>
                <w:rFonts w:ascii="Book Antiqua" w:hAnsi="Book Antiqua" w:cs="Times New Roman"/>
                <w:bCs/>
                <w:color w:val="333333"/>
                <w:sz w:val="19"/>
                <w:szCs w:val="19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E9459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DPESP-2013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62D5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TRF1-2013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81DA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PGEGO-2013</w:t>
            </w:r>
            <w:r w:rsidR="00002AC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002AC7" w:rsidRPr="00002AC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PGEMS-2014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87590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87590F" w:rsidRPr="0087590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PGEPA-2015</w:t>
            </w:r>
            <w:r w:rsidR="00FE2551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FE2551" w:rsidRPr="00FE2551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PCDF-2015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132FD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AGU-2015</w:t>
            </w:r>
            <w:r w:rsidR="00A0789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A0789F" w:rsidRPr="00A0789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TRT/Unificado-2017</w:t>
            </w:r>
            <w:r w:rsidR="00081585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081585" w:rsidRPr="00081585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PGESP-2018</w:t>
            </w:r>
            <w:r w:rsidR="00A90C5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A90C5C" w:rsidRPr="00A90C5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PGETO-2018</w:t>
            </w:r>
            <w:r w:rsidR="00B674C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B674CF" w:rsidRPr="00B674C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Cartórios/TJRS-2019</w:t>
            </w:r>
            <w:r w:rsidR="00727D8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727D8C" w:rsidRPr="00727D8C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MPSC-2021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</w:t>
            </w:r>
            <w:r w:rsidR="00390E2E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 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="00390E2E" w:rsidRPr="00FD71F4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PCPA-20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21</w:t>
            </w:r>
            <w:r w:rsidR="00AA7975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AA7975" w:rsidRPr="00AA7975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PGEAM-2022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390E2E" w:rsidRP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AOCP</w:t>
            </w:r>
            <w:r w:rsidR="00390E2E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 #</w:t>
            </w:r>
            <w:r w:rsidRPr="00A146D3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E9459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D8789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D8789A" w:rsidRPr="00D8789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O </w:t>
            </w:r>
            <w:r w:rsidRPr="00D81DAC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prazo prescricional aplicável às ações de indenização</w:t>
            </w:r>
            <w:r w:rsidRPr="00D81DAC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 w:rsidRPr="00D81DAC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contra a Fazenda Pública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é de 5 anos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, </w:t>
            </w:r>
            <w:r w:rsidRPr="00D81DAC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conforme previsto no Decreto 20.910/32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, e não de três anos (regra do Código Civil),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highlight w:val="green"/>
              </w:rPr>
              <w:t>por se tratar de norma especial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,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que prevalece sobre a geral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. </w:t>
            </w:r>
            <w:r w:rsidRPr="006310E2">
              <w:rPr>
                <w:rFonts w:ascii="Book Antiqua" w:hAnsi="Book Antiqua" w:cs="Times New Roman"/>
                <w:bCs/>
                <w:sz w:val="19"/>
                <w:szCs w:val="19"/>
              </w:rPr>
              <w:t>STJ. 1ª S. REsp 1251993-PR, Rel. Min. Mauro Campbell, j. 12/12/12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(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highlight w:val="magenta"/>
              </w:rPr>
              <w:t>recurso repetitivo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>) (Info 512).</w:t>
            </w:r>
            <w:r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Portanto,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1ª Seção do STJ, no julgamento do REsp 1251993/PR, de relatoria do Min. Mauro Campbell Marques, assentou que os prazos prescricionais do Código Civil não são aplicados às demandas movidas contra a Fazenda Pública, prevalecendo o prazo quinquenal previsto no Decreto 20.910/32. (</w:t>
            </w:r>
            <w:proofErr w:type="spellStart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EDcl</w:t>
            </w:r>
            <w:proofErr w:type="spellEnd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AREsp</w:t>
            </w:r>
            <w:proofErr w:type="spellEnd"/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403299/PR, Rel. Min. Herman Benjamin, 2ª T. j. 27/05/14).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132FDD" w14:paraId="08080BEB" w14:textId="77777777" w:rsidTr="00746117">
              <w:tc>
                <w:tcPr>
                  <w:tcW w:w="8268" w:type="dxa"/>
                  <w:shd w:val="clear" w:color="auto" w:fill="FFFFFF" w:themeFill="background1"/>
                </w:tcPr>
                <w:p w14:paraId="7CB237E6" w14:textId="77777777" w:rsidR="00132FDD" w:rsidRDefault="00132FDD" w:rsidP="00132FDD">
                  <w:pPr>
                    <w:jc w:val="both"/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</w:pPr>
                  <w:r w:rsidRPr="00D81DAC"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  <w:t>(</w:t>
                  </w:r>
                  <w:r w:rsidRPr="00D81DAC"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  <w:highlight w:val="yellow"/>
                    </w:rPr>
                    <w:t>TRF1-2013-CESPE</w:t>
                  </w:r>
                  <w:r w:rsidRPr="00D81DAC"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  <w:t>)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: Considere que, em 20/8/13 (terça-feira), determinada pessoa tenha sofrido danos materiais em razão de acidente provocado por servidor de órgão público, no exercício de sua função. Nessa situação, o último dia de prazo para o ajuizamento de ação que vise à obtenção de indenização a ser paga pelo ente público, de acordo com o entendimento do STJ, será 21/8/18 (terça-feira). </w:t>
                  </w:r>
                  <w:r w:rsidRPr="00D81DAC"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  <w:t>BL: art. 132,</w:t>
                  </w:r>
                  <w:r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Book Antiqua" w:hAnsi="Book Antiqua" w:cs="Times New Roman"/>
                      <w:b/>
                      <w:i/>
                      <w:iCs/>
                      <w:color w:val="333333"/>
                      <w:sz w:val="18"/>
                      <w:szCs w:val="18"/>
                    </w:rPr>
                    <w:t>caput</w:t>
                  </w:r>
                  <w:r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  <w:t xml:space="preserve"> e §3º,</w:t>
                  </w:r>
                  <w:r w:rsidRPr="00D81DAC">
                    <w:rPr>
                      <w:rFonts w:ascii="Book Antiqua" w:hAnsi="Book Antiqua" w:cs="Times New Roman"/>
                      <w:b/>
                      <w:color w:val="333333"/>
                      <w:sz w:val="18"/>
                      <w:szCs w:val="18"/>
                    </w:rPr>
                    <w:t xml:space="preserve"> CC e Info 512, STJ.</w:t>
                  </w:r>
                </w:p>
                <w:p w14:paraId="5C176199" w14:textId="1E99584F" w:rsidR="00132FDD" w:rsidRPr="00D81DAC" w:rsidRDefault="00132FDD" w:rsidP="00132FDD">
                  <w:pPr>
                    <w:jc w:val="both"/>
                    <w:rPr>
                      <w:rFonts w:ascii="Book Antiqua" w:hAnsi="Book Antiqua" w:cs="Times New Roman"/>
                      <w:bCs/>
                      <w:color w:val="333333"/>
                      <w:sz w:val="19"/>
                      <w:szCs w:val="19"/>
                    </w:rPr>
                  </w:pPr>
                  <w:r w:rsidRPr="00D81DAC">
                    <w:rPr>
                      <w:rFonts w:ascii="Book Antiqua" w:hAnsi="Book Antiqua" w:cs="Times New Roman"/>
                      <w:b/>
                      <w:i/>
                      <w:iCs/>
                      <w:color w:val="FF0000"/>
                      <w:sz w:val="18"/>
                      <w:szCs w:val="18"/>
                    </w:rPr>
                    <w:t>#</w:t>
                  </w:r>
                  <w:r w:rsidRPr="00D81DAC">
                    <w:rPr>
                      <w:rFonts w:ascii="Book Antiqua" w:hAnsi="Book Antiqua" w:cs="Times New Roman"/>
                      <w:b/>
                      <w:i/>
                      <w:iCs/>
                      <w:color w:val="FF0000"/>
                      <w:sz w:val="18"/>
                      <w:szCs w:val="18"/>
                      <w:highlight w:val="green"/>
                    </w:rPr>
                    <w:t>Atenção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>: De início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dispõe o </w:t>
                  </w:r>
                  <w:r>
                    <w:rPr>
                      <w:rFonts w:ascii="Book Antiqua" w:hAnsi="Book Antiqua" w:cs="Times New Roman"/>
                      <w:bCs/>
                      <w:i/>
                      <w:iCs/>
                      <w:color w:val="333333"/>
                      <w:sz w:val="18"/>
                      <w:szCs w:val="18"/>
                    </w:rPr>
                    <w:t>caput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 do art. 132 do CC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 que, </w:t>
                  </w:r>
                  <w:r w:rsidRPr="00D81DAC">
                    <w:rPr>
                      <w:rFonts w:ascii="Book Antiqua" w:hAnsi="Book Antiqua" w:cs="Times New Roman"/>
                      <w:bCs/>
                      <w:i/>
                      <w:iCs/>
                      <w:color w:val="333333"/>
                      <w:sz w:val="18"/>
                      <w:szCs w:val="18"/>
                    </w:rPr>
                    <w:t>“salvo disposição legal ou convencional em contrário, computam-se os prazos, excluído o dia do começo, e incluído o do vencimento”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. 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>Assim, se o fato ocorreu no dia 20/8/13, sua contagem deve se dar a partir do dia 21/8/13.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 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Além disso, nos termos do § 3º do mesmo dispositivo, 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>“</w:t>
                  </w:r>
                  <w:r w:rsidRPr="00D81DAC">
                    <w:rPr>
                      <w:rFonts w:ascii="Book Antiqua" w:hAnsi="Book Antiqua" w:cs="Times New Roman"/>
                      <w:bCs/>
                      <w:i/>
                      <w:iCs/>
                      <w:color w:val="333333"/>
                      <w:sz w:val="18"/>
                      <w:szCs w:val="18"/>
                    </w:rPr>
                    <w:t>Os prazos de meses e anos expiram no dia de igual número do de início, ou no imediato, se faltar exata correspondência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>”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>.</w:t>
                  </w:r>
                  <w:r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 xml:space="preserve"> </w:t>
                  </w:r>
                  <w:r w:rsidRPr="00D81DAC">
                    <w:rPr>
                      <w:rFonts w:ascii="Book Antiqua" w:hAnsi="Book Antiqua" w:cs="Times New Roman"/>
                      <w:bCs/>
                      <w:color w:val="333333"/>
                      <w:sz w:val="18"/>
                      <w:szCs w:val="18"/>
                    </w:rPr>
                    <w:t>Por fim, por se tratar de direito exercido contra a Fazenda Pública, o prazo prescricional é de 5 anos, nos termos do art. 1º do Decreto nº 20.910/32.</w:t>
                  </w:r>
                </w:p>
              </w:tc>
            </w:tr>
          </w:tbl>
          <w:p w14:paraId="7B5F6620" w14:textId="77777777" w:rsidR="00132FDD" w:rsidRPr="00983348" w:rsidRDefault="00132FDD" w:rsidP="001103B6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0A1AD7A" w14:textId="70D1F0F3" w:rsidR="00983348" w:rsidRDefault="00983348" w:rsidP="00983348">
            <w:pPr>
              <w:jc w:val="both"/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SC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-201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7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O 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STJ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, seguindo a jurisprudência consolidada do 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STF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, tem decidido que </w:t>
            </w:r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highlight w:val="yellow"/>
                <w:lang w:eastAsia="pt-BR"/>
              </w:rPr>
              <w:t>contraprestação cobrada por autarquia municipal a título de fornecimento de água potável encanada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highlight w:val="green"/>
                <w:lang w:eastAsia="pt-BR"/>
              </w:rPr>
              <w:t>ostenta natureza jurídica de tarifa ou preço público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, motivo pelo qual a </w:t>
            </w:r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prescrição deve ser regida pelas normas do Direito Civil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. Consequentemente, o </w:t>
            </w:r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highlight w:val="green"/>
                <w:lang w:eastAsia="pt-BR"/>
              </w:rPr>
              <w:t>art. 1º do Dec. 20.910/32 não tem aplicação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, </w:t>
            </w:r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highlight w:val="yellow"/>
                <w:lang w:eastAsia="pt-BR"/>
              </w:rPr>
              <w:t xml:space="preserve">independentemente da natureza autárquica da concessionária que presta o serviço e </w:t>
            </w:r>
            <w:proofErr w:type="spellStart"/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highlight w:val="yellow"/>
                <w:lang w:eastAsia="pt-BR"/>
              </w:rPr>
              <w:t>titulariza</w:t>
            </w:r>
            <w:proofErr w:type="spellEnd"/>
            <w:r w:rsidRPr="00983348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highlight w:val="yellow"/>
                <w:lang w:eastAsia="pt-BR"/>
              </w:rPr>
              <w:t xml:space="preserve"> o crédito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. 3. Essa orientação foi reafirmada pela </w:t>
            </w:r>
            <w:proofErr w:type="spellStart"/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egr</w:t>
            </w:r>
            <w:proofErr w:type="spellEnd"/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1ª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Seção, nos termos do art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.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543-C do 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CPC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(REsp 1117903/RS, Rel. Min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.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Luiz Fux, 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1ª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S</w:t>
            </w:r>
            <w:r w:rsid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.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, </w:t>
            </w:r>
            <w:proofErr w:type="spellStart"/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DJe</w:t>
            </w:r>
            <w:proofErr w:type="spellEnd"/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1º/2/10)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. </w:t>
            </w:r>
            <w:r w:rsid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Portanto, p</w:t>
            </w:r>
            <w:r w:rsidR="005446B7" w:rsidRP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ara o STJ, não é aplicável o prazo constante do Dec</w:t>
            </w:r>
            <w:r w:rsid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.</w:t>
            </w:r>
            <w:r w:rsidR="005446B7" w:rsidRP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20.910/32 para que autarquia concessionária de serviços públicos ajuíze execução fiscal visando a cobrança de débitos decorrentes do inadimplemento de tarifas, mas sim, o prazo previsto no Código Civil.</w:t>
            </w:r>
            <w:r w:rsid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Desse modo, </w:t>
            </w:r>
            <w:r w:rsid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será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vintenário</w:t>
            </w:r>
            <w:proofErr w:type="spellEnd"/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o prazo prescricional da pretensão executiva atinente à tarifa por prestação de serviços de água e esgoto, cujo vencimento, na data da entrada em vigor do </w:t>
            </w:r>
            <w:r w:rsidR="005446B7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CC/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02, era superior a dez anos. Ao revés, cuidar-se-á de prazo prescricional decenal.</w:t>
            </w:r>
          </w:p>
          <w:p w14:paraId="193CBE99" w14:textId="4A68B7EB" w:rsidR="005446B7" w:rsidRDefault="005446B7" w:rsidP="00983348">
            <w:pPr>
              <w:jc w:val="both"/>
              <w:rPr>
                <w:rFonts w:ascii="Book Antiqua" w:eastAsia="Times New Roman" w:hAnsi="Book Antiqua" w:cs="Arial"/>
                <w:bCs/>
                <w:iCs/>
                <w:color w:val="333333"/>
                <w:sz w:val="19"/>
                <w:szCs w:val="19"/>
                <w:lang w:eastAsia="pt-BR"/>
              </w:rPr>
            </w:pPr>
          </w:p>
          <w:p w14:paraId="18619494" w14:textId="455A4EEB" w:rsidR="005446B7" w:rsidRPr="003822D9" w:rsidRDefault="005446B7" w:rsidP="005446B7">
            <w:pPr>
              <w:jc w:val="both"/>
              <w:rPr>
                <w:rFonts w:ascii="Book Antiqua" w:eastAsia="Times New Roman" w:hAnsi="Book Antiqua" w:cs="Arial"/>
                <w:iCs/>
                <w:color w:val="333333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5446B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ED2610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ED2610" w:rsidRPr="00ED2610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AGU-2010</w:t>
            </w:r>
            <w:r w:rsidR="00002AC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002AC7" w:rsidRPr="00002AC7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PGDF-2013</w:t>
            </w:r>
            <w:r w:rsidR="00E6119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E61198" w:rsidRPr="00E6119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MPAC-2014</w:t>
            </w:r>
            <w:r w:rsidR="00DD0099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DD0099" w:rsidRPr="00DD0099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DPEPE-2015</w:t>
            </w:r>
            <w:r w:rsidR="0087590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87590F" w:rsidRPr="0087590F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PGEPA-2015</w:t>
            </w:r>
            <w:r w:rsidR="00466D16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466D16" w:rsidRPr="00466D16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PGEPR-2015</w:t>
            </w:r>
            <w:r w:rsidR="00E6119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603A5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="00603A5D" w:rsidRPr="00603A5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DPEES-2016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SC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-201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7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</w:t>
            </w:r>
            <w:r w:rsidR="00DD0099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DD0099" w:rsidRPr="00603A5D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MPMG-2017</w:t>
            </w:r>
            <w:r w:rsidR="00D02773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D02773" w:rsidRPr="00D02773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MPSC-2021</w:t>
            </w:r>
            <w:r w:rsidR="009E67CE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E67CE" w:rsidRPr="009E67CE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MPTO-2022</w:t>
            </w:r>
            <w:r w:rsidR="00241CB1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241CB1" w:rsidRPr="00241CB1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PCBA-2022</w:t>
            </w:r>
            <w:r w:rsidR="00DD0099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DD0099" w:rsidRPr="00E6119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DD0099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As </w:t>
            </w:r>
            <w:r w:rsidRPr="005446B7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ações de indenização por danos morais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decorrentes de </w:t>
            </w:r>
            <w:r w:rsidRPr="005446B7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atos de tortura ocorridos durante o Regime Militar de exceção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são imprescritíveis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>.</w:t>
            </w:r>
            <w:r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highlight w:val="green"/>
              </w:rPr>
              <w:t>Não se aplica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o 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prazo prescricional de 5 anos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</w:t>
            </w:r>
            <w:r w:rsidRPr="005446B7">
              <w:rPr>
                <w:rFonts w:ascii="Book Antiqua" w:hAnsi="Book Antiqua" w:cs="Times New Roman"/>
                <w:b/>
                <w:bCs/>
                <w:sz w:val="19"/>
                <w:szCs w:val="19"/>
                <w:highlight w:val="green"/>
              </w:rPr>
              <w:t>previsto no art. 1º do Dec. 20.910/32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. </w:t>
            </w:r>
            <w:r w:rsidRPr="006310E2">
              <w:rPr>
                <w:rFonts w:ascii="Book Antiqua" w:hAnsi="Book Antiqua" w:cs="Times New Roman"/>
                <w:bCs/>
                <w:sz w:val="19"/>
                <w:szCs w:val="19"/>
              </w:rPr>
              <w:t>STJ. 2ª T. REsp 1.374.376-CE, Rel. Min. Herman Benjamin, j. 25/6/13</w:t>
            </w:r>
            <w:r w:rsidRPr="006310E2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 xml:space="preserve"> (Info 523).</w:t>
            </w:r>
            <w:r w:rsidR="003822D9">
              <w:rPr>
                <w:rFonts w:ascii="Book Antiqua" w:hAnsi="Book Antiqua" w:cs="Times New Roman"/>
                <w:sz w:val="19"/>
                <w:szCs w:val="19"/>
              </w:rPr>
              <w:t xml:space="preserve"> No mesmo sentido,</w:t>
            </w:r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="003822D9">
              <w:rPr>
                <w:rFonts w:ascii="Book Antiqua" w:hAnsi="Book Antiqua" w:cs="Times New Roman"/>
                <w:sz w:val="19"/>
                <w:szCs w:val="19"/>
              </w:rPr>
              <w:t>o STJ entende que</w:t>
            </w:r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="003822D9" w:rsidRPr="003822D9">
              <w:rPr>
                <w:rFonts w:ascii="Book Antiqua" w:hAnsi="Book Antiqua" w:cs="Times New Roman"/>
                <w:i/>
                <w:iCs/>
                <w:sz w:val="19"/>
                <w:szCs w:val="19"/>
              </w:rPr>
              <w:t>“a prescrição quinquenal disposta no art. 1º do Decreto 20.910/32, não se aplica aos danos decorrentes de violação de direitos fundamentais, os quais são imprescritíveis, principalmente quando ocorreram durante o Regime Militar, época em que os jurisdicionados não podiam deduzir a contento suas pretensões”</w:t>
            </w:r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(</w:t>
            </w:r>
            <w:proofErr w:type="spellStart"/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>AgRg</w:t>
            </w:r>
            <w:proofErr w:type="spellEnd"/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no </w:t>
            </w:r>
            <w:proofErr w:type="spellStart"/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>AREsp</w:t>
            </w:r>
            <w:proofErr w:type="spellEnd"/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302.070/PR Rel. Min</w:t>
            </w:r>
            <w:r w:rsidR="003822D9">
              <w:rPr>
                <w:rFonts w:ascii="Book Antiqua" w:hAnsi="Book Antiqua" w:cs="Times New Roman"/>
                <w:sz w:val="19"/>
                <w:szCs w:val="19"/>
              </w:rPr>
              <w:t>.</w:t>
            </w:r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Castro Meira, </w:t>
            </w:r>
            <w:r w:rsidR="003822D9">
              <w:rPr>
                <w:rFonts w:ascii="Book Antiqua" w:hAnsi="Book Antiqua" w:cs="Times New Roman"/>
                <w:sz w:val="19"/>
                <w:szCs w:val="19"/>
              </w:rPr>
              <w:t>2ª T.</w:t>
            </w:r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, </w:t>
            </w:r>
            <w:proofErr w:type="spellStart"/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>DJe</w:t>
            </w:r>
            <w:proofErr w:type="spellEnd"/>
            <w:r w:rsidR="003822D9" w:rsidRPr="003822D9">
              <w:rPr>
                <w:rFonts w:ascii="Book Antiqua" w:hAnsi="Book Antiqua" w:cs="Times New Roman"/>
                <w:sz w:val="19"/>
                <w:szCs w:val="19"/>
              </w:rPr>
              <w:t xml:space="preserve"> 5/6/2013).</w:t>
            </w:r>
          </w:p>
          <w:tbl>
            <w:tblPr>
              <w:tblStyle w:val="Tabelacomgrade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8268"/>
            </w:tblGrid>
            <w:tr w:rsidR="009A40D6" w14:paraId="00973A46" w14:textId="77777777" w:rsidTr="009E4B3A">
              <w:tc>
                <w:tcPr>
                  <w:tcW w:w="8268" w:type="dxa"/>
                  <w:shd w:val="clear" w:color="auto" w:fill="FFFFFF" w:themeFill="background1"/>
                </w:tcPr>
                <w:p w14:paraId="1470B00C" w14:textId="77777777" w:rsidR="009A40D6" w:rsidRDefault="009A40D6" w:rsidP="009A40D6">
                  <w:pPr>
                    <w:jc w:val="both"/>
                    <w:rPr>
                      <w:rFonts w:ascii="Book Antiqua" w:hAnsi="Book Antiqua"/>
                      <w:b/>
                      <w:sz w:val="18"/>
                      <w:szCs w:val="18"/>
                    </w:rPr>
                  </w:pPr>
                  <w:bookmarkStart w:id="11" w:name="_Hlk65235150"/>
                  <w:r w:rsidRPr="009A40D6"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9A40D6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MPMG-2017</w:t>
                  </w:r>
                  <w:r w:rsidRPr="009A40D6"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 w:rsidRPr="009A40D6">
                    <w:rPr>
                      <w:rFonts w:ascii="Book Antiqua" w:hAnsi="Book Antiqua"/>
                      <w:sz w:val="18"/>
                      <w:szCs w:val="18"/>
                    </w:rPr>
                    <w:t xml:space="preserve">: São imprescritíveis e transmissíveis as ações de reparação por danos morais, ajuizadas em decorrência de perseguição, tortura e prisão, praticados por motivos políticos. </w:t>
                  </w:r>
                  <w:r w:rsidRPr="009A40D6">
                    <w:rPr>
                      <w:rFonts w:ascii="Book Antiqua" w:hAnsi="Book Antiqua"/>
                      <w:b/>
                      <w:sz w:val="18"/>
                      <w:szCs w:val="18"/>
                    </w:rPr>
                    <w:t>BL: Info 523, STJ.</w:t>
                  </w:r>
                  <w:bookmarkEnd w:id="11"/>
                </w:p>
                <w:p w14:paraId="740BB7CD" w14:textId="6A8E3D7C" w:rsidR="00E61198" w:rsidRPr="00E61198" w:rsidRDefault="00E61198" w:rsidP="009A40D6">
                  <w:pPr>
                    <w:jc w:val="both"/>
                    <w:rPr>
                      <w:rFonts w:ascii="Book Antiqua" w:eastAsia="Times New Roman" w:hAnsi="Book Antiqua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E6119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MPAC-2014-CESPE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E6119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Acerca da responsabilidade civil do Estado, assinale a opção correta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E6119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Segundo entendimento do STJ, é imprescritível a pretensão de recebimento de indenização por dano moral decorrente de atos de tortura ocorridos durante o regime militar de exceção.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9A40D6">
                    <w:rPr>
                      <w:rFonts w:ascii="Book Antiqua" w:hAnsi="Book Antiqua"/>
                      <w:b/>
                      <w:sz w:val="18"/>
                      <w:szCs w:val="18"/>
                    </w:rPr>
                    <w:t>BL: Info 523, STJ.</w:t>
                  </w:r>
                </w:p>
              </w:tc>
            </w:tr>
          </w:tbl>
          <w:p w14:paraId="2851F9BA" w14:textId="1711B520" w:rsidR="009A40D6" w:rsidRDefault="009A40D6" w:rsidP="005F373F">
            <w:pPr>
              <w:jc w:val="both"/>
              <w:rPr>
                <w:rFonts w:ascii="Book Antiqua" w:hAnsi="Book Antiqua" w:cs="Times New Roman"/>
                <w:bCs/>
                <w:color w:val="333333"/>
                <w:sz w:val="19"/>
                <w:szCs w:val="19"/>
              </w:rPr>
            </w:pPr>
          </w:p>
          <w:p w14:paraId="0FFCDE67" w14:textId="7FB44EAE" w:rsidR="004C7B5B" w:rsidRPr="003822D9" w:rsidRDefault="004C7B5B" w:rsidP="004C7B5B">
            <w:pPr>
              <w:jc w:val="both"/>
              <w:rPr>
                <w:rFonts w:ascii="Book Antiqua" w:eastAsia="Times New Roman" w:hAnsi="Book Antiqua" w:cs="Arial"/>
                <w:iCs/>
                <w:color w:val="333333"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 w:rsidR="00907DF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J – Rec. </w:t>
            </w:r>
            <w:proofErr w:type="spellStart"/>
            <w:r w:rsidR="00907DF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Repetitvo</w:t>
            </w:r>
            <w:proofErr w:type="spellEnd"/>
            <w:r w:rsidR="00907DFA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/ Tema 146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E67CE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PA-2023</w:t>
            </w:r>
            <w:r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E6119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4C7B5B">
              <w:rPr>
                <w:rFonts w:ascii="Book Antiqua" w:hAnsi="Book Antiqua" w:cs="Times New Roman"/>
                <w:b/>
                <w:bCs/>
                <w:sz w:val="19"/>
                <w:szCs w:val="19"/>
              </w:rPr>
              <w:t>É de cinco anos o prazo para a cobrança da multa aplicada ante infração administrativa ao meio ambiente, nos termos do Decreto nº 20.910/32, o qual que deve ser aplicado por isonomia, à falta de regra específica para regular esse prazo prescricional.</w:t>
            </w:r>
            <w:r w:rsidRPr="003822D9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>
              <w:rPr>
                <w:rFonts w:ascii="Book Antiqua" w:hAnsi="Book Antiqua" w:cs="Times New Roman"/>
                <w:sz w:val="19"/>
                <w:szCs w:val="19"/>
              </w:rPr>
              <w:t xml:space="preserve">STJ. 1ª S., </w:t>
            </w:r>
            <w:r w:rsidRPr="004C7B5B">
              <w:rPr>
                <w:rFonts w:ascii="Book Antiqua" w:hAnsi="Book Antiqua" w:cs="Times New Roman"/>
                <w:sz w:val="19"/>
                <w:szCs w:val="19"/>
              </w:rPr>
              <w:t xml:space="preserve">REsp 1112577 SP, </w:t>
            </w:r>
            <w:r>
              <w:rPr>
                <w:rFonts w:ascii="Book Antiqua" w:hAnsi="Book Antiqua" w:cs="Times New Roman"/>
                <w:sz w:val="19"/>
                <w:szCs w:val="19"/>
              </w:rPr>
              <w:t>R</w:t>
            </w:r>
            <w:r w:rsidRPr="004C7B5B">
              <w:rPr>
                <w:rFonts w:ascii="Book Antiqua" w:hAnsi="Book Antiqua" w:cs="Times New Roman"/>
                <w:sz w:val="19"/>
                <w:szCs w:val="19"/>
              </w:rPr>
              <w:t>el</w:t>
            </w:r>
            <w:r>
              <w:rPr>
                <w:rFonts w:ascii="Book Antiqua" w:hAnsi="Book Antiqua" w:cs="Times New Roman"/>
                <w:sz w:val="19"/>
                <w:szCs w:val="19"/>
              </w:rPr>
              <w:t>.</w:t>
            </w:r>
            <w:r w:rsidRPr="004C7B5B">
              <w:rPr>
                <w:rFonts w:ascii="Book Antiqua" w:hAnsi="Book Antiqua" w:cs="Times New Roman"/>
                <w:sz w:val="19"/>
                <w:szCs w:val="19"/>
              </w:rPr>
              <w:t xml:space="preserve"> Min</w:t>
            </w:r>
            <w:r>
              <w:rPr>
                <w:rFonts w:ascii="Book Antiqua" w:hAnsi="Book Antiqua" w:cs="Times New Roman"/>
                <w:sz w:val="19"/>
                <w:szCs w:val="19"/>
              </w:rPr>
              <w:t>.</w:t>
            </w:r>
            <w:r w:rsidRPr="004C7B5B">
              <w:rPr>
                <w:rFonts w:ascii="Book Antiqua" w:hAnsi="Book Antiqua" w:cs="Times New Roman"/>
                <w:sz w:val="19"/>
                <w:szCs w:val="19"/>
              </w:rPr>
              <w:t xml:space="preserve"> Castro Meira, j</w:t>
            </w:r>
            <w:r>
              <w:rPr>
                <w:rFonts w:ascii="Book Antiqua" w:hAnsi="Book Antiqua" w:cs="Times New Roman"/>
                <w:sz w:val="19"/>
                <w:szCs w:val="19"/>
              </w:rPr>
              <w:t>.</w:t>
            </w:r>
            <w:r w:rsidRPr="004C7B5B">
              <w:rPr>
                <w:rFonts w:ascii="Book Antiqua" w:hAnsi="Book Antiqua" w:cs="Times New Roman"/>
                <w:sz w:val="19"/>
                <w:szCs w:val="19"/>
              </w:rPr>
              <w:t xml:space="preserve"> 9/12/09</w:t>
            </w:r>
            <w:r>
              <w:rPr>
                <w:rFonts w:ascii="Book Antiqua" w:hAnsi="Book Antiqua" w:cs="Times New Roman"/>
                <w:sz w:val="19"/>
                <w:szCs w:val="19"/>
              </w:rPr>
              <w:t>.</w:t>
            </w:r>
          </w:p>
          <w:tbl>
            <w:tblPr>
              <w:tblStyle w:val="Tabelacomgrade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8268"/>
            </w:tblGrid>
            <w:tr w:rsidR="004C7B5B" w14:paraId="2A2AC265" w14:textId="77777777" w:rsidTr="00DF7E0A">
              <w:tc>
                <w:tcPr>
                  <w:tcW w:w="8268" w:type="dxa"/>
                  <w:shd w:val="clear" w:color="auto" w:fill="FFFFFF" w:themeFill="background1"/>
                </w:tcPr>
                <w:p w14:paraId="013A06FD" w14:textId="1D6E9256" w:rsidR="004C7B5B" w:rsidRPr="00E61198" w:rsidRDefault="004C7B5B" w:rsidP="004C7B5B">
                  <w:pPr>
                    <w:jc w:val="both"/>
                    <w:rPr>
                      <w:rFonts w:ascii="Book Antiqua" w:eastAsia="Times New Roman" w:hAnsi="Book Antiqua" w:cs="Times New Roman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E6119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PA-2023</w:t>
                  </w:r>
                  <w:r w:rsidRPr="00E61198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-CESPE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4C7B5B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Na ausência de regra específica que regule o prazo para a cobrança de multa aplicada por infração administrativa ao meio ambiente, tal prazo será de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5 anos</w:t>
                  </w:r>
                  <w:r w:rsidRPr="00E6119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9A40D6"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BL: </w:t>
                  </w:r>
                  <w:proofErr w:type="spellStart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Entend</w:t>
                  </w:r>
                  <w:proofErr w:type="spellEnd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 xml:space="preserve">. </w:t>
                  </w:r>
                  <w:proofErr w:type="spellStart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Jurisprud</w:t>
                  </w:r>
                  <w:proofErr w:type="spellEnd"/>
                  <w:r>
                    <w:rPr>
                      <w:rFonts w:ascii="Book Antiqua" w:hAnsi="Book Antiqua"/>
                      <w:b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1418A19E" w14:textId="77777777" w:rsidR="004C7B5B" w:rsidRDefault="004C7B5B" w:rsidP="005F373F">
            <w:pPr>
              <w:jc w:val="both"/>
              <w:rPr>
                <w:rFonts w:ascii="Book Antiqua" w:hAnsi="Book Antiqua" w:cs="Times New Roman"/>
                <w:bCs/>
                <w:color w:val="333333"/>
                <w:sz w:val="19"/>
                <w:szCs w:val="19"/>
              </w:rPr>
            </w:pPr>
          </w:p>
          <w:p w14:paraId="34600204" w14:textId="70F77999" w:rsidR="007064CB" w:rsidRPr="00983348" w:rsidRDefault="007064CB" w:rsidP="007064CB">
            <w:pPr>
              <w:jc w:val="both"/>
              <w:rPr>
                <w:rFonts w:ascii="Book Antiqua" w:hAnsi="Book Antiqua" w:cs="Times New Roman"/>
                <w:sz w:val="19"/>
                <w:szCs w:val="19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TJRR-2015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: </w:t>
            </w:r>
            <w:r w:rsidRPr="00983348">
              <w:rPr>
                <w:rFonts w:ascii="Book Antiqua" w:hAnsi="Book Antiqua" w:cs="Times New Roman"/>
                <w:bCs/>
                <w:iCs/>
                <w:sz w:val="19"/>
                <w:szCs w:val="19"/>
              </w:rPr>
              <w:t>O</w:t>
            </w:r>
            <w:r w:rsidRPr="00983348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3D2280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prazo prescricional previsto no Dec</w:t>
            </w:r>
            <w:r w:rsidR="003D2280" w:rsidRPr="003D2280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>.</w:t>
            </w:r>
            <w:r w:rsidRPr="003D2280">
              <w:rPr>
                <w:rFonts w:ascii="Book Antiqua" w:hAnsi="Book Antiqua" w:cs="Times New Roman"/>
                <w:b/>
                <w:bCs/>
                <w:sz w:val="19"/>
                <w:szCs w:val="19"/>
                <w:highlight w:val="yellow"/>
              </w:rPr>
              <w:t xml:space="preserve"> 20.910/32</w:t>
            </w:r>
            <w:r w:rsidRPr="00983348">
              <w:rPr>
                <w:rFonts w:ascii="Book Antiqua" w:hAnsi="Book Antiqua" w:cs="Times New Roman"/>
                <w:sz w:val="19"/>
                <w:szCs w:val="19"/>
              </w:rPr>
              <w:t xml:space="preserve"> </w:t>
            </w:r>
            <w:r w:rsidRPr="003D2280">
              <w:rPr>
                <w:rFonts w:ascii="Book Antiqua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</w:rPr>
              <w:t>não é aplicável às concessionárias de serviço público</w:t>
            </w:r>
            <w:r w:rsidRPr="00983348">
              <w:rPr>
                <w:rFonts w:ascii="Book Antiqua" w:hAnsi="Book Antiqua" w:cs="Times New Roman"/>
                <w:sz w:val="19"/>
                <w:szCs w:val="19"/>
              </w:rPr>
              <w:t xml:space="preserve"> que </w:t>
            </w:r>
            <w:r w:rsidRPr="003D2280">
              <w:rPr>
                <w:rFonts w:ascii="Book Antiqua" w:hAnsi="Book Antiqua" w:cs="Times New Roman"/>
                <w:b/>
                <w:bCs/>
                <w:sz w:val="19"/>
                <w:szCs w:val="19"/>
                <w:highlight w:val="green"/>
              </w:rPr>
              <w:t>ostentem personalidade jurídica de direito privado</w:t>
            </w:r>
            <w:r w:rsidRPr="00983348">
              <w:rPr>
                <w:rFonts w:ascii="Book Antiqua" w:hAnsi="Book Antiqua" w:cs="Times New Roman"/>
                <w:sz w:val="19"/>
                <w:szCs w:val="19"/>
              </w:rPr>
              <w:t xml:space="preserve">, como na hipótese dos autos, em que empresa é pessoa jurídica de direito privado prestadora de serviços urbanos e de limpeza pública no município.Com efeito, "a prescrição </w:t>
            </w:r>
            <w:proofErr w:type="spellStart"/>
            <w:r w:rsidRPr="00983348">
              <w:rPr>
                <w:rFonts w:ascii="Book Antiqua" w:hAnsi="Book Antiqua" w:cs="Times New Roman"/>
                <w:sz w:val="19"/>
                <w:szCs w:val="19"/>
              </w:rPr>
              <w:t>qüinqüenal</w:t>
            </w:r>
            <w:proofErr w:type="spellEnd"/>
            <w:r w:rsidRPr="00983348">
              <w:rPr>
                <w:rFonts w:ascii="Book Antiqua" w:hAnsi="Book Antiqua" w:cs="Times New Roman"/>
                <w:sz w:val="19"/>
                <w:szCs w:val="19"/>
              </w:rPr>
              <w:t>, prevista pelo Dec</w:t>
            </w:r>
            <w:r w:rsidR="003D2280">
              <w:rPr>
                <w:rFonts w:ascii="Book Antiqua" w:hAnsi="Book Antiqua" w:cs="Times New Roman"/>
                <w:sz w:val="19"/>
                <w:szCs w:val="19"/>
              </w:rPr>
              <w:t>.</w:t>
            </w:r>
            <w:r w:rsidRPr="00983348">
              <w:rPr>
                <w:rFonts w:ascii="Book Antiqua" w:hAnsi="Book Antiqua" w:cs="Times New Roman"/>
                <w:sz w:val="19"/>
                <w:szCs w:val="19"/>
              </w:rPr>
              <w:t xml:space="preserve"> 20.910/32, não beneficia empresa pública, sociedade de economia mista ou qualquer outra entidade estatal que explore atividade econômica" (STJ, 2ª T., REsp 897.091/MG, Rel. Min. Eliana Calmon, </w:t>
            </w:r>
            <w:proofErr w:type="spellStart"/>
            <w:r w:rsidRPr="00983348">
              <w:rPr>
                <w:rFonts w:ascii="Book Antiqua" w:hAnsi="Book Antiqua" w:cs="Times New Roman"/>
                <w:sz w:val="19"/>
                <w:szCs w:val="19"/>
              </w:rPr>
              <w:t>DJe</w:t>
            </w:r>
            <w:proofErr w:type="spellEnd"/>
            <w:r w:rsidRPr="00983348">
              <w:rPr>
                <w:rFonts w:ascii="Book Antiqua" w:hAnsi="Book Antiqua" w:cs="Times New Roman"/>
                <w:sz w:val="19"/>
                <w:szCs w:val="19"/>
              </w:rPr>
              <w:t xml:space="preserve"> de 10/6/08)</w:t>
            </w:r>
          </w:p>
          <w:tbl>
            <w:tblPr>
              <w:tblStyle w:val="Tabelacomgrade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8268"/>
            </w:tblGrid>
            <w:tr w:rsidR="007064CB" w14:paraId="69DEDAE6" w14:textId="77777777" w:rsidTr="003017C3">
              <w:tc>
                <w:tcPr>
                  <w:tcW w:w="8268" w:type="dxa"/>
                  <w:shd w:val="clear" w:color="auto" w:fill="FFFFFF" w:themeFill="background1"/>
                </w:tcPr>
                <w:p w14:paraId="623A1906" w14:textId="36EC6560" w:rsidR="007064CB" w:rsidRDefault="007064CB" w:rsidP="007064CB">
                  <w:pPr>
                    <w:jc w:val="both"/>
                    <w:rPr>
                      <w:rFonts w:ascii="Book Antiqua" w:eastAsia="Times New Roman" w:hAnsi="Book Antiqua" w:cs="Times New Roman"/>
                      <w:sz w:val="20"/>
                      <w:szCs w:val="20"/>
                      <w:lang w:eastAsia="pt-BR"/>
                    </w:rPr>
                  </w:pP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TJ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RR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-201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5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-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FC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C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 w:rsidRPr="00DE05F6">
                    <w:rPr>
                      <w:rFonts w:ascii="Book Antiqua" w:hAnsi="Book Antiqua"/>
                      <w:sz w:val="18"/>
                      <w:szCs w:val="18"/>
                    </w:rPr>
                    <w:t xml:space="preserve">: </w:t>
                  </w:r>
                  <w:r w:rsidRPr="007064CB">
                    <w:rPr>
                      <w:rFonts w:ascii="Book Antiqua" w:hAnsi="Book Antiqua"/>
                      <w:sz w:val="18"/>
                      <w:szCs w:val="18"/>
                    </w:rPr>
                    <w:t>Acerca da prescrição nas relações envolvendo a Administração pública, o Decreto 20.910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/</w:t>
                  </w:r>
                  <w:r w:rsidRPr="007064CB">
                    <w:rPr>
                      <w:rFonts w:ascii="Book Antiqua" w:hAnsi="Book Antiqua"/>
                      <w:sz w:val="18"/>
                      <w:szCs w:val="18"/>
                    </w:rPr>
                    <w:t xml:space="preserve">32 estatui: </w:t>
                  </w:r>
                  <w:r w:rsidRPr="007064CB"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>“Art. 1° As dívidas passivas da União, dos Estados e dos Municípios, bem assim todo e qualquer direito ou ação contra a Fazenda federal, estadual ou municipal, seja qual for a sua natureza, prescrevem em cinco anos contados da data do ato ou fato do qual se originarem.</w:t>
                  </w:r>
                  <w:r>
                    <w:rPr>
                      <w:rFonts w:ascii="Book Antiqua" w:hAnsi="Book Antiqua"/>
                      <w:i/>
                      <w:iCs/>
                      <w:sz w:val="18"/>
                      <w:szCs w:val="18"/>
                    </w:rPr>
                    <w:t xml:space="preserve">” </w:t>
                  </w:r>
                  <w:r w:rsidRPr="007064CB">
                    <w:rPr>
                      <w:rFonts w:ascii="Book Antiqua" w:hAnsi="Book Antiqua"/>
                      <w:sz w:val="18"/>
                      <w:szCs w:val="18"/>
                    </w:rPr>
                    <w:t xml:space="preserve">Considerando-se que tal disposição veio a ser complementada pela edição de outros dispositivos legais acerca do assunto, é correto afirmar que a norma ali </w:t>
                  </w:r>
                  <w:proofErr w:type="gramStart"/>
                  <w:r w:rsidRPr="007064CB">
                    <w:rPr>
                      <w:rFonts w:ascii="Book Antiqua" w:hAnsi="Book Antiqua"/>
                      <w:sz w:val="18"/>
                      <w:szCs w:val="18"/>
                    </w:rPr>
                    <w:t xml:space="preserve">veiculada </w:t>
                  </w:r>
                  <w:r w:rsidRPr="00DE05F6">
                    <w:rPr>
                      <w:rFonts w:ascii="Book Antiqua" w:hAnsi="Book Antiqua"/>
                      <w:sz w:val="18"/>
                      <w:szCs w:val="18"/>
                    </w:rPr>
                    <w:t>Determinado</w:t>
                  </w:r>
                  <w:proofErr w:type="gramEnd"/>
                  <w:r w:rsidRPr="00DE05F6">
                    <w:rPr>
                      <w:rFonts w:ascii="Book Antiqua" w:hAnsi="Book Antiqua"/>
                      <w:sz w:val="18"/>
                      <w:szCs w:val="18"/>
                    </w:rPr>
                    <w:t xml:space="preserve"> taxista dirigia embriagado quando colidiu contra o prédio de determinada secretaria estadual, que foi danificado com a batida. Nessa situação hipotética, conforme o entendimento do STJ, o estado federado prejudicado deverá propor ação de ressarcimento no prazo prescricional de cinco anos, com base em aplicação analógica do Decreto Federal 20.910/32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7064CB">
                    <w:rPr>
                      <w:rFonts w:ascii="Book Antiqua" w:hAnsi="Book Antiqua"/>
                      <w:sz w:val="18"/>
                      <w:szCs w:val="18"/>
                    </w:rPr>
                    <w:t>não se aplica aos entes da Administração Indireta que se dedicam ao desempenho de atividade econômica em sentido estrito, nas relações que estabelecem no exercício de tais atividades.</w:t>
                  </w:r>
                  <w:r w:rsidRPr="00DE05F6"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 xml:space="preserve">BL: 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20"/>
                      <w:szCs w:val="20"/>
                      <w:lang w:eastAsia="pt-BR"/>
                    </w:rPr>
                    <w:t>BL: art. 1º do Dec. 20910/</w:t>
                  </w:r>
                  <w:proofErr w:type="gramStart"/>
                  <w:r>
                    <w:rPr>
                      <w:rFonts w:ascii="Book Antiqua" w:eastAsia="Times New Roman" w:hAnsi="Book Antiqua" w:cs="Times New Roman"/>
                      <w:b/>
                      <w:sz w:val="20"/>
                      <w:szCs w:val="20"/>
                      <w:lang w:eastAsia="pt-BR"/>
                    </w:rPr>
                    <w:t xml:space="preserve">32 </w:t>
                  </w:r>
                  <w:r>
                    <w:rPr>
                      <w:rFonts w:ascii="Book Antiqua" w:hAnsi="Book Antiqua"/>
                      <w:b/>
                      <w:sz w:val="20"/>
                      <w:szCs w:val="20"/>
                    </w:rPr>
                    <w:t xml:space="preserve"> e</w:t>
                  </w:r>
                  <w:proofErr w:type="gramEnd"/>
                  <w:r>
                    <w:rPr>
                      <w:rFonts w:ascii="Book Antiqua" w:hAnsi="Book Antiqua"/>
                      <w:b/>
                      <w:sz w:val="20"/>
                      <w:szCs w:val="20"/>
                    </w:rPr>
                    <w:t xml:space="preserve"> </w:t>
                  </w:r>
                  <w:r w:rsidRPr="00DE05F6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Entendimento do STJ (vide teor do julgado acima).</w:t>
                  </w:r>
                </w:p>
              </w:tc>
            </w:tr>
          </w:tbl>
          <w:p w14:paraId="693A5832" w14:textId="77777777" w:rsidR="00983348" w:rsidRPr="00983348" w:rsidRDefault="00983348" w:rsidP="005F373F">
            <w:pPr>
              <w:jc w:val="both"/>
              <w:rPr>
                <w:rFonts w:ascii="Book Antiqua" w:hAnsi="Book Antiqua" w:cs="Times New Roman"/>
                <w:b/>
                <w:bCs/>
                <w:sz w:val="19"/>
                <w:szCs w:val="19"/>
              </w:rPr>
            </w:pPr>
          </w:p>
          <w:p w14:paraId="3A8B7E81" w14:textId="792BB4CC" w:rsidR="005F373F" w:rsidRDefault="005F373F" w:rsidP="005F373F">
            <w:pPr>
              <w:jc w:val="both"/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983348">
              <w:rPr>
                <w:rFonts w:ascii="Book Antiqua" w:eastAsia="Times New Roman" w:hAnsi="Book Antiqua" w:cs="Arial"/>
                <w:b/>
                <w:sz w:val="19"/>
                <w:szCs w:val="19"/>
                <w:highlight w:val="magenta"/>
                <w:lang w:eastAsia="pt-BR"/>
              </w:rPr>
              <w:t>Súmula 85-STJ</w:t>
            </w:r>
            <w:r w:rsidRPr="00983348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: Nas relações jurídicas de trato sucessivo em que a Fazenda Pública figure como devedora, quando não tiver sido negado o próprio direito reclamado, a prescrição atinge apenas as prestações vencidas antes do quinquênio anterior à propositura da ação.</w:t>
            </w:r>
          </w:p>
        </w:tc>
      </w:tr>
    </w:tbl>
    <w:p w14:paraId="310A9CA5" w14:textId="77777777" w:rsidR="005F373F" w:rsidRDefault="005F373F" w:rsidP="00D81DAC">
      <w:pPr>
        <w:spacing w:after="0" w:line="240" w:lineRule="auto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126AF" w14:paraId="7784C77E" w14:textId="77777777" w:rsidTr="002126AF">
        <w:tc>
          <w:tcPr>
            <w:tcW w:w="8494" w:type="dxa"/>
            <w:shd w:val="clear" w:color="auto" w:fill="CCFFFF"/>
          </w:tcPr>
          <w:p w14:paraId="7EB7FCFD" w14:textId="6EABE5E2" w:rsidR="00D03B6B" w:rsidRPr="00D03B6B" w:rsidRDefault="00D03B6B" w:rsidP="00D81DA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03B6B">
              <w:rPr>
                <w:rFonts w:ascii="Book Antiqua" w:hAnsi="Book Antiqua"/>
                <w:b/>
                <w:sz w:val="19"/>
                <w:szCs w:val="19"/>
              </w:rPr>
              <w:lastRenderedPageBreak/>
              <w:t>(</w:t>
            </w:r>
            <w:r w:rsidRPr="00D03B6B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ENAM/1º-2024-FGV</w:t>
            </w:r>
            <w:r w:rsidRPr="00D03B6B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D03B6B">
              <w:rPr>
                <w:rFonts w:ascii="Book Antiqua" w:hAnsi="Book Antiqua"/>
                <w:bCs/>
                <w:sz w:val="19"/>
                <w:szCs w:val="19"/>
              </w:rPr>
              <w:t xml:space="preserve">: Para que ocorra a prescrição, três elementos devem estar presentes simultaneamente: o direito material da parte em relação a uma prestação a ser cumprida por outrem, dentro do prazo estabelecido; a violação desse direito material por parte daquele que tem o dever de cumpri-lo, resultando no não cumprimento da obrigação e na possibilidade de buscar reparação judicial; e a inatividade do titular do direito durante o período determinado por lei para exercer sua pretensão. A respeito do instituto da prescrição nas relações administrativas, analise a afirmativa a seguir: Todo e qualquer direito ou ação contra a Fazenda federal, estadual ou municipal, em regra, prescreve em cinco anos contados da data do ato ou do fato do qual se originarem. 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 do Dec. 20910.</w:t>
            </w:r>
          </w:p>
          <w:p w14:paraId="18F8F1CB" w14:textId="77777777" w:rsidR="00D03B6B" w:rsidRDefault="00D03B6B" w:rsidP="00D81DA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8982BFB" w14:textId="015D98B5" w:rsidR="00F15ED8" w:rsidRPr="00983348" w:rsidRDefault="00F15ED8" w:rsidP="00D81DA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TRF4-2010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prazo prescricional das ações propostas contra a Fazenda Pública é de 5 anos, conforme o art. 1º do Decreto 20.910/32. 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 do Dec. 20910.</w:t>
            </w:r>
          </w:p>
          <w:p w14:paraId="495A3C71" w14:textId="77777777" w:rsidR="00D81DAC" w:rsidRDefault="00D81DAC" w:rsidP="00D81DA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60DC1E57" w14:textId="245AC592" w:rsidR="001E1000" w:rsidRPr="00BD4710" w:rsidRDefault="002126AF" w:rsidP="00D81DAC">
            <w:pPr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TJMT-2009-</w:t>
            </w:r>
            <w:r w:rsidR="003039C9"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VUNESP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Em relação à prescrição da ação de reparação de danos cometidos por agente público em 15 de abril de 2001, aponte a alternativa correta, no que diz respeito ao posicionamento do STJ: A pretensão da reparação civil mantém-se submetida ao prazo prescricional de cinco anos, que é próprio para as ações condenatórias intentadas em face da Fazenda Pública, aplicando-se o Código Civil em face do servidor. 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 do Dec. 20910 e entendimento do STJ.</w:t>
            </w:r>
          </w:p>
        </w:tc>
      </w:tr>
    </w:tbl>
    <w:p w14:paraId="3BE62F73" w14:textId="2FC846C5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126AF">
        <w:rPr>
          <w:rFonts w:ascii="Book Antiqua" w:eastAsia="Times New Roman" w:hAnsi="Book Antiqua" w:cs="Arial"/>
          <w:sz w:val="20"/>
          <w:szCs w:val="20"/>
          <w:lang w:eastAsia="pt-BR"/>
        </w:rPr>
        <w:t xml:space="preserve">        </w:t>
      </w:r>
      <w:r w:rsidRPr="003F7AB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3F7AB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Prescrevem igualmente no mesmo prazo todo o direito e as prestações correspondentes a pensões vencidas ou por vencerem, ao meio soldo e ao montepio civil e militar ou a quaisquer restituições ou diferenças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="003F7AB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</w:p>
    <w:p w14:paraId="08B7203A" w14:textId="77777777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Art. 3º Quando o pagamento se dividir por dias, meses ou anos, a prescrição atingirá progressivamente as prestações à medida que completarem os prazos estabelecidos pelo presente decreto. </w:t>
      </w:r>
    </w:p>
    <w:p w14:paraId="745C158D" w14:textId="69C6EE35" w:rsidR="00DD46BE" w:rsidRPr="003F026E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2" w:name="art4"/>
      <w:bookmarkEnd w:id="12"/>
      <w:r w:rsidRPr="0023109B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4º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3F026E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Não corre</w:t>
      </w:r>
      <w:r w:rsidRPr="0023109B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prescrição durante a demora que, no estudo, ao reconhecimento ou no pagamento da dívida, considerada líquida, tiverem as repartições ou funcionários encarregados de estudar e apurá-la</w:t>
      </w:r>
      <w:r w:rsidRPr="00423F1C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r w:rsidR="0023109B" w:rsidRPr="00423F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(PGERN-2014)</w:t>
      </w:r>
      <w:r w:rsidR="00813B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3" w:name="_Hlk168228595"/>
      <w:r w:rsidR="00813B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bookmarkEnd w:id="13"/>
      <w:r w:rsidR="003F026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F026E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0BB3C32E" w14:textId="59BECDA8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13B4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r w:rsidRPr="00813B44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813B4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. A suspensão da prescrição, neste caso, verificar-se-á pela entrada do requerimento do titular do direito ou do credor nos livros ou protocolos das repartições públicas, com designação do dia, mês e ano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="00813B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</w:p>
    <w:p w14:paraId="0A53600E" w14:textId="0FAD4BE3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F026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r w:rsidRPr="003F026E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5º</w:t>
      </w:r>
      <w:r w:rsidRPr="003F026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Não tem efeito de suspender a prescrição a demora do titular do direito ou do crédito ou do seu representante em prestar os esclarecimentos que lhe forem reclamados ou o fato de não promover o andamento do feito judicial ou do processo administrativo durante os prazos respectivamente estabelecidos para extinção do seu direito à ação ou reclamação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="003F026E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3B98B03C" w14:textId="470EFCBF" w:rsidR="00DD46BE" w:rsidRPr="003F026E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3F026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r w:rsidRPr="003F026E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6º</w:t>
      </w:r>
      <w:r w:rsidRPr="003F026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direito à reclamação administrativa, que não tiver prazo fixado em disposição de lei para ser formulada, prescreve </w:t>
      </w:r>
      <w:r w:rsidRPr="003F026E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em um ano</w:t>
      </w:r>
      <w:r w:rsidRPr="003F026E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contar da data do ato ou fato do qual a mesma se originar. </w:t>
      </w:r>
      <w:r w:rsidR="003F026E" w:rsidRPr="003F026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(ENAM/1º-2024)</w:t>
      </w:r>
    </w:p>
    <w:p w14:paraId="6BADBBA5" w14:textId="020CFB3D" w:rsidR="00DD46BE" w:rsidRPr="003F026E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D02E01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7º</w:t>
      </w:r>
      <w:r w:rsidRPr="00D02E01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90B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 citação inicial </w:t>
      </w:r>
      <w:r w:rsidRPr="00990BA4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não interrompe</w:t>
      </w:r>
      <w:r w:rsidRPr="00990B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prescrição quando, por qualquer motivo, o processo tenha sido anulado</w:t>
      </w:r>
      <w:r w:rsidRPr="00990BA4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. </w:t>
      </w:r>
      <w:r w:rsidR="00D02E01" w:rsidRPr="00990B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3F026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F026E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03049E95" w14:textId="300B7FFC" w:rsidR="00DD46BE" w:rsidRPr="003F026E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Art. 8º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</w:t>
      </w:r>
      <w:r w:rsidRPr="00983348">
        <w:rPr>
          <w:rFonts w:ascii="Book Antiqua" w:eastAsia="Times New Roman" w:hAnsi="Book Antiqua" w:cs="Arial"/>
          <w:b/>
          <w:caps/>
          <w:sz w:val="19"/>
          <w:szCs w:val="19"/>
          <w:shd w:val="clear" w:color="auto" w:fill="F7CAAC" w:themeFill="accent2" w:themeFillTint="66"/>
          <w:lang w:eastAsia="pt-BR"/>
        </w:rPr>
        <w:t>prescrição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yellow"/>
          <w:lang w:eastAsia="pt-BR"/>
        </w:rPr>
        <w:t>somente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83348">
        <w:rPr>
          <w:rFonts w:ascii="Book Antiqua" w:eastAsia="Times New Roman" w:hAnsi="Book Antiqua" w:cs="Arial"/>
          <w:b/>
          <w:caps/>
          <w:sz w:val="19"/>
          <w:szCs w:val="19"/>
          <w:highlight w:val="green"/>
          <w:lang w:eastAsia="pt-BR"/>
        </w:rPr>
        <w:t>poderá ser interrompida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cyan"/>
          <w:lang w:eastAsia="pt-BR"/>
        </w:rPr>
        <w:t>uma vez</w:t>
      </w:r>
      <w:r w:rsidRPr="00423F1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. </w:t>
      </w:r>
      <w:r w:rsidR="00CB605F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(MPSC-2013)</w:t>
      </w:r>
      <w:r w:rsidR="00067554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067554" w:rsidRPr="00423F1C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r w:rsidR="00466D16" w:rsidRPr="00423F1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66D16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(PGEPR-2015)</w:t>
      </w:r>
      <w:r w:rsidR="00813B4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13B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3F026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F026E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6344747F" w14:textId="2BEBFE62" w:rsidR="00DD46BE" w:rsidRPr="003F026E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color w:val="FF0000"/>
          <w:sz w:val="16"/>
          <w:szCs w:val="16"/>
          <w:u w:val="single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Art. 9º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</w:t>
      </w:r>
      <w:r w:rsidRPr="00983348">
        <w:rPr>
          <w:rFonts w:ascii="Book Antiqua" w:eastAsia="Times New Roman" w:hAnsi="Book Antiqua" w:cs="Arial"/>
          <w:b/>
          <w:caps/>
          <w:sz w:val="19"/>
          <w:szCs w:val="19"/>
          <w:shd w:val="clear" w:color="auto" w:fill="F7CAAC" w:themeFill="accent2" w:themeFillTint="66"/>
          <w:lang w:eastAsia="pt-BR"/>
        </w:rPr>
        <w:t>prescrição interrompida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83348">
        <w:rPr>
          <w:rFonts w:ascii="Book Antiqua" w:eastAsia="Times New Roman" w:hAnsi="Book Antiqua" w:cs="Arial"/>
          <w:b/>
          <w:caps/>
          <w:sz w:val="19"/>
          <w:szCs w:val="19"/>
          <w:highlight w:val="green"/>
          <w:lang w:eastAsia="pt-BR"/>
        </w:rPr>
        <w:t>recomeça a correr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cyan"/>
          <w:lang w:eastAsia="pt-BR"/>
        </w:rPr>
        <w:t>pela metade do prazo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yellow"/>
          <w:lang w:eastAsia="pt-BR"/>
        </w:rPr>
        <w:t>da data do ato que a interrompeu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ou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yellow"/>
          <w:lang w:eastAsia="pt-BR"/>
        </w:rPr>
        <w:t>do último ato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ou </w:t>
      </w:r>
      <w:r w:rsidRPr="00983348">
        <w:rPr>
          <w:rFonts w:ascii="Book Antiqua" w:eastAsia="Times New Roman" w:hAnsi="Book Antiqua" w:cs="Arial"/>
          <w:b/>
          <w:sz w:val="19"/>
          <w:szCs w:val="19"/>
          <w:highlight w:val="yellow"/>
          <w:lang w:eastAsia="pt-BR"/>
        </w:rPr>
        <w:t>termo do respectivo processo</w:t>
      </w:r>
      <w:r w:rsidRPr="00423F1C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BD560E" w:rsidRPr="00423F1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BD560E" w:rsidRPr="00423F1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(PGERO-2011)</w:t>
      </w:r>
      <w:r w:rsidRPr="00423F1C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CB605F" w:rsidRPr="00423F1C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lang w:eastAsia="pt-BR"/>
        </w:rPr>
        <w:t>(MPSC-2013)</w:t>
      </w:r>
      <w:r w:rsidR="00067554" w:rsidRPr="00423F1C">
        <w:rPr>
          <w:rFonts w:ascii="Book Antiqua" w:eastAsia="Times New Roman" w:hAnsi="Book Antiqua" w:cs="Arial"/>
          <w:b/>
          <w:color w:val="FF0000"/>
          <w:sz w:val="16"/>
          <w:szCs w:val="16"/>
          <w:lang w:eastAsia="pt-BR"/>
        </w:rPr>
        <w:t xml:space="preserve"> </w:t>
      </w:r>
      <w:r w:rsidR="00067554" w:rsidRPr="00423F1C">
        <w:rPr>
          <w:rFonts w:ascii="Book Antiqua" w:hAnsi="Book Antiqua"/>
          <w:b/>
          <w:color w:val="FF0000"/>
          <w:sz w:val="16"/>
          <w:szCs w:val="16"/>
          <w:u w:val="single"/>
        </w:rPr>
        <w:t>(TRF4-2014)</w:t>
      </w:r>
      <w:r w:rsidR="00895B85" w:rsidRPr="00423F1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66D16" w:rsidRPr="00423F1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(PGEPR-2015)</w:t>
      </w:r>
      <w:r w:rsidR="005A4F08" w:rsidRPr="00423F1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A4F08" w:rsidRPr="00423F1C">
        <w:rPr>
          <w:rFonts w:ascii="Book Antiqua" w:hAnsi="Book Antiqua"/>
          <w:b/>
          <w:color w:val="FF0000"/>
          <w:sz w:val="16"/>
          <w:szCs w:val="16"/>
          <w:u w:val="single"/>
        </w:rPr>
        <w:t>(MPMG-2021)</w:t>
      </w:r>
      <w:r w:rsidR="00776E6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76E6E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(DPEMT-2022)</w:t>
      </w:r>
      <w:r w:rsidR="00813B44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u w:val="none"/>
          <w:lang w:eastAsia="pt-BR"/>
        </w:rPr>
        <w:t xml:space="preserve"> </w:t>
      </w:r>
      <w:r w:rsidR="00813B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(PGEAM-2022)</w:t>
      </w:r>
      <w:r w:rsidR="00FC668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C668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(PGEPA-2015/2023)</w:t>
      </w:r>
      <w:r w:rsidR="00505C6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05C6A">
        <w:rPr>
          <w:rFonts w:ascii="Book Antiqua" w:hAnsi="Book Antiqua"/>
          <w:b/>
          <w:color w:val="FF0000"/>
          <w:sz w:val="16"/>
          <w:szCs w:val="16"/>
          <w:u w:val="single"/>
        </w:rPr>
        <w:t>(PGERR-2023)</w:t>
      </w:r>
      <w:r w:rsidR="004B3D4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4" w:name="_Hlk193470099"/>
      <w:r w:rsidR="004B3D4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(PFN-2023)</w:t>
      </w:r>
      <w:bookmarkEnd w:id="14"/>
      <w:r w:rsidR="003F026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F026E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13B44" w14:paraId="5364B475" w14:textId="77777777" w:rsidTr="00C86EEA">
        <w:tc>
          <w:tcPr>
            <w:tcW w:w="8494" w:type="dxa"/>
            <w:shd w:val="clear" w:color="auto" w:fill="CCFFFF"/>
          </w:tcPr>
          <w:p w14:paraId="2523C75F" w14:textId="2983C619" w:rsidR="00813B44" w:rsidRPr="00983348" w:rsidRDefault="00813B44" w:rsidP="00C86EE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PGEAM-2022-FCC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13B4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servidor público estadual José requereu promoção a que tem direito, no dia em que implementados todos os requisitos para obtê-la, ou seja, 16/3/15. Iniciado o procedimento administrativo, o pedido só foi indeferido em 16/3/19, e, nessa data, José promoveu protesto judicial interruptivo da prescrição. A prescrição da pretensão de José, considerando-se, </w:t>
            </w:r>
            <w:r w:rsidRPr="00813B4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hipoteticamente, que todas as datas referidas são dias úteis,</w:t>
            </w:r>
            <w:r w:rsidRPr="0098334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13B4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ocorrerá em 16/3/24. 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s</w:t>
            </w:r>
            <w:proofErr w:type="spellEnd"/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. 1º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2º, 4º, 8º e 9º,</w:t>
            </w:r>
            <w:r w:rsidRPr="0098334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do Dec. 20910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S. 383, STF.</w:t>
            </w:r>
            <w:r>
              <w:rPr>
                <w:rStyle w:val="Refdenotaderodap"/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footnoteReference w:id="1"/>
            </w:r>
          </w:p>
          <w:p w14:paraId="68A441E1" w14:textId="77777777" w:rsidR="00813B44" w:rsidRDefault="00813B44" w:rsidP="00C86EEA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B67276A" w14:textId="16496109" w:rsidR="00813B44" w:rsidRPr="00813B44" w:rsidRDefault="00813B44" w:rsidP="00813B44">
            <w:pPr>
              <w:jc w:val="both"/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</w:pP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983348">
              <w:rPr>
                <w:rFonts w:ascii="Book Antiqua" w:eastAsia="Times New Roman" w:hAnsi="Book Antiqua" w:cs="Arial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83348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Com a ciência do indeferimento, ocorrida em 16.3.19, José promoveu protesto judicial, que constitui causa de interrupção do prazo prescricional (art. 202, II, CC).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Aqui é importante ressalvar que a legislação veda a ocorrência de mais de uma causa interruptiva (art. 8° do Decreto 20.910/32 e art. 202, </w:t>
            </w:r>
            <w:r w:rsidRPr="00813B44">
              <w:rPr>
                <w:rFonts w:ascii="Book Antiqua" w:eastAsia="Times New Roman" w:hAnsi="Book Antiqua" w:cs="Arial"/>
                <w:bCs/>
                <w:i/>
                <w:sz w:val="19"/>
                <w:szCs w:val="19"/>
                <w:lang w:eastAsia="pt-BR"/>
              </w:rPr>
              <w:t>caput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, CC), mas não impede a sucessão de causas suspensiva e interruptiva, de modo que deve ser reconhecida a medida adotada por José.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Interessante também sublinhar que a medida fora inclusive desnecessária, haja vista que, nos termos do enunciado, a entrada do requerimento administrativo se deu na data do implemento dos requisitos para a promoção (16.3.15), caracterizando, aí, a suspensão, de modo que não houve sequer o início da contagem do prazo prescricional.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Pois bem. Operada a interrupção do prazo prescrição em face da Fazenda Pública, devemos ter em mente a regra do art. 9° do Decreto 20.910/32, o qual dispõe que o reinício da contagem dar-se-á pela metade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.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Todavia, como a regra acabaria por prejudicar o credor/interessado que fosse diligente, o STF, por meio do Enunciado 383 de sua súmula, fixou o entendimento no sentido de que o prazo não fica reduzido por período inferior a 5 anos, ainda que interrompido na primeira metade do prazo, como na hipótese aqui analisada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.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Portanto, o prazo prescricional mínimo sempre será de 5 anos.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Dito isso, temos que a prescrição da pretensão do servidor somente ocorrerá em 16.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0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3.24, pois serão considerados os 5 anos (</w:t>
            </w:r>
            <w:proofErr w:type="spellStart"/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arts</w:t>
            </w:r>
            <w:proofErr w:type="spellEnd"/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. 1° e 2° do Decreto 20.910/32), a partir da causa interruptiva (protesto judicial)</w:t>
            </w:r>
            <w:r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. Portanto, s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ão duas as situações:</w:t>
            </w:r>
          </w:p>
          <w:p w14:paraId="617C8223" w14:textId="7A7EC760" w:rsidR="00813B44" w:rsidRPr="00813B44" w:rsidRDefault="00813B44" w:rsidP="00813B44">
            <w:pPr>
              <w:ind w:left="599"/>
              <w:jc w:val="both"/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</w:pPr>
            <w:r w:rsidRPr="00813B44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lang w:eastAsia="pt-BR"/>
              </w:rPr>
              <w:t>1) Interrupção antes do decurso de metade do prazo prescricional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: neste caso, o prazo prescricional, ainda que interrompido, nunca poderá, em sua totalidade, ser inferior a 5 anos, o que mitiga o privilégio da Fazenda Pública. No caso da questão, se o prazo prescricional de uma pretensão nascida em 16/03/19 fosse interrompido nesse mesmo dia, de acordo unicamente com o disposto no art. 9º do Dec. 20.910/32, a pretensão prescreveria em 16/09/21, o que, na prática, resultaria em um prazo prescricional de apenas 2 anos e meio para o particular, retirando grande parte do prazo de 5 anos que lhe foi originariamente conferido; por essa razão, conforme a súmula 383 do STF, a prescrição interrompida nos primeiros 2 anos e 6 meses não poderá voltar a correr apenas pela metade do tempo do prazo prescricional, mas por tempo suficiente para perfazer o prazo total de 5 anos. Em suma, no exemplo da questão, haja ou não hipótese de interrupção do prazo em data anterior a 16/09/21, o prazo prescricional se esvairá apenas em 16/03/24, que é quando se completa o tempo mínimo de 5 anos, a partir do nascimento da pretensão.</w:t>
            </w:r>
          </w:p>
          <w:p w14:paraId="008041B0" w14:textId="409D052A" w:rsidR="00813B44" w:rsidRPr="00813B44" w:rsidRDefault="00813B44" w:rsidP="00813B44">
            <w:pPr>
              <w:ind w:left="599"/>
              <w:jc w:val="both"/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</w:pPr>
            <w:r w:rsidRPr="00813B44">
              <w:rPr>
                <w:rFonts w:ascii="Book Antiqua" w:eastAsia="Times New Roman" w:hAnsi="Book Antiqua" w:cs="Arial"/>
                <w:b/>
                <w:iCs/>
                <w:sz w:val="19"/>
                <w:szCs w:val="19"/>
                <w:lang w:eastAsia="pt-BR"/>
              </w:rPr>
              <w:t>2) Interrupção depois do decurso de metade do prazo prescricional</w:t>
            </w:r>
            <w:r w:rsidRPr="00813B44">
              <w:rPr>
                <w:rFonts w:ascii="Book Antiqua" w:eastAsia="Times New Roman" w:hAnsi="Book Antiqua" w:cs="Arial"/>
                <w:bCs/>
                <w:iCs/>
                <w:sz w:val="19"/>
                <w:szCs w:val="19"/>
                <w:lang w:eastAsia="pt-BR"/>
              </w:rPr>
              <w:t>: neste caso, o prazo prescricional, inevitavelmente, terá mais de 5 anos, o que garante que o particular terá, no mínimo, esse tempo para exercer sua pretensão em face da Administração Pública. No exemplo da questão, se o prazo prescricional da pretensão nascida em 16/03/19 for interrompido em 16/03/23, ainda que a contagem do tempo se reinicie apenas pela metade, estará garantido o prazo prescricional mínimo de 5 anos, em observância ao contido na súmula 383 do STF; dessa forma, a prescrição somente se abaterá sobre a pretensão 2 anos e 6 meses depois da interrupção, ou seja, em 16/09/25 - data que é posterior a 16/03/24, quando se completam os 5 anos do prazo prescricional original.</w:t>
            </w:r>
          </w:p>
        </w:tc>
      </w:tr>
    </w:tbl>
    <w:p w14:paraId="54361915" w14:textId="77777777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        Art. 10. O disposto nos artigos anteriores não altera as prescrições de menor prazo, constantes das leis e regulamentos, as quais ficam subordinadas às mesmas regras. </w:t>
      </w:r>
    </w:p>
    <w:p w14:paraId="3A6D2F85" w14:textId="77777777" w:rsidR="00DD46BE" w:rsidRPr="00983348" w:rsidRDefault="00DD46BE" w:rsidP="005258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Art. 11. Revogam-se as disposições em contrário. </w:t>
      </w:r>
    </w:p>
    <w:p w14:paraId="09C4C295" w14:textId="77777777" w:rsidR="00DD46BE" w:rsidRPr="00983348" w:rsidRDefault="00DD46BE" w:rsidP="00DD46B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 xml:space="preserve">Rio de Janeiro, 6 de janeiro de 1932, 111º da Independência e 44º da República. </w:t>
      </w:r>
    </w:p>
    <w:p w14:paraId="5C69899F" w14:textId="77777777" w:rsidR="00DD46BE" w:rsidRPr="00983348" w:rsidRDefault="00DD46BE" w:rsidP="00DD46B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t>GETULIO VARGAS.</w:t>
      </w:r>
      <w:r w:rsidRPr="0098334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983348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983348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 xml:space="preserve">Oswaldo Aranha. </w:t>
      </w:r>
    </w:p>
    <w:p w14:paraId="57D17B24" w14:textId="77777777" w:rsidR="00DD46BE" w:rsidRPr="00983348" w:rsidRDefault="00DD46BE" w:rsidP="00DD46B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8334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8.1.1932</w:t>
      </w:r>
    </w:p>
    <w:p w14:paraId="1A6E00E0" w14:textId="77777777" w:rsidR="0042164B" w:rsidRPr="002126AF" w:rsidRDefault="0042164B">
      <w:pPr>
        <w:rPr>
          <w:rFonts w:ascii="Book Antiqua" w:hAnsi="Book Antiqua"/>
          <w:sz w:val="20"/>
          <w:szCs w:val="20"/>
        </w:rPr>
      </w:pPr>
    </w:p>
    <w:sectPr w:rsidR="0042164B" w:rsidRPr="002126AF" w:rsidSect="005154F9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4F8F5" w14:textId="77777777" w:rsidR="00C05752" w:rsidRDefault="00C05752" w:rsidP="0052585A">
      <w:pPr>
        <w:spacing w:after="0" w:line="240" w:lineRule="auto"/>
      </w:pPr>
      <w:r>
        <w:separator/>
      </w:r>
    </w:p>
  </w:endnote>
  <w:endnote w:type="continuationSeparator" w:id="0">
    <w:p w14:paraId="4D0348C0" w14:textId="77777777" w:rsidR="00C05752" w:rsidRDefault="00C05752" w:rsidP="0052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70D8" w14:textId="77777777" w:rsidR="00C05752" w:rsidRDefault="00C05752" w:rsidP="0052585A">
      <w:pPr>
        <w:spacing w:after="0" w:line="240" w:lineRule="auto"/>
      </w:pPr>
      <w:r>
        <w:separator/>
      </w:r>
    </w:p>
  </w:footnote>
  <w:footnote w:type="continuationSeparator" w:id="0">
    <w:p w14:paraId="4F55DA79" w14:textId="77777777" w:rsidR="00C05752" w:rsidRDefault="00C05752" w:rsidP="0052585A">
      <w:pPr>
        <w:spacing w:after="0" w:line="240" w:lineRule="auto"/>
      </w:pPr>
      <w:r>
        <w:continuationSeparator/>
      </w:r>
    </w:p>
  </w:footnote>
  <w:footnote w:id="1">
    <w:p w14:paraId="360ADAEC" w14:textId="2758913E" w:rsidR="00813B44" w:rsidRPr="00813B44" w:rsidRDefault="00813B44" w:rsidP="00813B44">
      <w:pPr>
        <w:pStyle w:val="Textodenotaderodap"/>
        <w:jc w:val="both"/>
        <w:rPr>
          <w:rFonts w:ascii="Book Antiqua" w:hAnsi="Book Antiqua"/>
        </w:rPr>
      </w:pPr>
      <w:r w:rsidRPr="00813B44">
        <w:rPr>
          <w:rStyle w:val="Refdenotaderodap"/>
          <w:rFonts w:ascii="Book Antiqua" w:hAnsi="Book Antiqua"/>
          <w:sz w:val="18"/>
          <w:szCs w:val="18"/>
        </w:rPr>
        <w:footnoteRef/>
      </w:r>
      <w:r w:rsidRPr="00813B44">
        <w:rPr>
          <w:rFonts w:ascii="Book Antiqua" w:hAnsi="Book Antiqua"/>
          <w:sz w:val="18"/>
          <w:szCs w:val="18"/>
        </w:rPr>
        <w:t xml:space="preserve"> Súmula 383-STF: A prescrição em favor da Fazenda Pública recomeça a correr, por dois anos e meio, a partir do ato interruptivo, mas não fica reduzida aquém de cinco anos, embora o titular do direito a interrompa durante a primeira metade do prazo.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4DEE2A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3634F"/>
    <w:multiLevelType w:val="hybridMultilevel"/>
    <w:tmpl w:val="558892C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920590">
    <w:abstractNumId w:val="1"/>
  </w:num>
  <w:num w:numId="2" w16cid:durableId="1638875598">
    <w:abstractNumId w:val="3"/>
  </w:num>
  <w:num w:numId="3" w16cid:durableId="1900046352">
    <w:abstractNumId w:val="2"/>
  </w:num>
  <w:num w:numId="4" w16cid:durableId="53034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88"/>
    <w:rsid w:val="00002AC7"/>
    <w:rsid w:val="00021F58"/>
    <w:rsid w:val="00037C11"/>
    <w:rsid w:val="00063872"/>
    <w:rsid w:val="00067554"/>
    <w:rsid w:val="00081585"/>
    <w:rsid w:val="000875DB"/>
    <w:rsid w:val="000A2361"/>
    <w:rsid w:val="000A2A35"/>
    <w:rsid w:val="000F09A5"/>
    <w:rsid w:val="000F231A"/>
    <w:rsid w:val="000F4C05"/>
    <w:rsid w:val="001103B6"/>
    <w:rsid w:val="00121463"/>
    <w:rsid w:val="00132FDD"/>
    <w:rsid w:val="00135659"/>
    <w:rsid w:val="00136D51"/>
    <w:rsid w:val="00141ADF"/>
    <w:rsid w:val="001653BB"/>
    <w:rsid w:val="00173789"/>
    <w:rsid w:val="00195130"/>
    <w:rsid w:val="001A6A22"/>
    <w:rsid w:val="001B06FC"/>
    <w:rsid w:val="001C4FE5"/>
    <w:rsid w:val="001E1000"/>
    <w:rsid w:val="001E3BBF"/>
    <w:rsid w:val="001F1694"/>
    <w:rsid w:val="001F7DD1"/>
    <w:rsid w:val="0020166F"/>
    <w:rsid w:val="002126AF"/>
    <w:rsid w:val="002263A9"/>
    <w:rsid w:val="0023109B"/>
    <w:rsid w:val="0023657B"/>
    <w:rsid w:val="00241CB1"/>
    <w:rsid w:val="002455C2"/>
    <w:rsid w:val="002541C7"/>
    <w:rsid w:val="00261412"/>
    <w:rsid w:val="0027518D"/>
    <w:rsid w:val="00294CCF"/>
    <w:rsid w:val="00297AB4"/>
    <w:rsid w:val="002A4EE4"/>
    <w:rsid w:val="002C219B"/>
    <w:rsid w:val="002C54CF"/>
    <w:rsid w:val="002D1550"/>
    <w:rsid w:val="00302D00"/>
    <w:rsid w:val="003039C9"/>
    <w:rsid w:val="00307ACE"/>
    <w:rsid w:val="00330976"/>
    <w:rsid w:val="00332817"/>
    <w:rsid w:val="003350D1"/>
    <w:rsid w:val="00346640"/>
    <w:rsid w:val="00350365"/>
    <w:rsid w:val="00352946"/>
    <w:rsid w:val="00353135"/>
    <w:rsid w:val="00363A04"/>
    <w:rsid w:val="0037099E"/>
    <w:rsid w:val="003822D9"/>
    <w:rsid w:val="00390E2E"/>
    <w:rsid w:val="0039334A"/>
    <w:rsid w:val="00393E7A"/>
    <w:rsid w:val="003C489A"/>
    <w:rsid w:val="003D2280"/>
    <w:rsid w:val="003E5A1E"/>
    <w:rsid w:val="003F026E"/>
    <w:rsid w:val="003F65F2"/>
    <w:rsid w:val="003F7AB8"/>
    <w:rsid w:val="0040238B"/>
    <w:rsid w:val="004027CE"/>
    <w:rsid w:val="00403D01"/>
    <w:rsid w:val="0040774F"/>
    <w:rsid w:val="00407C23"/>
    <w:rsid w:val="0041374B"/>
    <w:rsid w:val="00416F18"/>
    <w:rsid w:val="004177F8"/>
    <w:rsid w:val="00421108"/>
    <w:rsid w:val="0042164B"/>
    <w:rsid w:val="00423F1C"/>
    <w:rsid w:val="004266D7"/>
    <w:rsid w:val="0046443D"/>
    <w:rsid w:val="00466D16"/>
    <w:rsid w:val="004B3D46"/>
    <w:rsid w:val="004C7B5B"/>
    <w:rsid w:val="004D2D54"/>
    <w:rsid w:val="00505C6A"/>
    <w:rsid w:val="005154F9"/>
    <w:rsid w:val="0052585A"/>
    <w:rsid w:val="005270B1"/>
    <w:rsid w:val="00531481"/>
    <w:rsid w:val="0053235D"/>
    <w:rsid w:val="005446B7"/>
    <w:rsid w:val="00564771"/>
    <w:rsid w:val="00564AC8"/>
    <w:rsid w:val="0056698B"/>
    <w:rsid w:val="00574001"/>
    <w:rsid w:val="005A4F08"/>
    <w:rsid w:val="005A7188"/>
    <w:rsid w:val="005D3B95"/>
    <w:rsid w:val="005D45A3"/>
    <w:rsid w:val="005E0EBA"/>
    <w:rsid w:val="005F373F"/>
    <w:rsid w:val="005F6EB0"/>
    <w:rsid w:val="00603A5D"/>
    <w:rsid w:val="00604EC9"/>
    <w:rsid w:val="00647AA2"/>
    <w:rsid w:val="0069581A"/>
    <w:rsid w:val="006A0A5D"/>
    <w:rsid w:val="006B6CCD"/>
    <w:rsid w:val="006D4726"/>
    <w:rsid w:val="006D5E83"/>
    <w:rsid w:val="006F0B53"/>
    <w:rsid w:val="007064CB"/>
    <w:rsid w:val="007115BF"/>
    <w:rsid w:val="00724098"/>
    <w:rsid w:val="00727D8C"/>
    <w:rsid w:val="00730500"/>
    <w:rsid w:val="00745F39"/>
    <w:rsid w:val="00762BFE"/>
    <w:rsid w:val="007704F5"/>
    <w:rsid w:val="00771E7A"/>
    <w:rsid w:val="007738A5"/>
    <w:rsid w:val="00776E6E"/>
    <w:rsid w:val="00786235"/>
    <w:rsid w:val="007931EF"/>
    <w:rsid w:val="007958F0"/>
    <w:rsid w:val="007A680B"/>
    <w:rsid w:val="00804BCD"/>
    <w:rsid w:val="00805E95"/>
    <w:rsid w:val="00813B44"/>
    <w:rsid w:val="0083118C"/>
    <w:rsid w:val="008358B5"/>
    <w:rsid w:val="008554EC"/>
    <w:rsid w:val="008632D9"/>
    <w:rsid w:val="0087590F"/>
    <w:rsid w:val="00885D45"/>
    <w:rsid w:val="00895B85"/>
    <w:rsid w:val="008E4212"/>
    <w:rsid w:val="008F3C22"/>
    <w:rsid w:val="0090672A"/>
    <w:rsid w:val="009077CA"/>
    <w:rsid w:val="00907DFA"/>
    <w:rsid w:val="00911F69"/>
    <w:rsid w:val="00931AD0"/>
    <w:rsid w:val="00965C0D"/>
    <w:rsid w:val="00983348"/>
    <w:rsid w:val="0098603A"/>
    <w:rsid w:val="00990BA4"/>
    <w:rsid w:val="009A40D6"/>
    <w:rsid w:val="009B0158"/>
    <w:rsid w:val="009C0BA1"/>
    <w:rsid w:val="009E0986"/>
    <w:rsid w:val="009E10A3"/>
    <w:rsid w:val="009E26E6"/>
    <w:rsid w:val="009E67CE"/>
    <w:rsid w:val="009F6C9B"/>
    <w:rsid w:val="00A010B0"/>
    <w:rsid w:val="00A057B6"/>
    <w:rsid w:val="00A0789F"/>
    <w:rsid w:val="00A10638"/>
    <w:rsid w:val="00A1133E"/>
    <w:rsid w:val="00A146D3"/>
    <w:rsid w:val="00A16121"/>
    <w:rsid w:val="00A2047B"/>
    <w:rsid w:val="00A54405"/>
    <w:rsid w:val="00A6693C"/>
    <w:rsid w:val="00A90C5C"/>
    <w:rsid w:val="00A90E9A"/>
    <w:rsid w:val="00AA7975"/>
    <w:rsid w:val="00AC1D68"/>
    <w:rsid w:val="00AD4FC3"/>
    <w:rsid w:val="00B278B2"/>
    <w:rsid w:val="00B34882"/>
    <w:rsid w:val="00B3496A"/>
    <w:rsid w:val="00B674CF"/>
    <w:rsid w:val="00B83C38"/>
    <w:rsid w:val="00B90D40"/>
    <w:rsid w:val="00BB0391"/>
    <w:rsid w:val="00BD19F6"/>
    <w:rsid w:val="00BD4710"/>
    <w:rsid w:val="00BD560E"/>
    <w:rsid w:val="00BE35B7"/>
    <w:rsid w:val="00BF2DF0"/>
    <w:rsid w:val="00C05752"/>
    <w:rsid w:val="00C179A2"/>
    <w:rsid w:val="00C267A9"/>
    <w:rsid w:val="00C51DF4"/>
    <w:rsid w:val="00C96BAC"/>
    <w:rsid w:val="00CB2394"/>
    <w:rsid w:val="00CB605F"/>
    <w:rsid w:val="00CC2D79"/>
    <w:rsid w:val="00CD168C"/>
    <w:rsid w:val="00CE5BB5"/>
    <w:rsid w:val="00CF61B0"/>
    <w:rsid w:val="00D00B5B"/>
    <w:rsid w:val="00D02773"/>
    <w:rsid w:val="00D02E01"/>
    <w:rsid w:val="00D03B6B"/>
    <w:rsid w:val="00D067AB"/>
    <w:rsid w:val="00D14CE7"/>
    <w:rsid w:val="00D23038"/>
    <w:rsid w:val="00D32BB2"/>
    <w:rsid w:val="00D475F8"/>
    <w:rsid w:val="00D62D5D"/>
    <w:rsid w:val="00D73C73"/>
    <w:rsid w:val="00D81DAC"/>
    <w:rsid w:val="00D8789A"/>
    <w:rsid w:val="00D95A47"/>
    <w:rsid w:val="00D96859"/>
    <w:rsid w:val="00DB24A4"/>
    <w:rsid w:val="00DC2C55"/>
    <w:rsid w:val="00DC3920"/>
    <w:rsid w:val="00DC62D2"/>
    <w:rsid w:val="00DC632C"/>
    <w:rsid w:val="00DD0099"/>
    <w:rsid w:val="00DD36D9"/>
    <w:rsid w:val="00DD46BE"/>
    <w:rsid w:val="00DE2683"/>
    <w:rsid w:val="00DF62FB"/>
    <w:rsid w:val="00E02388"/>
    <w:rsid w:val="00E02AC2"/>
    <w:rsid w:val="00E044E6"/>
    <w:rsid w:val="00E1121F"/>
    <w:rsid w:val="00E14188"/>
    <w:rsid w:val="00E321D4"/>
    <w:rsid w:val="00E3489C"/>
    <w:rsid w:val="00E537DE"/>
    <w:rsid w:val="00E55BC1"/>
    <w:rsid w:val="00E61198"/>
    <w:rsid w:val="00E67179"/>
    <w:rsid w:val="00E7482D"/>
    <w:rsid w:val="00E80990"/>
    <w:rsid w:val="00E82474"/>
    <w:rsid w:val="00E853C4"/>
    <w:rsid w:val="00E94597"/>
    <w:rsid w:val="00EB33BB"/>
    <w:rsid w:val="00EC5438"/>
    <w:rsid w:val="00ED2610"/>
    <w:rsid w:val="00EE016F"/>
    <w:rsid w:val="00EF4BA5"/>
    <w:rsid w:val="00F11362"/>
    <w:rsid w:val="00F14306"/>
    <w:rsid w:val="00F15ED8"/>
    <w:rsid w:val="00F33775"/>
    <w:rsid w:val="00F427EB"/>
    <w:rsid w:val="00F63457"/>
    <w:rsid w:val="00F67692"/>
    <w:rsid w:val="00F87584"/>
    <w:rsid w:val="00F9002A"/>
    <w:rsid w:val="00F90E3C"/>
    <w:rsid w:val="00FA7B7B"/>
    <w:rsid w:val="00FC668F"/>
    <w:rsid w:val="00FE2551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84352"/>
  <w15:chartTrackingRefBased/>
  <w15:docId w15:val="{471F21B1-A210-444F-860A-395CBB05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258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585A"/>
  </w:style>
  <w:style w:type="paragraph" w:styleId="Rodap">
    <w:name w:val="footer"/>
    <w:basedOn w:val="Normal"/>
    <w:link w:val="RodapChar"/>
    <w:uiPriority w:val="99"/>
    <w:unhideWhenUsed/>
    <w:rsid w:val="005258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585A"/>
  </w:style>
  <w:style w:type="table" w:styleId="Tabelacomgrade">
    <w:name w:val="Table Grid"/>
    <w:basedOn w:val="Tabelanormal"/>
    <w:uiPriority w:val="39"/>
    <w:rsid w:val="0021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373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103B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14306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13B4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13B4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13B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dec%2020.910-1932?OpenDocu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FD755-A709-4AFE-B9D7-A10D42A83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3504</Words>
  <Characters>18927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104</cp:revision>
  <dcterms:created xsi:type="dcterms:W3CDTF">2015-05-02T19:07:00Z</dcterms:created>
  <dcterms:modified xsi:type="dcterms:W3CDTF">2025-07-21T21:11:00Z</dcterms:modified>
</cp:coreProperties>
</file>