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852C" w14:textId="77777777" w:rsidR="000C6E41" w:rsidRPr="00741250" w:rsidRDefault="00140C44" w:rsidP="000C6E41">
      <w:pPr>
        <w:tabs>
          <w:tab w:val="left" w:pos="851"/>
        </w:tabs>
        <w:spacing w:before="100" w:beforeAutospacing="1" w:after="100" w:afterAutospacing="1" w:line="240" w:lineRule="auto"/>
        <w:ind w:right="-568"/>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b/>
          <w:bCs/>
          <w:sz w:val="19"/>
          <w:szCs w:val="19"/>
          <w:u w:val="single"/>
          <w:lang w:eastAsia="pt-BR"/>
        </w:rPr>
        <w:t xml:space="preserve">LEI DE BIOSSEGURANÇA – </w:t>
      </w:r>
      <w:bookmarkStart w:id="0" w:name="_Hlk40197305"/>
      <w:r w:rsidRPr="00741250">
        <w:rPr>
          <w:rFonts w:ascii="Book Antiqua" w:eastAsia="Times New Roman" w:hAnsi="Book Antiqua" w:cs="Times New Roman"/>
          <w:b/>
          <w:bCs/>
          <w:sz w:val="19"/>
          <w:szCs w:val="19"/>
          <w:u w:val="single"/>
          <w:lang w:eastAsia="pt-BR"/>
        </w:rPr>
        <w:t>Lei 11.105</w:t>
      </w:r>
      <w:bookmarkEnd w:id="0"/>
      <w:r w:rsidRPr="00741250">
        <w:rPr>
          <w:rFonts w:ascii="Book Antiqua" w:eastAsia="Times New Roman" w:hAnsi="Book Antiqua" w:cs="Times New Roman"/>
          <w:b/>
          <w:bCs/>
          <w:sz w:val="19"/>
          <w:szCs w:val="19"/>
          <w:u w:val="single"/>
          <w:lang w:eastAsia="pt-BR"/>
        </w:rPr>
        <w:t>/2005</w:t>
      </w:r>
    </w:p>
    <w:p w14:paraId="55389CC2" w14:textId="77777777" w:rsidR="000C6E41" w:rsidRPr="00741250" w:rsidRDefault="000C6E41" w:rsidP="000C6E41">
      <w:pPr>
        <w:jc w:val="center"/>
        <w:rPr>
          <w:rFonts w:ascii="Book Antiqua" w:hAnsi="Book Antiqua" w:cs="Times New Roman"/>
          <w:b/>
          <w:sz w:val="19"/>
          <w:szCs w:val="19"/>
        </w:rPr>
      </w:pPr>
      <w:r w:rsidRPr="00741250">
        <w:rPr>
          <w:rFonts w:ascii="Book Antiqua" w:hAnsi="Book Antiqua" w:cs="Times New Roman"/>
          <w:b/>
          <w:sz w:val="19"/>
          <w:szCs w:val="19"/>
        </w:rPr>
        <w:t>MATERIAL COM QUESTÕES DE CONCURSO e ALGUMAS REFERÊNCIAS À SÚMULAS E JULGADOS DOS TRIBUNAIS SUPERIORES</w:t>
      </w:r>
    </w:p>
    <w:p w14:paraId="77E2AC05" w14:textId="77777777" w:rsidR="000C6E41" w:rsidRPr="00741250" w:rsidRDefault="00F525B5" w:rsidP="000C6E41">
      <w:pPr>
        <w:jc w:val="center"/>
        <w:rPr>
          <w:rFonts w:ascii="Book Antiqua" w:hAnsi="Book Antiqua" w:cs="Times New Roman"/>
          <w:b/>
          <w:color w:val="FF0000"/>
          <w:sz w:val="19"/>
          <w:szCs w:val="19"/>
        </w:rPr>
      </w:pPr>
      <w:r w:rsidRPr="00741250">
        <w:rPr>
          <w:rFonts w:ascii="Book Antiqua" w:hAnsi="Book Antiqua" w:cs="Times New Roman"/>
          <w:b/>
          <w:color w:val="FF0000"/>
          <w:sz w:val="19"/>
          <w:szCs w:val="19"/>
        </w:rPr>
        <w:t>Material Confeccionado por</w:t>
      </w:r>
      <w:r w:rsidR="000C6E41" w:rsidRPr="00741250">
        <w:rPr>
          <w:rFonts w:ascii="Book Antiqua" w:hAnsi="Book Antiqua" w:cs="Times New Roman"/>
          <w:b/>
          <w:color w:val="FF0000"/>
          <w:sz w:val="19"/>
          <w:szCs w:val="19"/>
        </w:rPr>
        <w:t xml:space="preserve">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C6E41" w:rsidRPr="00A90F3A" w14:paraId="78D1E5B7" w14:textId="77777777" w:rsidTr="00A90F3A">
        <w:trPr>
          <w:trHeight w:val="3482"/>
        </w:trPr>
        <w:tc>
          <w:tcPr>
            <w:tcW w:w="8734" w:type="dxa"/>
            <w:shd w:val="clear" w:color="auto" w:fill="E7E6E6" w:themeFill="background2"/>
          </w:tcPr>
          <w:p w14:paraId="4DEE2B16" w14:textId="77777777"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Última atualização legislativa</w:t>
            </w:r>
            <w:r w:rsidRPr="00A90F3A">
              <w:rPr>
                <w:rFonts w:ascii="Book Antiqua" w:eastAsia="Times New Roman" w:hAnsi="Book Antiqua" w:cs="Times New Roman"/>
                <w:b/>
                <w:sz w:val="18"/>
                <w:szCs w:val="18"/>
                <w:lang w:eastAsia="pt-BR"/>
              </w:rPr>
              <w:t xml:space="preserve">: </w:t>
            </w:r>
          </w:p>
          <w:p w14:paraId="44F7BACA" w14:textId="77777777" w:rsidR="000C6E41" w:rsidRPr="00A90F3A" w:rsidRDefault="000C6E41" w:rsidP="00FA0049">
            <w:pPr>
              <w:jc w:val="both"/>
              <w:rPr>
                <w:rFonts w:ascii="Book Antiqua" w:eastAsia="Times New Roman" w:hAnsi="Book Antiqua" w:cs="Times New Roman"/>
                <w:b/>
                <w:sz w:val="18"/>
                <w:szCs w:val="18"/>
                <w:lang w:eastAsia="pt-BR"/>
              </w:rPr>
            </w:pPr>
          </w:p>
          <w:p w14:paraId="6EC5C261" w14:textId="79455D55"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Última atualização questões de concurso</w:t>
            </w:r>
            <w:r w:rsidRPr="00A90F3A">
              <w:rPr>
                <w:rFonts w:ascii="Book Antiqua" w:eastAsia="Times New Roman" w:hAnsi="Book Antiqua" w:cs="Times New Roman"/>
                <w:b/>
                <w:sz w:val="18"/>
                <w:szCs w:val="18"/>
                <w:lang w:eastAsia="pt-BR"/>
              </w:rPr>
              <w:t xml:space="preserve">: </w:t>
            </w:r>
            <w:r w:rsidR="00E44BF0">
              <w:rPr>
                <w:rFonts w:ascii="Book Antiqua" w:eastAsia="Times New Roman" w:hAnsi="Book Antiqua" w:cs="Times New Roman"/>
                <w:b/>
                <w:color w:val="FF0000"/>
                <w:sz w:val="18"/>
                <w:szCs w:val="18"/>
                <w:lang w:eastAsia="pt-BR"/>
              </w:rPr>
              <w:t>04/02/2026</w:t>
            </w:r>
            <w:r w:rsidRPr="00A90F3A">
              <w:rPr>
                <w:rFonts w:ascii="Book Antiqua" w:eastAsia="Times New Roman" w:hAnsi="Book Antiqua" w:cs="Times New Roman"/>
                <w:b/>
                <w:color w:val="FF0000"/>
                <w:sz w:val="18"/>
                <w:szCs w:val="18"/>
                <w:lang w:eastAsia="pt-BR"/>
              </w:rPr>
              <w:t>.</w:t>
            </w:r>
          </w:p>
          <w:p w14:paraId="33BEEBC4" w14:textId="77777777" w:rsidR="000C6E41" w:rsidRPr="00A90F3A" w:rsidRDefault="000C6E41" w:rsidP="00FA0049">
            <w:pPr>
              <w:jc w:val="both"/>
              <w:rPr>
                <w:rFonts w:ascii="Book Antiqua" w:eastAsia="Times New Roman" w:hAnsi="Book Antiqua" w:cs="Times New Roman"/>
                <w:b/>
                <w:sz w:val="18"/>
                <w:szCs w:val="18"/>
                <w:lang w:eastAsia="pt-BR"/>
              </w:rPr>
            </w:pPr>
          </w:p>
          <w:p w14:paraId="3E6780AA" w14:textId="77777777"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90F3A">
              <w:rPr>
                <w:rFonts w:ascii="Book Antiqua" w:eastAsia="Times New Roman" w:hAnsi="Book Antiqua" w:cs="Times New Roman"/>
                <w:b/>
                <w:sz w:val="18"/>
                <w:szCs w:val="18"/>
                <w:lang w:eastAsia="pt-BR"/>
              </w:rPr>
              <w:t>:</w:t>
            </w:r>
          </w:p>
          <w:p w14:paraId="23BFD805" w14:textId="77777777" w:rsidR="000C6E41" w:rsidRPr="00A90F3A" w:rsidRDefault="000C6E41" w:rsidP="00FA0049">
            <w:pPr>
              <w:pStyle w:val="PargrafodaLista"/>
              <w:numPr>
                <w:ilvl w:val="0"/>
                <w:numId w:val="2"/>
              </w:num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0000"/>
                <w:sz w:val="18"/>
                <w:szCs w:val="18"/>
                <w:lang w:eastAsia="pt-BR"/>
              </w:rPr>
              <w:t>Cores utilizadas</w:t>
            </w:r>
            <w:r w:rsidRPr="00A90F3A">
              <w:rPr>
                <w:rFonts w:ascii="Book Antiqua" w:eastAsia="Times New Roman" w:hAnsi="Book Antiqua" w:cs="Times New Roman"/>
                <w:b/>
                <w:sz w:val="18"/>
                <w:szCs w:val="18"/>
                <w:lang w:eastAsia="pt-BR"/>
              </w:rPr>
              <w:t>:</w:t>
            </w:r>
          </w:p>
          <w:p w14:paraId="11CEFEA0"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green"/>
                <w:lang w:eastAsia="pt-BR"/>
              </w:rPr>
              <w:t>EM VERDE</w:t>
            </w:r>
            <w:r w:rsidRPr="00A90F3A">
              <w:rPr>
                <w:rFonts w:ascii="Book Antiqua" w:eastAsia="Times New Roman" w:hAnsi="Book Antiqua" w:cs="Times New Roman"/>
                <w:sz w:val="18"/>
                <w:szCs w:val="18"/>
                <w:lang w:eastAsia="pt-BR"/>
              </w:rPr>
              <w:t>: destaque aos títulos, capítulos, bem como outras informações relevantes, etc.</w:t>
            </w:r>
          </w:p>
          <w:p w14:paraId="4D0B0C8D"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magenta"/>
                <w:lang w:eastAsia="pt-BR"/>
              </w:rPr>
              <w:t>EM ROXO</w:t>
            </w:r>
            <w:r w:rsidRPr="00A90F3A">
              <w:rPr>
                <w:rFonts w:ascii="Book Antiqua" w:eastAsia="Times New Roman" w:hAnsi="Book Antiqua" w:cs="Times New Roman"/>
                <w:sz w:val="18"/>
                <w:szCs w:val="18"/>
                <w:lang w:eastAsia="pt-BR"/>
              </w:rPr>
              <w:t>: artigos que já foram cobrados em provas de concurso.</w:t>
            </w:r>
          </w:p>
          <w:p w14:paraId="3BED618D"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cyan"/>
                <w:lang w:eastAsia="pt-BR"/>
              </w:rPr>
              <w:t>EM AZUL</w:t>
            </w:r>
            <w:r w:rsidRPr="00A90F3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de Biossegurança).</w:t>
            </w:r>
          </w:p>
          <w:p w14:paraId="1CC44062"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yellow"/>
                <w:lang w:eastAsia="pt-BR"/>
              </w:rPr>
              <w:t>EM AMARELO</w:t>
            </w:r>
            <w:r w:rsidRPr="00A90F3A">
              <w:rPr>
                <w:rFonts w:ascii="Book Antiqua" w:eastAsia="Times New Roman" w:hAnsi="Book Antiqua" w:cs="Times New Roman"/>
                <w:sz w:val="18"/>
                <w:szCs w:val="18"/>
                <w:lang w:eastAsia="pt-BR"/>
              </w:rPr>
              <w:t>: destaques importantes (ex.: critério pessoal)</w:t>
            </w:r>
          </w:p>
          <w:p w14:paraId="2FE6A121" w14:textId="77777777" w:rsidR="000C6E41" w:rsidRPr="00A90F3A" w:rsidRDefault="000C6E41" w:rsidP="00FA0049">
            <w:pPr>
              <w:jc w:val="both"/>
              <w:rPr>
                <w:rFonts w:ascii="Book Antiqua" w:eastAsia="Times New Roman" w:hAnsi="Book Antiqua" w:cs="Times New Roman"/>
                <w:sz w:val="18"/>
                <w:szCs w:val="18"/>
                <w:lang w:eastAsia="pt-BR"/>
              </w:rPr>
            </w:pPr>
          </w:p>
          <w:p w14:paraId="3DC04B4D" w14:textId="77777777" w:rsidR="000C6E41" w:rsidRPr="00A90F3A" w:rsidRDefault="000C6E41" w:rsidP="00FA0049">
            <w:pPr>
              <w:pStyle w:val="PargrafodaLista"/>
              <w:numPr>
                <w:ilvl w:val="0"/>
                <w:numId w:val="2"/>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color w:val="FF0000"/>
                <w:sz w:val="18"/>
                <w:szCs w:val="18"/>
                <w:lang w:eastAsia="pt-BR"/>
              </w:rPr>
              <w:t>Siglas utilizadas</w:t>
            </w:r>
            <w:r w:rsidRPr="00A90F3A">
              <w:rPr>
                <w:rFonts w:ascii="Book Antiqua" w:eastAsia="Times New Roman" w:hAnsi="Book Antiqua" w:cs="Times New Roman"/>
                <w:sz w:val="18"/>
                <w:szCs w:val="18"/>
                <w:lang w:eastAsia="pt-BR"/>
              </w:rPr>
              <w:t>:</w:t>
            </w:r>
          </w:p>
          <w:p w14:paraId="15159A6C" w14:textId="77777777" w:rsidR="000C6E41" w:rsidRPr="00A90F3A" w:rsidRDefault="000C6E41" w:rsidP="00FA0049">
            <w:pPr>
              <w:pStyle w:val="PargrafodaLista"/>
              <w:numPr>
                <w:ilvl w:val="0"/>
                <w:numId w:val="3"/>
              </w:numPr>
              <w:jc w:val="both"/>
              <w:rPr>
                <w:rFonts w:ascii="Book Antiqua" w:eastAsia="Times New Roman" w:hAnsi="Book Antiqua" w:cs="Times New Roman"/>
                <w:sz w:val="20"/>
                <w:szCs w:val="20"/>
                <w:lang w:eastAsia="pt-BR"/>
              </w:rPr>
            </w:pPr>
            <w:r w:rsidRPr="00A90F3A">
              <w:rPr>
                <w:rFonts w:ascii="Book Antiqua" w:eastAsia="Times New Roman" w:hAnsi="Book Antiqua" w:cs="Times New Roman"/>
                <w:b/>
                <w:sz w:val="18"/>
                <w:szCs w:val="18"/>
                <w:lang w:eastAsia="pt-BR"/>
              </w:rPr>
              <w:t>MP (concursos do Ministério Público); M ou TJMG (concursos da Magistratura); BL (base legal, etc.</w:t>
            </w:r>
          </w:p>
        </w:tc>
      </w:tr>
    </w:tbl>
    <w:p w14:paraId="27669E6F" w14:textId="77777777" w:rsidR="00A301F0" w:rsidRPr="00A90F3A" w:rsidRDefault="00A301F0" w:rsidP="00A301F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90F3A">
          <w:rPr>
            <w:rFonts w:ascii="Book Antiqua" w:eastAsia="Times New Roman" w:hAnsi="Book Antiqua" w:cs="Times New Roman"/>
            <w:b/>
            <w:bCs/>
            <w:color w:val="000080"/>
            <w:sz w:val="20"/>
            <w:szCs w:val="20"/>
            <w:u w:val="single"/>
            <w:lang w:eastAsia="pt-BR"/>
          </w:rPr>
          <w:t>LEI Nº 11.105, DE 24 DE MARÇO DE 2005.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301F0" w:rsidRPr="00A90F3A" w14:paraId="00DD93F1" w14:textId="77777777" w:rsidTr="00A90F3A">
        <w:trPr>
          <w:trHeight w:val="285"/>
          <w:tblCellSpacing w:w="0" w:type="dxa"/>
        </w:trPr>
        <w:tc>
          <w:tcPr>
            <w:tcW w:w="1333" w:type="pct"/>
            <w:vAlign w:val="center"/>
            <w:hideMark/>
          </w:tcPr>
          <w:p w14:paraId="26D8D308" w14:textId="7DC7C243" w:rsidR="00A301F0" w:rsidRPr="002A1270" w:rsidRDefault="00A301F0" w:rsidP="00A301F0">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6724910D" w14:textId="1251CE35" w:rsidR="00A301F0" w:rsidRPr="00595623" w:rsidRDefault="00A301F0" w:rsidP="00A301F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A1270">
              <w:rPr>
                <w:rFonts w:ascii="Book Antiqua" w:eastAsia="Times New Roman" w:hAnsi="Book Antiqua" w:cs="Times New Roman"/>
                <w:b/>
                <w:bCs/>
                <w:color w:val="800000"/>
                <w:sz w:val="18"/>
                <w:szCs w:val="18"/>
                <w:highlight w:val="yellow"/>
                <w:lang w:eastAsia="pt-BR"/>
              </w:rPr>
              <w:t>Regulamenta os incisos II, IV e V do § 1</w:t>
            </w:r>
            <w:r w:rsidRPr="002A1270">
              <w:rPr>
                <w:rFonts w:ascii="Book Antiqua" w:eastAsia="Times New Roman" w:hAnsi="Book Antiqua" w:cs="Times New Roman"/>
                <w:b/>
                <w:bCs/>
                <w:color w:val="800000"/>
                <w:sz w:val="18"/>
                <w:szCs w:val="18"/>
                <w:highlight w:val="yellow"/>
                <w:u w:val="single"/>
                <w:vertAlign w:val="superscript"/>
                <w:lang w:eastAsia="pt-BR"/>
              </w:rPr>
              <w:t>o</w:t>
            </w:r>
            <w:r w:rsidRPr="002A1270">
              <w:rPr>
                <w:rFonts w:ascii="Book Antiqua" w:eastAsia="Times New Roman" w:hAnsi="Book Antiqua" w:cs="Times New Roman"/>
                <w:b/>
                <w:bCs/>
                <w:color w:val="800000"/>
                <w:sz w:val="18"/>
                <w:szCs w:val="18"/>
                <w:highlight w:val="yellow"/>
                <w:lang w:eastAsia="pt-BR"/>
              </w:rPr>
              <w:t xml:space="preserve"> do art. 225 da Constituição Federal</w:t>
            </w:r>
            <w:r w:rsidRPr="002A1270">
              <w:rPr>
                <w:rFonts w:ascii="Book Antiqua" w:eastAsia="Times New Roman" w:hAnsi="Book Antiqua" w:cs="Times New Roman"/>
                <w:color w:val="800000"/>
                <w:sz w:val="18"/>
                <w:szCs w:val="18"/>
                <w:lang w:eastAsia="pt-BR"/>
              </w:rPr>
              <w:t>, estabelece normas de segurança e mecanismos de fiscalização de atividades que envolvam organismos geneticamente modificados – OGM e seus derivados, cria o Conselho Nacional de Biossegurança – CNBS, reestrutura a Comissão Técnica Nacional de Biossegurança – CTNBio, dispõe sobre a Política Nacional de Biossegurança – PNB, revoga a Lei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8.974, de 5 de janeiro de 1995, e a Medida Provisória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2.191-9, de 23 de agosto de 2001, e os arts. 5</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6</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7</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8</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9</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10 e 16 da Lei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10.814, de 15 de dezembro de 2003, e dá outras providências.</w:t>
            </w:r>
            <w:r w:rsidR="002A1270">
              <w:rPr>
                <w:rFonts w:ascii="Book Antiqua" w:eastAsia="Times New Roman" w:hAnsi="Book Antiqua" w:cs="Times New Roman"/>
                <w:color w:val="800000"/>
                <w:sz w:val="18"/>
                <w:szCs w:val="18"/>
                <w:lang w:eastAsia="pt-BR"/>
              </w:rPr>
              <w:t xml:space="preserve"> </w:t>
            </w:r>
            <w:r w:rsidR="002A1270" w:rsidRPr="004B47A0">
              <w:rPr>
                <w:rFonts w:ascii="Book Antiqua" w:eastAsia="Times New Roman" w:hAnsi="Book Antiqua" w:cs="Times New Roman"/>
                <w:b/>
                <w:bCs/>
                <w:color w:val="FF0000"/>
                <w:sz w:val="16"/>
                <w:szCs w:val="16"/>
                <w:u w:val="single"/>
                <w:lang w:eastAsia="pt-BR"/>
              </w:rPr>
              <w:t>(TJMA-2013)</w:t>
            </w:r>
            <w:r w:rsidR="00595623" w:rsidRPr="004B47A0">
              <w:rPr>
                <w:rFonts w:ascii="Book Antiqua" w:eastAsia="Times New Roman" w:hAnsi="Book Antiqua" w:cs="Times New Roman"/>
                <w:b/>
                <w:bCs/>
                <w:color w:val="FF0000"/>
                <w:sz w:val="16"/>
                <w:szCs w:val="16"/>
                <w:lang w:eastAsia="pt-BR"/>
              </w:rPr>
              <w:t xml:space="preserve"> </w:t>
            </w:r>
            <w:r w:rsidR="00595623" w:rsidRPr="004B47A0">
              <w:rPr>
                <w:rFonts w:ascii="Book Antiqua" w:eastAsia="Times New Roman" w:hAnsi="Book Antiqua" w:cs="Times New Roman"/>
                <w:b/>
                <w:bCs/>
                <w:color w:val="FF0000"/>
                <w:sz w:val="16"/>
                <w:szCs w:val="16"/>
                <w:u w:val="single"/>
                <w:lang w:eastAsia="pt-BR"/>
              </w:rPr>
              <w:t>(TRF3-2013)</w:t>
            </w:r>
          </w:p>
        </w:tc>
      </w:tr>
    </w:tbl>
    <w:p w14:paraId="4F812D76" w14:textId="77777777" w:rsidR="00A301F0" w:rsidRPr="00741250" w:rsidRDefault="00A301F0" w:rsidP="0074125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b/>
          <w:bCs/>
          <w:sz w:val="19"/>
          <w:szCs w:val="19"/>
          <w:lang w:eastAsia="pt-BR"/>
        </w:rPr>
        <w:t>        O PRESIDENTE DA REPÚBLICA</w:t>
      </w:r>
      <w:r w:rsidRPr="00741250">
        <w:rPr>
          <w:rFonts w:ascii="Book Antiqua" w:eastAsia="Times New Roman" w:hAnsi="Book Antiqua" w:cs="Times New Roman"/>
          <w:sz w:val="19"/>
          <w:szCs w:val="19"/>
          <w:lang w:eastAsia="pt-BR"/>
        </w:rPr>
        <w:t xml:space="preserve"> Faço saber que o Congresso Nacional decreta e eu sanciono a seguinte Lei:</w:t>
      </w:r>
    </w:p>
    <w:p w14:paraId="29B9E87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w:t>
      </w:r>
    </w:p>
    <w:p w14:paraId="5C176E40"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DISPOSIÇÕES PRELIMINARES E GERAIS</w:t>
      </w:r>
    </w:p>
    <w:p w14:paraId="09ED6B5D" w14:textId="67CD131F" w:rsidR="00A301F0" w:rsidRPr="0062695C"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Esta Lei estabelece </w:t>
      </w:r>
      <w:r w:rsidRPr="00F1158C">
        <w:rPr>
          <w:rFonts w:ascii="Book Antiqua" w:eastAsia="Times New Roman" w:hAnsi="Book Antiqua" w:cs="Times New Roman"/>
          <w:b/>
          <w:bCs/>
          <w:sz w:val="19"/>
          <w:szCs w:val="19"/>
          <w:highlight w:val="cyan"/>
          <w:lang w:eastAsia="pt-BR"/>
        </w:rPr>
        <w:t>normas de segurança</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cyan"/>
          <w:lang w:eastAsia="pt-BR"/>
        </w:rPr>
        <w:t>mecanismos de fiscalização</w:t>
      </w:r>
      <w:r w:rsidRPr="00F1158C">
        <w:rPr>
          <w:rFonts w:ascii="Book Antiqua" w:eastAsia="Times New Roman" w:hAnsi="Book Antiqua" w:cs="Times New Roman"/>
          <w:b/>
          <w:bCs/>
          <w:sz w:val="19"/>
          <w:szCs w:val="19"/>
          <w:lang w:eastAsia="pt-BR"/>
        </w:rPr>
        <w:t xml:space="preserve"> sobre a </w:t>
      </w:r>
      <w:r w:rsidRPr="00F1158C">
        <w:rPr>
          <w:rFonts w:ascii="Book Antiqua" w:eastAsia="Times New Roman" w:hAnsi="Book Antiqua" w:cs="Times New Roman"/>
          <w:b/>
          <w:bCs/>
          <w:sz w:val="19"/>
          <w:szCs w:val="19"/>
          <w:highlight w:val="yellow"/>
          <w:lang w:eastAsia="pt-BR"/>
        </w:rPr>
        <w:t>construção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cultivo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produção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manipulação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transporte</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transferência</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importação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exportação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armazenamento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pesquisa</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comercialização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consumo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liberação no meio ambiente</w:t>
      </w:r>
      <w:r w:rsidRPr="00F1158C">
        <w:rPr>
          <w:rFonts w:ascii="Book Antiqua" w:eastAsia="Times New Roman" w:hAnsi="Book Antiqua" w:cs="Times New Roman"/>
          <w:b/>
          <w:bCs/>
          <w:sz w:val="19"/>
          <w:szCs w:val="19"/>
          <w:lang w:eastAsia="pt-BR"/>
        </w:rPr>
        <w:t xml:space="preserve"> e o </w:t>
      </w:r>
      <w:r w:rsidRPr="00F1158C">
        <w:rPr>
          <w:rFonts w:ascii="Book Antiqua" w:eastAsia="Times New Roman" w:hAnsi="Book Antiqua" w:cs="Times New Roman"/>
          <w:b/>
          <w:bCs/>
          <w:sz w:val="19"/>
          <w:szCs w:val="19"/>
          <w:highlight w:val="yellow"/>
          <w:lang w:eastAsia="pt-BR"/>
        </w:rPr>
        <w:t>descarte</w:t>
      </w:r>
      <w:r w:rsidRPr="00F1158C">
        <w:rPr>
          <w:rFonts w:ascii="Book Antiqua" w:eastAsia="Times New Roman" w:hAnsi="Book Antiqua" w:cs="Times New Roman"/>
          <w:b/>
          <w:bCs/>
          <w:sz w:val="19"/>
          <w:szCs w:val="19"/>
          <w:lang w:eastAsia="pt-BR"/>
        </w:rPr>
        <w:t xml:space="preserve"> de </w:t>
      </w:r>
      <w:r w:rsidRPr="00F1158C">
        <w:rPr>
          <w:rFonts w:ascii="Book Antiqua" w:eastAsia="Times New Roman" w:hAnsi="Book Antiqua" w:cs="Times New Roman"/>
          <w:b/>
          <w:bCs/>
          <w:sz w:val="19"/>
          <w:szCs w:val="19"/>
          <w:highlight w:val="cyan"/>
          <w:lang w:eastAsia="pt-BR"/>
        </w:rPr>
        <w:t>organismos geneticamente modificados – OGM</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cyan"/>
          <w:lang w:eastAsia="pt-BR"/>
        </w:rPr>
        <w:t>seus derivados</w:t>
      </w:r>
      <w:r w:rsidRPr="00F1158C">
        <w:rPr>
          <w:rFonts w:ascii="Book Antiqua" w:eastAsia="Times New Roman" w:hAnsi="Book Antiqua" w:cs="Times New Roman"/>
          <w:b/>
          <w:bCs/>
          <w:sz w:val="19"/>
          <w:szCs w:val="19"/>
          <w:lang w:eastAsia="pt-BR"/>
        </w:rPr>
        <w:t xml:space="preserve">, tendo como diretrizes o estímulo ao avanço científico na área de biossegurança e biotecnologia, a proteção à vida e à saúde humana, animal e vegetal, e </w:t>
      </w:r>
      <w:r w:rsidRPr="00F1158C">
        <w:rPr>
          <w:rFonts w:ascii="Book Antiqua" w:eastAsia="Times New Roman" w:hAnsi="Book Antiqua" w:cs="Times New Roman"/>
          <w:b/>
          <w:bCs/>
          <w:sz w:val="19"/>
          <w:szCs w:val="19"/>
          <w:highlight w:val="yellow"/>
          <w:lang w:eastAsia="pt-BR"/>
        </w:rPr>
        <w:t>a observância do</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caps/>
          <w:sz w:val="19"/>
          <w:szCs w:val="19"/>
          <w:shd w:val="clear" w:color="auto" w:fill="F7CAAC" w:themeFill="accent2" w:themeFillTint="66"/>
          <w:lang w:eastAsia="pt-BR"/>
        </w:rPr>
        <w:t>princípio da precaução</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para a proteção do meio ambiente</w:t>
      </w:r>
      <w:r w:rsidRPr="004B47A0">
        <w:rPr>
          <w:rFonts w:ascii="Book Antiqua" w:eastAsia="Times New Roman" w:hAnsi="Book Antiqua" w:cs="Times New Roman"/>
          <w:sz w:val="16"/>
          <w:szCs w:val="16"/>
          <w:lang w:eastAsia="pt-BR"/>
        </w:rPr>
        <w:t>.</w:t>
      </w:r>
      <w:r w:rsidR="00B516DC" w:rsidRPr="004B47A0">
        <w:rPr>
          <w:rFonts w:ascii="Book Antiqua" w:eastAsia="Times New Roman" w:hAnsi="Book Antiqua" w:cs="Times New Roman"/>
          <w:sz w:val="16"/>
          <w:szCs w:val="16"/>
          <w:lang w:eastAsia="pt-BR"/>
        </w:rPr>
        <w:t xml:space="preserve"> </w:t>
      </w:r>
      <w:r w:rsidR="00B516DC" w:rsidRPr="004B47A0">
        <w:rPr>
          <w:rFonts w:ascii="Book Antiqua" w:eastAsia="Times New Roman" w:hAnsi="Book Antiqua" w:cs="Times New Roman"/>
          <w:b/>
          <w:bCs/>
          <w:color w:val="FF0000"/>
          <w:sz w:val="16"/>
          <w:szCs w:val="16"/>
          <w:u w:val="single"/>
          <w:lang w:eastAsia="pt-BR"/>
        </w:rPr>
        <w:t>(MPRO-2010)</w:t>
      </w:r>
      <w:r w:rsidR="00F1158C" w:rsidRPr="004B47A0">
        <w:rPr>
          <w:rFonts w:ascii="Book Antiqua" w:eastAsia="Times New Roman" w:hAnsi="Book Antiqua" w:cs="Times New Roman"/>
          <w:b/>
          <w:bCs/>
          <w:color w:val="FF0000"/>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(TRF5-2011)</w:t>
      </w:r>
      <w:r w:rsidR="005710C3"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4756E8"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(TJMA-2013)</w:t>
      </w:r>
      <w:r w:rsidR="001E32F1" w:rsidRPr="004B47A0">
        <w:rPr>
          <w:rFonts w:ascii="Book Antiqua" w:eastAsia="Times New Roman" w:hAnsi="Book Antiqua" w:cs="Times New Roman"/>
          <w:b/>
          <w:color w:val="FF0000"/>
          <w:sz w:val="16"/>
          <w:szCs w:val="16"/>
          <w:lang w:eastAsia="pt-BR"/>
        </w:rPr>
        <w:t xml:space="preserve"> </w:t>
      </w:r>
      <w:r w:rsidR="001E32F1" w:rsidRPr="004B47A0">
        <w:rPr>
          <w:rFonts w:ascii="Book Antiqua" w:eastAsia="Times New Roman" w:hAnsi="Book Antiqua" w:cs="Times New Roman"/>
          <w:b/>
          <w:color w:val="FF0000"/>
          <w:sz w:val="16"/>
          <w:szCs w:val="16"/>
          <w:u w:val="single"/>
          <w:lang w:eastAsia="pt-BR"/>
        </w:rPr>
        <w:t>(TJSC-2013)</w:t>
      </w:r>
      <w:r w:rsidR="00B723F7" w:rsidRPr="004B47A0">
        <w:rPr>
          <w:rFonts w:ascii="Book Antiqua" w:eastAsia="Times New Roman" w:hAnsi="Book Antiqua" w:cs="Times New Roman"/>
          <w:b/>
          <w:color w:val="FF0000"/>
          <w:sz w:val="16"/>
          <w:szCs w:val="16"/>
          <w:lang w:eastAsia="pt-BR"/>
        </w:rPr>
        <w:t xml:space="preserve"> </w:t>
      </w:r>
      <w:r w:rsidR="00B723F7" w:rsidRPr="004B47A0">
        <w:rPr>
          <w:rFonts w:ascii="Book Antiqua" w:hAnsi="Book Antiqua"/>
          <w:b/>
          <w:color w:val="FF0000"/>
          <w:sz w:val="16"/>
          <w:szCs w:val="16"/>
          <w:u w:val="single"/>
        </w:rPr>
        <w:t>(PGEPR-2015)</w:t>
      </w:r>
      <w:r w:rsidR="00741250" w:rsidRPr="004B47A0">
        <w:rPr>
          <w:rFonts w:ascii="Book Antiqua" w:eastAsia="Times New Roman" w:hAnsi="Book Antiqua" w:cs="Times New Roman"/>
          <w:b/>
          <w:color w:val="FF0000"/>
          <w:sz w:val="16"/>
          <w:szCs w:val="16"/>
          <w:lang w:eastAsia="pt-BR"/>
        </w:rPr>
        <w:t xml:space="preserve"> </w:t>
      </w:r>
      <w:r w:rsidR="00741250" w:rsidRPr="004B47A0">
        <w:rPr>
          <w:rFonts w:ascii="Book Antiqua" w:eastAsia="Times New Roman" w:hAnsi="Book Antiqua" w:cs="Times New Roman"/>
          <w:b/>
          <w:color w:val="FF0000"/>
          <w:sz w:val="16"/>
          <w:szCs w:val="16"/>
          <w:u w:val="single"/>
          <w:lang w:eastAsia="pt-BR"/>
        </w:rPr>
        <w:t>(TJRS-2016)</w:t>
      </w:r>
      <w:r w:rsidR="00C7463B" w:rsidRPr="004B47A0">
        <w:rPr>
          <w:rFonts w:ascii="Book Antiqua" w:eastAsia="Times New Roman" w:hAnsi="Book Antiqua" w:cs="Times New Roman"/>
          <w:b/>
          <w:color w:val="FF0000"/>
          <w:sz w:val="16"/>
          <w:szCs w:val="16"/>
          <w:lang w:eastAsia="pt-BR"/>
        </w:rPr>
        <w:t xml:space="preserve"> </w:t>
      </w:r>
      <w:r w:rsidR="00C7463B" w:rsidRPr="004B47A0">
        <w:rPr>
          <w:rFonts w:ascii="Book Antiqua" w:eastAsia="Times New Roman" w:hAnsi="Book Antiqua" w:cs="Times New Roman"/>
          <w:b/>
          <w:color w:val="FF0000"/>
          <w:sz w:val="16"/>
          <w:szCs w:val="16"/>
          <w:u w:val="single"/>
          <w:lang w:eastAsia="pt-BR"/>
        </w:rPr>
        <w:t>(TJSP-2017)</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(TRF3-2018)</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(MPMT-2012/2019)</w:t>
      </w:r>
      <w:r w:rsidR="0062695C">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FD4159" w:rsidRPr="00741250" w14:paraId="58EF32B3" w14:textId="77777777" w:rsidTr="00FD4159">
        <w:tc>
          <w:tcPr>
            <w:tcW w:w="8494" w:type="dxa"/>
            <w:shd w:val="clear" w:color="auto" w:fill="CCFFFF"/>
          </w:tcPr>
          <w:p w14:paraId="645FE82A" w14:textId="0348F679" w:rsidR="001E32F1" w:rsidRDefault="001E32F1" w:rsidP="00FD4159">
            <w:pPr>
              <w:pStyle w:val="indent"/>
              <w:spacing w:before="0" w:beforeAutospacing="0" w:after="0" w:afterAutospacing="0"/>
              <w:jc w:val="both"/>
              <w:rPr>
                <w:rFonts w:ascii="Book Antiqua" w:hAnsi="Book Antiqua"/>
                <w:b/>
                <w:color w:val="000000"/>
                <w:sz w:val="19"/>
                <w:szCs w:val="19"/>
              </w:rPr>
            </w:pPr>
            <w:r>
              <w:rPr>
                <w:rFonts w:ascii="Book Antiqua" w:hAnsi="Book Antiqua" w:cs="Arial"/>
                <w:b/>
                <w:color w:val="000000"/>
                <w:sz w:val="19"/>
                <w:szCs w:val="19"/>
              </w:rPr>
              <w:t>(</w:t>
            </w:r>
            <w:r w:rsidRPr="001E32F1">
              <w:rPr>
                <w:rFonts w:ascii="Book Antiqua" w:hAnsi="Book Antiqua" w:cs="Arial"/>
                <w:b/>
                <w:color w:val="000000"/>
                <w:sz w:val="19"/>
                <w:szCs w:val="19"/>
                <w:highlight w:val="yellow"/>
              </w:rPr>
              <w:t>MPMT-2019-FCC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1E32F1">
              <w:rPr>
                <w:rFonts w:ascii="Book Antiqua" w:hAnsi="Book Antiqua" w:cs="Arial"/>
                <w:bCs/>
                <w:color w:val="000000"/>
                <w:sz w:val="19"/>
                <w:szCs w:val="19"/>
              </w:rPr>
              <w:t xml:space="preserve">No art. 1°, </w:t>
            </w:r>
            <w:r w:rsidRPr="001E32F1">
              <w:rPr>
                <w:rFonts w:ascii="Book Antiqua" w:hAnsi="Book Antiqua" w:cs="Arial"/>
                <w:bCs/>
                <w:i/>
                <w:iCs/>
                <w:color w:val="000000"/>
                <w:sz w:val="19"/>
                <w:szCs w:val="19"/>
              </w:rPr>
              <w:t>caput</w:t>
            </w:r>
            <w:r w:rsidRPr="001E32F1">
              <w:rPr>
                <w:rFonts w:ascii="Book Antiqua" w:hAnsi="Book Antiqua" w:cs="Arial"/>
                <w:bCs/>
                <w:color w:val="000000"/>
                <w:sz w:val="19"/>
                <w:szCs w:val="19"/>
              </w:rPr>
              <w:t xml:space="preserve"> da Lei 11.105/05 está expresso o seguinte princípio de Direito Ambiental:</w:t>
            </w:r>
            <w:r>
              <w:rPr>
                <w:rFonts w:ascii="Book Antiqua" w:hAnsi="Book Antiqua" w:cs="Arial"/>
                <w:bCs/>
                <w:color w:val="000000"/>
                <w:sz w:val="19"/>
                <w:szCs w:val="19"/>
              </w:rPr>
              <w:t xml:space="preserve"> </w:t>
            </w:r>
            <w:r w:rsidRPr="001E32F1">
              <w:rPr>
                <w:rFonts w:ascii="Book Antiqua" w:hAnsi="Book Antiqua" w:cs="Arial"/>
                <w:bCs/>
                <w:color w:val="000000"/>
                <w:sz w:val="19"/>
                <w:szCs w:val="19"/>
              </w:rPr>
              <w:t>Precaução.</w:t>
            </w:r>
            <w:r>
              <w:rPr>
                <w:rFonts w:ascii="Book Antiqua" w:hAnsi="Book Antiqua" w:cs="Arial"/>
                <w:bCs/>
                <w:color w:val="000000"/>
                <w:sz w:val="19"/>
                <w:szCs w:val="19"/>
              </w:rPr>
              <w:t xml:space="preserve"> </w:t>
            </w:r>
            <w:r w:rsidRPr="00741250">
              <w:rPr>
                <w:rFonts w:ascii="Book Antiqua" w:hAnsi="Book Antiqua"/>
                <w:b/>
                <w:color w:val="000000"/>
                <w:sz w:val="19"/>
                <w:szCs w:val="19"/>
              </w:rPr>
              <w:t>BL: art. 1º, Lei 11.105/05.</w:t>
            </w:r>
          </w:p>
          <w:p w14:paraId="21242BB8" w14:textId="03ADE853" w:rsidR="00F76A7D" w:rsidRDefault="00F76A7D" w:rsidP="00FD4159">
            <w:pPr>
              <w:pStyle w:val="indent"/>
              <w:spacing w:before="0" w:beforeAutospacing="0" w:after="0" w:afterAutospacing="0"/>
              <w:jc w:val="both"/>
              <w:rPr>
                <w:rFonts w:ascii="Book Antiqua" w:hAnsi="Book Antiqua" w:cs="Arial"/>
                <w:color w:val="000000"/>
                <w:sz w:val="19"/>
                <w:szCs w:val="19"/>
              </w:rPr>
            </w:pPr>
          </w:p>
          <w:p w14:paraId="41B65E4B" w14:textId="350150F0" w:rsidR="00F76A7D" w:rsidRPr="00F76A7D" w:rsidRDefault="00F76A7D" w:rsidP="00FD4159">
            <w:pPr>
              <w:pStyle w:val="indent"/>
              <w:spacing w:before="0" w:beforeAutospacing="0" w:after="0" w:afterAutospacing="0"/>
              <w:jc w:val="both"/>
              <w:rPr>
                <w:rFonts w:ascii="Book Antiqua" w:hAnsi="Book Antiqua" w:cs="Arial"/>
                <w:color w:val="000000"/>
                <w:sz w:val="19"/>
                <w:szCs w:val="19"/>
              </w:rPr>
            </w:pPr>
            <w:r>
              <w:rPr>
                <w:rFonts w:ascii="Book Antiqua" w:hAnsi="Book Antiqua" w:cs="Arial"/>
                <w:b/>
                <w:bCs/>
                <w:color w:val="000000"/>
                <w:sz w:val="19"/>
                <w:szCs w:val="19"/>
              </w:rPr>
              <w:t>(</w:t>
            </w:r>
            <w:r w:rsidRPr="00F76A7D">
              <w:rPr>
                <w:rFonts w:ascii="Book Antiqua" w:hAnsi="Book Antiqua" w:cs="Arial"/>
                <w:b/>
                <w:bCs/>
                <w:color w:val="000000"/>
                <w:sz w:val="19"/>
                <w:szCs w:val="19"/>
                <w:highlight w:val="yellow"/>
              </w:rPr>
              <w:t>TRF3-2018</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F76A7D">
              <w:rPr>
                <w:rFonts w:ascii="Book Antiqua" w:hAnsi="Book Antiqua" w:cs="Arial"/>
                <w:color w:val="000000"/>
                <w:sz w:val="19"/>
                <w:szCs w:val="19"/>
              </w:rPr>
              <w:t>A respeito da Lei nº 11.105/05 (Lei de Biossegurança), que regulamenta os incisos II, IV e V do parágrafo 1º do art</w:t>
            </w:r>
            <w:r>
              <w:rPr>
                <w:rFonts w:ascii="Book Antiqua" w:hAnsi="Book Antiqua" w:cs="Arial"/>
                <w:color w:val="000000"/>
                <w:sz w:val="19"/>
                <w:szCs w:val="19"/>
              </w:rPr>
              <w:t>.</w:t>
            </w:r>
            <w:r w:rsidRPr="00F76A7D">
              <w:rPr>
                <w:rFonts w:ascii="Book Antiqua" w:hAnsi="Book Antiqua" w:cs="Arial"/>
                <w:color w:val="000000"/>
                <w:sz w:val="19"/>
                <w:szCs w:val="19"/>
              </w:rPr>
              <w:t xml:space="preserve"> 225 da </w:t>
            </w:r>
            <w:r>
              <w:rPr>
                <w:rFonts w:ascii="Book Antiqua" w:hAnsi="Book Antiqua" w:cs="Arial"/>
                <w:color w:val="000000"/>
                <w:sz w:val="19"/>
                <w:szCs w:val="19"/>
              </w:rPr>
              <w:t>CF/1988</w:t>
            </w:r>
            <w:r w:rsidRPr="00F76A7D">
              <w:rPr>
                <w:rFonts w:ascii="Book Antiqua" w:hAnsi="Book Antiqua" w:cs="Arial"/>
                <w:color w:val="000000"/>
                <w:sz w:val="19"/>
                <w:szCs w:val="19"/>
              </w:rPr>
              <w:t xml:space="preserve">, é </w:t>
            </w:r>
            <w:r>
              <w:rPr>
                <w:rFonts w:ascii="Book Antiqua" w:hAnsi="Book Antiqua" w:cs="Arial"/>
                <w:color w:val="000000"/>
                <w:sz w:val="19"/>
                <w:szCs w:val="19"/>
              </w:rPr>
              <w:t>correto</w:t>
            </w:r>
            <w:r w:rsidRPr="00F76A7D">
              <w:rPr>
                <w:rFonts w:ascii="Book Antiqua" w:hAnsi="Book Antiqua" w:cs="Arial"/>
                <w:color w:val="000000"/>
                <w:sz w:val="19"/>
                <w:szCs w:val="19"/>
              </w:rPr>
              <w:t xml:space="preserve"> afirmar que:</w:t>
            </w:r>
            <w:r>
              <w:rPr>
                <w:rFonts w:ascii="Book Antiqua" w:hAnsi="Book Antiqua" w:cs="Arial"/>
                <w:color w:val="000000"/>
                <w:sz w:val="19"/>
                <w:szCs w:val="19"/>
              </w:rPr>
              <w:t xml:space="preserve"> </w:t>
            </w:r>
            <w:r w:rsidRPr="00F76A7D">
              <w:rPr>
                <w:rFonts w:ascii="Book Antiqua" w:hAnsi="Book Antiqua" w:cs="Arial"/>
                <w:color w:val="000000"/>
                <w:sz w:val="19"/>
                <w:szCs w:val="19"/>
              </w:rPr>
              <w:t>Dentre as diversas atividades relativas aos OGM, estão abrangidas pela lei a construção, o cultivo, a manipulação e a pesquisa, estabelecendo-se normas de segurança e mecanismos de fiscalização.</w:t>
            </w:r>
            <w:r>
              <w:rPr>
                <w:rFonts w:ascii="Book Antiqua" w:hAnsi="Book Antiqua" w:cs="Arial"/>
                <w:color w:val="000000"/>
                <w:sz w:val="19"/>
                <w:szCs w:val="19"/>
              </w:rPr>
              <w:t xml:space="preserve"> </w:t>
            </w:r>
            <w:r w:rsidRPr="00741250">
              <w:rPr>
                <w:rFonts w:ascii="Book Antiqua" w:hAnsi="Book Antiqua"/>
                <w:b/>
                <w:color w:val="000000"/>
                <w:sz w:val="19"/>
                <w:szCs w:val="19"/>
              </w:rPr>
              <w:t>BL: art. 1º, Lei 11.105/05.</w:t>
            </w:r>
          </w:p>
          <w:p w14:paraId="0267F819" w14:textId="77777777" w:rsidR="001E32F1" w:rsidRDefault="001E32F1" w:rsidP="00FD4159">
            <w:pPr>
              <w:pStyle w:val="indent"/>
              <w:spacing w:before="0" w:beforeAutospacing="0" w:after="0" w:afterAutospacing="0"/>
              <w:jc w:val="both"/>
              <w:rPr>
                <w:rFonts w:ascii="Book Antiqua" w:hAnsi="Book Antiqua" w:cs="Arial"/>
                <w:b/>
                <w:color w:val="000000"/>
                <w:sz w:val="19"/>
                <w:szCs w:val="19"/>
              </w:rPr>
            </w:pPr>
          </w:p>
          <w:p w14:paraId="484D12C2" w14:textId="18687C6D" w:rsidR="00E000DD" w:rsidRPr="00741250" w:rsidRDefault="00E000DD" w:rsidP="00FD4159">
            <w:pPr>
              <w:pStyle w:val="indent"/>
              <w:spacing w:before="0" w:beforeAutospacing="0" w:after="0" w:afterAutospacing="0"/>
              <w:jc w:val="both"/>
              <w:rPr>
                <w:rFonts w:ascii="Book Antiqua" w:hAnsi="Book Antiqua"/>
                <w:color w:val="000000"/>
                <w:sz w:val="19"/>
                <w:szCs w:val="19"/>
              </w:rPr>
            </w:pPr>
            <w:r w:rsidRPr="00741250">
              <w:rPr>
                <w:rFonts w:ascii="Book Antiqua" w:hAnsi="Book Antiqua"/>
                <w:b/>
                <w:color w:val="000000"/>
                <w:sz w:val="19"/>
                <w:szCs w:val="19"/>
              </w:rPr>
              <w:t>(</w:t>
            </w:r>
            <w:r w:rsidRPr="00741250">
              <w:rPr>
                <w:rFonts w:ascii="Book Antiqua" w:hAnsi="Book Antiqua"/>
                <w:b/>
                <w:color w:val="000000"/>
                <w:sz w:val="19"/>
                <w:szCs w:val="19"/>
                <w:highlight w:val="yellow"/>
              </w:rPr>
              <w:t>TJMA</w:t>
            </w:r>
            <w:r w:rsidR="00DA401D" w:rsidRPr="00741250">
              <w:rPr>
                <w:rFonts w:ascii="Book Antiqua" w:hAnsi="Book Antiqua"/>
                <w:b/>
                <w:color w:val="000000"/>
                <w:sz w:val="19"/>
                <w:szCs w:val="19"/>
                <w:highlight w:val="yellow"/>
              </w:rPr>
              <w:t>-</w:t>
            </w:r>
            <w:r w:rsidRPr="00741250">
              <w:rPr>
                <w:rFonts w:ascii="Book Antiqua" w:hAnsi="Book Antiqua"/>
                <w:b/>
                <w:color w:val="000000"/>
                <w:sz w:val="19"/>
                <w:szCs w:val="19"/>
                <w:highlight w:val="yellow"/>
              </w:rPr>
              <w:t>2013</w:t>
            </w:r>
            <w:r w:rsidR="00DA401D" w:rsidRPr="00741250">
              <w:rPr>
                <w:rFonts w:ascii="Book Antiqua" w:hAnsi="Book Antiqua"/>
                <w:b/>
                <w:color w:val="000000"/>
                <w:sz w:val="19"/>
                <w:szCs w:val="19"/>
                <w:highlight w:val="yellow"/>
              </w:rPr>
              <w:t>-</w:t>
            </w:r>
            <w:r w:rsidRPr="00741250">
              <w:rPr>
                <w:rFonts w:ascii="Book Antiqua" w:hAnsi="Book Antiqua"/>
                <w:b/>
                <w:color w:val="000000"/>
                <w:sz w:val="19"/>
                <w:szCs w:val="19"/>
                <w:highlight w:val="yellow"/>
              </w:rPr>
              <w:t>CESPE</w:t>
            </w:r>
            <w:r w:rsidRPr="00741250">
              <w:rPr>
                <w:rFonts w:ascii="Book Antiqua" w:hAnsi="Book Antiqua"/>
                <w:b/>
                <w:color w:val="000000"/>
                <w:sz w:val="19"/>
                <w:szCs w:val="19"/>
              </w:rPr>
              <w:t xml:space="preserve">): </w:t>
            </w:r>
            <w:r w:rsidRPr="00741250">
              <w:rPr>
                <w:rFonts w:ascii="Book Antiqua" w:hAnsi="Book Antiqua"/>
                <w:color w:val="000000"/>
                <w:sz w:val="19"/>
                <w:szCs w:val="19"/>
              </w:rPr>
              <w:t xml:space="preserve">O governo de determinado estado da Federação proibiu totalmente, por meio de lei, o cultivo, a manipulação e a industrialização de organismos geneticamente modificados no âmbito estadual. Na exposição de motivo que justificava a proposta, mencionou-se o objetivo de se evitarem riscos possíveis ao meio ambiente, devido à incerteza científica quanto a repercussões </w:t>
            </w:r>
            <w:r w:rsidRPr="00741250">
              <w:rPr>
                <w:rFonts w:ascii="Book Antiqua" w:hAnsi="Book Antiqua"/>
                <w:color w:val="000000"/>
                <w:sz w:val="19"/>
                <w:szCs w:val="19"/>
              </w:rPr>
              <w:lastRenderedPageBreak/>
              <w:t xml:space="preserve">decorrentes da inserção ambiental de tais organismos. Após a publicação da lei, foi ajuizada, perante o STF, ADI contra a norma, sob o argumento de que a lei federal que dispõe sobre biossegurança permite, com ressalvas, atividades com organismos geneticamente modificados. Nesse caso, o STF deverá julgar procedente a ADI porque a lei estadual contraria o que dispõe a lei federal sobre biossegurança. </w:t>
            </w:r>
            <w:r w:rsidR="00641FD2" w:rsidRPr="00741250">
              <w:rPr>
                <w:rFonts w:ascii="Book Antiqua" w:hAnsi="Book Antiqua"/>
                <w:b/>
                <w:color w:val="000000"/>
                <w:sz w:val="19"/>
                <w:szCs w:val="19"/>
              </w:rPr>
              <w:t>BL: art. 1º, Lei 11.105/05.</w:t>
            </w:r>
          </w:p>
          <w:p w14:paraId="4FD56D40" w14:textId="77777777" w:rsidR="00E000DD" w:rsidRPr="00741250" w:rsidRDefault="00E000DD" w:rsidP="00FD4159">
            <w:pPr>
              <w:pStyle w:val="indent"/>
              <w:spacing w:before="0" w:beforeAutospacing="0" w:after="0" w:afterAutospacing="0"/>
              <w:jc w:val="both"/>
              <w:rPr>
                <w:rFonts w:ascii="Book Antiqua" w:hAnsi="Book Antiqua"/>
                <w:color w:val="000000"/>
                <w:sz w:val="19"/>
                <w:szCs w:val="19"/>
              </w:rPr>
            </w:pPr>
          </w:p>
          <w:p w14:paraId="3B7298BA" w14:textId="1623FCCC" w:rsidR="00E000DD" w:rsidRDefault="002E195E" w:rsidP="00FD4159">
            <w:pPr>
              <w:pStyle w:val="indent"/>
              <w:spacing w:before="0" w:beforeAutospacing="0" w:after="0" w:afterAutospacing="0"/>
              <w:jc w:val="both"/>
              <w:rPr>
                <w:rFonts w:ascii="Book Antiqua" w:hAnsi="Book Antiqua"/>
                <w:color w:val="000000"/>
                <w:sz w:val="19"/>
                <w:szCs w:val="19"/>
              </w:rPr>
            </w:pPr>
            <w:r w:rsidRPr="002E195E">
              <w:rPr>
                <w:rFonts w:ascii="Book Antiqua" w:hAnsi="Book Antiqua"/>
                <w:b/>
                <w:bCs/>
                <w:i/>
                <w:color w:val="FF0000"/>
                <w:sz w:val="19"/>
                <w:szCs w:val="19"/>
              </w:rPr>
              <w:t>#</w:t>
            </w:r>
            <w:r w:rsidRPr="002E195E">
              <w:rPr>
                <w:rFonts w:ascii="Book Antiqua" w:hAnsi="Book Antiqua"/>
                <w:b/>
                <w:bCs/>
                <w:i/>
                <w:color w:val="FF0000"/>
                <w:sz w:val="19"/>
                <w:szCs w:val="19"/>
                <w:highlight w:val="green"/>
              </w:rPr>
              <w:t>Atenção</w:t>
            </w:r>
            <w:r w:rsidR="00E000DD" w:rsidRPr="00741250">
              <w:rPr>
                <w:rFonts w:ascii="Book Antiqua" w:hAnsi="Book Antiqua"/>
                <w:color w:val="000000"/>
                <w:sz w:val="19"/>
                <w:szCs w:val="19"/>
              </w:rPr>
              <w:t>: A Lei 11.105/05, no art. 1º, regulamenta os incisos II, IV e V do §1º do art. 225 da CF, bem como estabelece normas de segurança e mecanismos de fiscalização sobre a construção, o cultivo, a produção, a manipulação, o transporte, a transferência, a importação, a exportação, o armazenamento, a pesquisa, a comercialização, o consumo, a liberação no meio ambiente e o descarte de organismos geneticamente modificados – OGM e seus derivados</w:t>
            </w:r>
            <w:r w:rsidR="00D927F1" w:rsidRPr="00741250">
              <w:rPr>
                <w:rFonts w:ascii="Book Antiqua" w:hAnsi="Book Antiqua"/>
                <w:color w:val="000000"/>
                <w:sz w:val="19"/>
                <w:szCs w:val="19"/>
              </w:rPr>
              <w:t>, tendo como diretrizes o estímulo ao avanço científico na área de biossegurança e biotecnologia, a proteção à vida e à saúde humana, animal e vegetal, e a observância do princípio da precaução para a proteção do meio ambiente. A referida lei Estadual afrontou matéria de competência privativa da União ao proibir o cultivo, a manipulação e a industrialização de organismos geneticamente modificados no âmbito estadual. Ainda, não seria admissível que, no uso de sua competência residual, o estado formulasse uma disciplina que afastasse a aplicação de normas federais de caráter geral no âmbito da competência legislativa concorrente.</w:t>
            </w:r>
          </w:p>
          <w:p w14:paraId="50EC0D01" w14:textId="77777777" w:rsidR="00641FD2" w:rsidRDefault="00641FD2" w:rsidP="00FD4159">
            <w:pPr>
              <w:pStyle w:val="indent"/>
              <w:spacing w:before="0" w:beforeAutospacing="0" w:after="0" w:afterAutospacing="0"/>
              <w:jc w:val="both"/>
              <w:rPr>
                <w:rFonts w:ascii="Book Antiqua" w:hAnsi="Book Antiqua"/>
                <w:color w:val="000000"/>
                <w:sz w:val="19"/>
                <w:szCs w:val="19"/>
              </w:rPr>
            </w:pPr>
          </w:p>
          <w:p w14:paraId="49CD02BF" w14:textId="4B02782B" w:rsidR="00641FD2" w:rsidRPr="00641FD2" w:rsidRDefault="00641FD2" w:rsidP="00FD4159">
            <w:pPr>
              <w:pStyle w:val="indent"/>
              <w:spacing w:before="0" w:beforeAutospacing="0" w:after="0" w:afterAutospacing="0"/>
              <w:jc w:val="both"/>
              <w:rPr>
                <w:rFonts w:ascii="Book Antiqua" w:hAnsi="Book Antiqua" w:cs="Arial"/>
                <w:b/>
                <w:bCs/>
                <w:color w:val="000000"/>
                <w:sz w:val="19"/>
                <w:szCs w:val="19"/>
              </w:rPr>
            </w:pPr>
            <w:r w:rsidRPr="00741250">
              <w:rPr>
                <w:rFonts w:ascii="Book Antiqua" w:hAnsi="Book Antiqua"/>
                <w:b/>
                <w:color w:val="000000"/>
                <w:sz w:val="19"/>
                <w:szCs w:val="19"/>
              </w:rPr>
              <w:t>(</w:t>
            </w:r>
            <w:r w:rsidRPr="00741250">
              <w:rPr>
                <w:rFonts w:ascii="Book Antiqua" w:hAnsi="Book Antiqua"/>
                <w:b/>
                <w:color w:val="000000"/>
                <w:sz w:val="19"/>
                <w:szCs w:val="19"/>
                <w:highlight w:val="yellow"/>
              </w:rPr>
              <w:t>T</w:t>
            </w:r>
            <w:r>
              <w:rPr>
                <w:rFonts w:ascii="Book Antiqua" w:hAnsi="Book Antiqua"/>
                <w:b/>
                <w:color w:val="000000"/>
                <w:sz w:val="19"/>
                <w:szCs w:val="19"/>
                <w:highlight w:val="yellow"/>
              </w:rPr>
              <w:t>RF5-2011</w:t>
            </w:r>
            <w:r w:rsidRPr="00741250">
              <w:rPr>
                <w:rFonts w:ascii="Book Antiqua" w:hAnsi="Book Antiqua"/>
                <w:b/>
                <w:color w:val="000000"/>
                <w:sz w:val="19"/>
                <w:szCs w:val="19"/>
                <w:highlight w:val="yellow"/>
              </w:rPr>
              <w:t>-CESPE</w:t>
            </w:r>
            <w:r w:rsidRPr="00741250">
              <w:rPr>
                <w:rFonts w:ascii="Book Antiqua" w:hAnsi="Book Antiqua"/>
                <w:b/>
                <w:color w:val="000000"/>
                <w:sz w:val="19"/>
                <w:szCs w:val="19"/>
              </w:rPr>
              <w:t xml:space="preserve">): </w:t>
            </w:r>
            <w:r w:rsidRPr="00641FD2">
              <w:rPr>
                <w:rFonts w:ascii="Book Antiqua" w:hAnsi="Book Antiqua"/>
                <w:color w:val="000000"/>
                <w:sz w:val="19"/>
                <w:szCs w:val="19"/>
              </w:rPr>
              <w:t>Acerca da engenharia genética e de sua relação com o ambiente, assinale a opção correta</w:t>
            </w:r>
            <w:r>
              <w:rPr>
                <w:rFonts w:ascii="Book Antiqua" w:hAnsi="Book Antiqua"/>
                <w:color w:val="000000"/>
                <w:sz w:val="19"/>
                <w:szCs w:val="19"/>
              </w:rPr>
              <w:t xml:space="preserve">: </w:t>
            </w:r>
            <w:r w:rsidRPr="00641FD2">
              <w:rPr>
                <w:rFonts w:ascii="Book Antiqua" w:hAnsi="Book Antiqua"/>
                <w:color w:val="000000"/>
                <w:sz w:val="19"/>
                <w:szCs w:val="19"/>
              </w:rPr>
              <w:t>Estão sujeitos a controle legal a construção, o cultivo, a produção, a manipulação, o transporte, a transferência, a importação, a exportação, o armazenamento, a pesquisa, a comercialização, o consumo, a liberação no ambiente e o descarte de OGM e seus derivados.</w:t>
            </w:r>
            <w:r>
              <w:rPr>
                <w:rFonts w:ascii="Book Antiqua" w:hAnsi="Book Antiqua"/>
                <w:color w:val="000000"/>
                <w:sz w:val="19"/>
                <w:szCs w:val="19"/>
              </w:rPr>
              <w:t xml:space="preserve"> </w:t>
            </w:r>
            <w:r w:rsidRPr="00741250">
              <w:rPr>
                <w:rFonts w:ascii="Book Antiqua" w:hAnsi="Book Antiqua"/>
                <w:b/>
                <w:color w:val="000000"/>
                <w:sz w:val="19"/>
                <w:szCs w:val="19"/>
              </w:rPr>
              <w:t>BL: art. 1º, Lei 11.105/05.</w:t>
            </w:r>
          </w:p>
        </w:tc>
      </w:tr>
    </w:tbl>
    <w:p w14:paraId="6B78EAA5" w14:textId="77777777" w:rsidR="00DA401D" w:rsidRPr="00741250" w:rsidRDefault="00A301F0" w:rsidP="00FD4159">
      <w:pPr>
        <w:spacing w:after="0"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w:t>
      </w:r>
      <w:r w:rsidR="00FD4159" w:rsidRPr="00741250">
        <w:rPr>
          <w:rFonts w:ascii="Book Antiqua" w:eastAsia="Times New Roman" w:hAnsi="Book Antiqua" w:cs="Times New Roman"/>
          <w:sz w:val="19"/>
          <w:szCs w:val="19"/>
          <w:lang w:eastAsia="pt-BR"/>
        </w:rPr>
        <w:t xml:space="preserve">  </w:t>
      </w:r>
    </w:p>
    <w:p w14:paraId="18CEB22E" w14:textId="77777777" w:rsidR="00A301F0" w:rsidRPr="00741250" w:rsidRDefault="00A301F0" w:rsidP="00DA401D">
      <w:pPr>
        <w:spacing w:after="0" w:line="240" w:lineRule="auto"/>
        <w:ind w:firstLine="426"/>
        <w:jc w:val="both"/>
        <w:rPr>
          <w:rFonts w:ascii="Book Antiqua" w:eastAsia="Times New Roman" w:hAnsi="Book Antiqua" w:cs="Times New Roman"/>
          <w:sz w:val="19"/>
          <w:szCs w:val="19"/>
          <w:lang w:eastAsia="pt-BR"/>
        </w:rPr>
      </w:pPr>
      <w:bookmarkStart w:id="1" w:name="art1§1"/>
      <w:bookmarkEnd w:id="1"/>
      <w:r w:rsidRPr="00741250">
        <w:rPr>
          <w:rFonts w:ascii="Book Antiqua" w:eastAsia="Times New Roman" w:hAnsi="Book Antiqua" w:cs="Times New Roman"/>
          <w:sz w:val="19"/>
          <w:szCs w:val="19"/>
          <w:lang w:eastAsia="pt-BR"/>
        </w:rPr>
        <w:t>§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Para os fins desta Lei, considera-se atividade de pesquisa a realizada em laboratório, regime de contenção ou campo, como parte do processo de obtenção de OGM e seus derivados ou de avaliação da biossegurança de OGM e seus derivados, o que engloba, no âmbito experimental, a construção, o cultivo, a manipulação, o transporte, a transferência, a importação, a exportação, o armazenamento, a liberação no meio ambiente e o descarte de OGM e seus derivados. </w:t>
      </w:r>
    </w:p>
    <w:p w14:paraId="4C965A77"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bookmarkStart w:id="2" w:name="art1§2"/>
      <w:bookmarkEnd w:id="2"/>
      <w:r w:rsidRPr="00741250">
        <w:rPr>
          <w:rFonts w:ascii="Book Antiqua" w:eastAsia="Times New Roman" w:hAnsi="Book Antiqua" w:cs="Times New Roman"/>
          <w:b/>
          <w:bCs/>
          <w:sz w:val="19"/>
          <w:szCs w:val="19"/>
          <w:highlight w:val="magenta"/>
          <w:lang w:eastAsia="pt-BR"/>
        </w:rPr>
        <w:t>§ 2</w:t>
      </w:r>
      <w:r w:rsidRPr="00741250">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yellow"/>
          <w:lang w:eastAsia="pt-BR"/>
        </w:rPr>
        <w:t>Para os fins desta Lei</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caps/>
          <w:sz w:val="19"/>
          <w:szCs w:val="19"/>
          <w:highlight w:val="green"/>
          <w:lang w:eastAsia="pt-BR"/>
        </w:rPr>
        <w:t>considera-se</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caps/>
          <w:sz w:val="19"/>
          <w:szCs w:val="19"/>
          <w:shd w:val="clear" w:color="auto" w:fill="F7CAAC" w:themeFill="accent2" w:themeFillTint="66"/>
          <w:lang w:eastAsia="pt-BR"/>
        </w:rPr>
        <w:t>atividade de uso comercial de OGM</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caps/>
          <w:sz w:val="19"/>
          <w:szCs w:val="19"/>
          <w:shd w:val="clear" w:color="auto" w:fill="F7CAAC" w:themeFill="accent2" w:themeFillTint="66"/>
          <w:lang w:eastAsia="pt-BR"/>
        </w:rPr>
        <w:t>seus derivados</w:t>
      </w:r>
      <w:r w:rsidRPr="00741250">
        <w:rPr>
          <w:rFonts w:ascii="Book Antiqua" w:eastAsia="Times New Roman" w:hAnsi="Book Antiqua" w:cs="Times New Roman"/>
          <w:sz w:val="19"/>
          <w:szCs w:val="19"/>
          <w:lang w:eastAsia="pt-BR"/>
        </w:rPr>
        <w:t xml:space="preserve"> a que </w:t>
      </w:r>
      <w:r w:rsidRPr="00741250">
        <w:rPr>
          <w:rFonts w:ascii="Book Antiqua" w:eastAsia="Times New Roman" w:hAnsi="Book Antiqua" w:cs="Times New Roman"/>
          <w:b/>
          <w:bCs/>
          <w:caps/>
          <w:sz w:val="19"/>
          <w:szCs w:val="19"/>
          <w:highlight w:val="green"/>
          <w:lang w:eastAsia="pt-BR"/>
        </w:rPr>
        <w:t>não se enquadra</w:t>
      </w:r>
      <w:r w:rsidRPr="00741250">
        <w:rPr>
          <w:rFonts w:ascii="Book Antiqua" w:eastAsia="Times New Roman" w:hAnsi="Book Antiqua" w:cs="Times New Roman"/>
          <w:sz w:val="19"/>
          <w:szCs w:val="19"/>
          <w:lang w:eastAsia="pt-BR"/>
        </w:rPr>
        <w:t xml:space="preserve"> como </w:t>
      </w:r>
      <w:r w:rsidRPr="00741250">
        <w:rPr>
          <w:rFonts w:ascii="Book Antiqua" w:eastAsia="Times New Roman" w:hAnsi="Book Antiqua" w:cs="Times New Roman"/>
          <w:b/>
          <w:bCs/>
          <w:sz w:val="19"/>
          <w:szCs w:val="19"/>
          <w:highlight w:val="cyan"/>
          <w:lang w:eastAsia="pt-BR"/>
        </w:rPr>
        <w:t>atividade de pesquisa</w:t>
      </w:r>
      <w:r w:rsidRPr="00741250">
        <w:rPr>
          <w:rFonts w:ascii="Book Antiqua" w:eastAsia="Times New Roman" w:hAnsi="Book Antiqua" w:cs="Times New Roman"/>
          <w:sz w:val="19"/>
          <w:szCs w:val="19"/>
          <w:lang w:eastAsia="pt-BR"/>
        </w:rPr>
        <w:t xml:space="preserve">, e que </w:t>
      </w:r>
      <w:r w:rsidRPr="00741250">
        <w:rPr>
          <w:rFonts w:ascii="Book Antiqua" w:eastAsia="Times New Roman" w:hAnsi="Book Antiqua" w:cs="Times New Roman"/>
          <w:b/>
          <w:bCs/>
          <w:caps/>
          <w:sz w:val="19"/>
          <w:szCs w:val="19"/>
          <w:highlight w:val="green"/>
          <w:lang w:eastAsia="pt-BR"/>
        </w:rPr>
        <w:t>trata</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cultivo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produção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manipulação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transporte</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transferência</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comercialização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importação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exportação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armazenamento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consumo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liberação</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sz w:val="19"/>
          <w:szCs w:val="19"/>
          <w:highlight w:val="yellow"/>
          <w:lang w:eastAsia="pt-BR"/>
        </w:rPr>
        <w:t>do descarte</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cyan"/>
          <w:lang w:eastAsia="pt-BR"/>
        </w:rPr>
        <w:t>de OGM</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sz w:val="19"/>
          <w:szCs w:val="19"/>
          <w:highlight w:val="cyan"/>
          <w:lang w:eastAsia="pt-BR"/>
        </w:rPr>
        <w:t>seus derivados</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yellow"/>
          <w:lang w:eastAsia="pt-BR"/>
        </w:rPr>
        <w:t>para fins comerciais</w:t>
      </w:r>
      <w:r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p w14:paraId="3F195335" w14:textId="3B65B67B" w:rsidR="00A301F0" w:rsidRPr="0062695C"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2</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As atividades e projetos que envolvam OGM e seus derivados, relacionados ao ensino com manipulação de organismos vivos, à pesquisa científica, ao desenvolvimento tecnológico e à produção industrial </w:t>
      </w:r>
      <w:r w:rsidRPr="00F1158C">
        <w:rPr>
          <w:rFonts w:ascii="Book Antiqua" w:eastAsia="Times New Roman" w:hAnsi="Book Antiqua" w:cs="Times New Roman"/>
          <w:b/>
          <w:bCs/>
          <w:caps/>
          <w:sz w:val="19"/>
          <w:szCs w:val="19"/>
          <w:highlight w:val="green"/>
          <w:lang w:eastAsia="pt-BR"/>
        </w:rPr>
        <w:t>ficam restritos</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yellow"/>
          <w:lang w:eastAsia="pt-BR"/>
        </w:rPr>
        <w:t>ao âmbito de entidades</w:t>
      </w:r>
      <w:r w:rsidRPr="00F1158C">
        <w:rPr>
          <w:rFonts w:ascii="Book Antiqua" w:eastAsia="Times New Roman" w:hAnsi="Book Antiqua" w:cs="Times New Roman"/>
          <w:b/>
          <w:bCs/>
          <w:sz w:val="19"/>
          <w:szCs w:val="19"/>
          <w:lang w:eastAsia="pt-BR"/>
        </w:rPr>
        <w:t xml:space="preserve"> de </w:t>
      </w:r>
      <w:r w:rsidRPr="00F1158C">
        <w:rPr>
          <w:rFonts w:ascii="Book Antiqua" w:eastAsia="Times New Roman" w:hAnsi="Book Antiqua" w:cs="Times New Roman"/>
          <w:b/>
          <w:bCs/>
          <w:sz w:val="19"/>
          <w:szCs w:val="19"/>
          <w:highlight w:val="cyan"/>
          <w:lang w:eastAsia="pt-BR"/>
        </w:rPr>
        <w:t>direito público</w:t>
      </w:r>
      <w:r w:rsidRPr="00F1158C">
        <w:rPr>
          <w:rFonts w:ascii="Book Antiqua" w:eastAsia="Times New Roman" w:hAnsi="Book Antiqua" w:cs="Times New Roman"/>
          <w:b/>
          <w:bCs/>
          <w:sz w:val="19"/>
          <w:szCs w:val="19"/>
          <w:lang w:eastAsia="pt-BR"/>
        </w:rPr>
        <w:t xml:space="preserve"> ou </w:t>
      </w:r>
      <w:r w:rsidRPr="00F1158C">
        <w:rPr>
          <w:rFonts w:ascii="Book Antiqua" w:eastAsia="Times New Roman" w:hAnsi="Book Antiqua" w:cs="Times New Roman"/>
          <w:b/>
          <w:bCs/>
          <w:sz w:val="19"/>
          <w:szCs w:val="19"/>
          <w:highlight w:val="cyan"/>
          <w:lang w:eastAsia="pt-BR"/>
        </w:rPr>
        <w:t>privado</w:t>
      </w:r>
      <w:r w:rsidRPr="00F1158C">
        <w:rPr>
          <w:rFonts w:ascii="Book Antiqua" w:eastAsia="Times New Roman" w:hAnsi="Book Antiqua" w:cs="Times New Roman"/>
          <w:b/>
          <w:bCs/>
          <w:sz w:val="19"/>
          <w:szCs w:val="19"/>
          <w:lang w:eastAsia="pt-BR"/>
        </w:rPr>
        <w:t>, que serão responsáveis pela obediência aos preceitos desta Lei e de sua regulamentação, bem como pelas eventuais conseqüências ou efeitos advindos de seu descumprimento</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bookmarkStart w:id="3" w:name="_Hlk62298088"/>
      <w:r w:rsidR="00641FD2" w:rsidRPr="004B47A0">
        <w:rPr>
          <w:rFonts w:ascii="Book Antiqua" w:eastAsia="Times New Roman" w:hAnsi="Book Antiqua" w:cs="Times New Roman"/>
          <w:b/>
          <w:bCs/>
          <w:color w:val="FF0000"/>
          <w:sz w:val="16"/>
          <w:szCs w:val="16"/>
          <w:u w:val="single"/>
          <w:lang w:eastAsia="pt-BR"/>
        </w:rPr>
        <w:t>(TRF5-2011)</w:t>
      </w:r>
      <w:bookmarkEnd w:id="3"/>
      <w:r w:rsidRPr="004B47A0">
        <w:rPr>
          <w:rFonts w:ascii="Book Antiqua" w:eastAsia="Times New Roman" w:hAnsi="Book Antiqua" w:cs="Times New Roman"/>
          <w:sz w:val="16"/>
          <w:szCs w:val="16"/>
          <w:lang w:eastAsia="pt-BR"/>
        </w:rPr>
        <w:t xml:space="preserve"> </w:t>
      </w:r>
      <w:bookmarkStart w:id="4" w:name="_Hlk40997202"/>
      <w:r w:rsidR="00B064DF" w:rsidRPr="004B47A0">
        <w:rPr>
          <w:rFonts w:ascii="Book Antiqua" w:eastAsia="Times New Roman" w:hAnsi="Book Antiqua" w:cs="Times New Roman"/>
          <w:b/>
          <w:bCs/>
          <w:color w:val="FF0000"/>
          <w:sz w:val="16"/>
          <w:szCs w:val="16"/>
          <w:u w:val="single"/>
          <w:lang w:eastAsia="pt-BR"/>
        </w:rPr>
        <w:t>(MPSC-2012)</w:t>
      </w:r>
      <w:bookmarkEnd w:id="4"/>
      <w:r w:rsidR="00F76A7D" w:rsidRPr="004B47A0">
        <w:rPr>
          <w:rFonts w:ascii="Book Antiqua" w:eastAsia="Times New Roman" w:hAnsi="Book Antiqua" w:cs="Times New Roman"/>
          <w:b/>
          <w:bCs/>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(TRF3-2011/2018)</w:t>
      </w:r>
      <w:r w:rsidR="00143BF7" w:rsidRPr="004B47A0">
        <w:rPr>
          <w:rFonts w:ascii="Book Antiqua" w:eastAsia="Times New Roman" w:hAnsi="Book Antiqua" w:cs="Times New Roman"/>
          <w:b/>
          <w:bCs/>
          <w:color w:val="FF0000"/>
          <w:sz w:val="16"/>
          <w:szCs w:val="16"/>
          <w:lang w:eastAsia="pt-BR"/>
        </w:rPr>
        <w:t xml:space="preserve"> </w:t>
      </w:r>
      <w:r w:rsidR="00143BF7" w:rsidRPr="004B47A0">
        <w:rPr>
          <w:rFonts w:ascii="Book Antiqua" w:eastAsia="Times New Roman" w:hAnsi="Book Antiqua" w:cs="Times New Roman"/>
          <w:b/>
          <w:bCs/>
          <w:color w:val="FF0000"/>
          <w:sz w:val="16"/>
          <w:szCs w:val="16"/>
          <w:u w:val="single"/>
          <w:lang w:eastAsia="pt-BR"/>
        </w:rPr>
        <w:t>(TJCE-2018)</w:t>
      </w:r>
      <w:r w:rsidR="0062695C">
        <w:rPr>
          <w:rFonts w:ascii="Book Antiqua" w:eastAsia="Times New Roman" w:hAnsi="Book Antiqua" w:cs="Times New Roman"/>
          <w:b/>
          <w:bCs/>
          <w:color w:val="FF0000"/>
          <w:sz w:val="16"/>
          <w:szCs w:val="16"/>
          <w:lang w:eastAsia="pt-BR"/>
        </w:rPr>
        <w:t xml:space="preserve"> </w:t>
      </w:r>
      <w:r w:rsidR="0062695C">
        <w:rPr>
          <w:rFonts w:ascii="Book Antiqua" w:eastAsia="Times New Roman" w:hAnsi="Book Antiqua" w:cs="Times New Roman"/>
          <w:b/>
          <w:color w:val="FF0000"/>
          <w:sz w:val="16"/>
          <w:szCs w:val="16"/>
          <w:u w:val="single"/>
          <w:lang w:eastAsia="pt-BR"/>
        </w:rPr>
        <w:t>(MPSC-2024)</w:t>
      </w:r>
    </w:p>
    <w:p w14:paraId="4999F9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Para os fins desta Lei, consideram-se atividades e projetos no âmbito de entidade os conduzidos em instalações próprias ou sob a responsabilidade administrativa, técnica ou científica da entidade. </w:t>
      </w:r>
    </w:p>
    <w:p w14:paraId="32F7883C" w14:textId="2E3CC3E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 2</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As atividades e projetos de que trata este artigo </w:t>
      </w:r>
      <w:r w:rsidRPr="00741250">
        <w:rPr>
          <w:rFonts w:ascii="Book Antiqua" w:eastAsia="Times New Roman" w:hAnsi="Book Antiqua" w:cs="Times New Roman"/>
          <w:b/>
          <w:caps/>
          <w:sz w:val="19"/>
          <w:szCs w:val="19"/>
          <w:highlight w:val="green"/>
          <w:lang w:eastAsia="pt-BR"/>
        </w:rPr>
        <w:t>são vedados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a pessoas físicas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 atuação autônoma e independente</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caps/>
          <w:sz w:val="19"/>
          <w:szCs w:val="19"/>
          <w:highlight w:val="green"/>
          <w:lang w:eastAsia="pt-BR"/>
        </w:rPr>
        <w:t>ainda que mantenham</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sz w:val="19"/>
          <w:szCs w:val="19"/>
          <w:highlight w:val="cyan"/>
          <w:lang w:eastAsia="pt-BR"/>
        </w:rPr>
        <w:t>vínculo empregatício</w:t>
      </w:r>
      <w:r w:rsidRPr="00741250">
        <w:rPr>
          <w:rFonts w:ascii="Book Antiqua" w:eastAsia="Times New Roman" w:hAnsi="Book Antiqua" w:cs="Times New Roman"/>
          <w:b/>
          <w:sz w:val="19"/>
          <w:szCs w:val="19"/>
          <w:lang w:eastAsia="pt-BR"/>
        </w:rPr>
        <w:t xml:space="preserve"> ou </w:t>
      </w:r>
      <w:r w:rsidRPr="00143BF7">
        <w:rPr>
          <w:rFonts w:ascii="Book Antiqua" w:eastAsia="Times New Roman" w:hAnsi="Book Antiqua" w:cs="Times New Roman"/>
          <w:b/>
          <w:sz w:val="19"/>
          <w:szCs w:val="19"/>
          <w:highlight w:val="cyan"/>
          <w:lang w:eastAsia="pt-BR"/>
        </w:rPr>
        <w:t>qualquer outro</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sz w:val="19"/>
          <w:szCs w:val="19"/>
          <w:highlight w:val="yellow"/>
          <w:lang w:eastAsia="pt-BR"/>
        </w:rPr>
        <w:t>com pessoas jurídicas</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D0775F" w:rsidRPr="004B47A0">
        <w:rPr>
          <w:rFonts w:ascii="Book Antiqua" w:eastAsia="Times New Roman" w:hAnsi="Book Antiqua" w:cs="Times New Roman"/>
          <w:b/>
          <w:bCs/>
          <w:color w:val="FF0000"/>
          <w:sz w:val="16"/>
          <w:szCs w:val="16"/>
          <w:u w:val="single"/>
          <w:lang w:eastAsia="pt-BR"/>
        </w:rPr>
        <w:t>/2013</w:t>
      </w:r>
      <w:r w:rsidR="00641FD2" w:rsidRPr="004B47A0">
        <w:rPr>
          <w:rFonts w:ascii="Book Antiqua" w:eastAsia="Times New Roman" w:hAnsi="Book Antiqua" w:cs="Times New Roman"/>
          <w:b/>
          <w:bCs/>
          <w:color w:val="FF0000"/>
          <w:sz w:val="16"/>
          <w:szCs w:val="16"/>
          <w:u w:val="single"/>
          <w:lang w:eastAsia="pt-BR"/>
        </w:rPr>
        <w:t>)</w:t>
      </w:r>
      <w:r w:rsidR="00F76A7D" w:rsidRPr="004B47A0">
        <w:rPr>
          <w:rFonts w:ascii="Book Antiqua" w:eastAsia="Times New Roman" w:hAnsi="Book Antiqua" w:cs="Times New Roman"/>
          <w:b/>
          <w:bCs/>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(TRF3-2011/2018)</w:t>
      </w:r>
      <w:r w:rsidRPr="004B47A0">
        <w:rPr>
          <w:rFonts w:ascii="Book Antiqua" w:eastAsia="Times New Roman" w:hAnsi="Book Antiqua" w:cs="Times New Roman"/>
          <w:sz w:val="16"/>
          <w:szCs w:val="16"/>
          <w:lang w:eastAsia="pt-BR"/>
        </w:rPr>
        <w:t xml:space="preserve"> </w:t>
      </w:r>
      <w:r w:rsidR="00143BF7" w:rsidRPr="004B47A0">
        <w:rPr>
          <w:rFonts w:ascii="Book Antiqua" w:eastAsia="Times New Roman" w:hAnsi="Book Antiqua" w:cs="Times New Roman"/>
          <w:b/>
          <w:bCs/>
          <w:color w:val="FF0000"/>
          <w:sz w:val="16"/>
          <w:szCs w:val="16"/>
          <w:u w:val="single"/>
          <w:lang w:eastAsia="pt-BR"/>
        </w:rPr>
        <w:t>(TJCE-2018)</w:t>
      </w:r>
    </w:p>
    <w:p w14:paraId="5D323B70" w14:textId="20107242"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D0775F">
        <w:rPr>
          <w:rFonts w:ascii="Book Antiqua" w:eastAsia="Times New Roman" w:hAnsi="Book Antiqua" w:cs="Times New Roman"/>
          <w:b/>
          <w:bCs/>
          <w:sz w:val="19"/>
          <w:szCs w:val="19"/>
          <w:highlight w:val="magenta"/>
          <w:lang w:eastAsia="pt-BR"/>
        </w:rPr>
        <w:t>§ 3</w:t>
      </w:r>
      <w:r w:rsidRPr="00D0775F">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Os interessados em realizar atividade prevista nesta Lei </w:t>
      </w:r>
      <w:r w:rsidRPr="00F1158C">
        <w:rPr>
          <w:rFonts w:ascii="Book Antiqua" w:eastAsia="Times New Roman" w:hAnsi="Book Antiqua" w:cs="Times New Roman"/>
          <w:b/>
          <w:bCs/>
          <w:caps/>
          <w:sz w:val="19"/>
          <w:szCs w:val="19"/>
          <w:highlight w:val="green"/>
          <w:lang w:eastAsia="pt-BR"/>
        </w:rPr>
        <w:t>deverão requerer</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autorização</w:t>
      </w:r>
      <w:r w:rsidRPr="00F1158C">
        <w:rPr>
          <w:rFonts w:ascii="Book Antiqua" w:eastAsia="Times New Roman" w:hAnsi="Book Antiqua" w:cs="Times New Roman"/>
          <w:b/>
          <w:bCs/>
          <w:sz w:val="19"/>
          <w:szCs w:val="19"/>
          <w:lang w:eastAsia="pt-BR"/>
        </w:rPr>
        <w:t xml:space="preserve"> à </w:t>
      </w:r>
      <w:r w:rsidRPr="00F1158C">
        <w:rPr>
          <w:rFonts w:ascii="Book Antiqua" w:eastAsia="Times New Roman" w:hAnsi="Book Antiqua" w:cs="Times New Roman"/>
          <w:b/>
          <w:bCs/>
          <w:sz w:val="19"/>
          <w:szCs w:val="19"/>
          <w:highlight w:val="yellow"/>
          <w:lang w:eastAsia="pt-BR"/>
        </w:rPr>
        <w:t>Comissão Técnica Nacional de Biossegurança – CTNBio</w:t>
      </w:r>
      <w:r w:rsidRPr="00F1158C">
        <w:rPr>
          <w:rFonts w:ascii="Book Antiqua" w:eastAsia="Times New Roman" w:hAnsi="Book Antiqua" w:cs="Times New Roman"/>
          <w:b/>
          <w:bCs/>
          <w:sz w:val="19"/>
          <w:szCs w:val="19"/>
          <w:lang w:eastAsia="pt-BR"/>
        </w:rPr>
        <w:t>, que se manifestará no prazo fixado em regulamento</w:t>
      </w:r>
      <w:r w:rsidRPr="004B47A0">
        <w:rPr>
          <w:rFonts w:ascii="Book Antiqua" w:eastAsia="Times New Roman" w:hAnsi="Book Antiqua" w:cs="Times New Roman"/>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p>
    <w:p w14:paraId="6B1F2920" w14:textId="56FF476D" w:rsidR="00A301F0" w:rsidRPr="0062695C" w:rsidRDefault="00A301F0" w:rsidP="00F0541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highlight w:val="magenta"/>
          <w:lang w:eastAsia="pt-BR"/>
        </w:rPr>
        <w:t>§ 4</w:t>
      </w:r>
      <w:r w:rsidRPr="00F1158C">
        <w:rPr>
          <w:rFonts w:ascii="Book Antiqua" w:eastAsia="Times New Roman" w:hAnsi="Book Antiqua" w:cs="Times New Roman"/>
          <w:b/>
          <w:bCs/>
          <w:sz w:val="19"/>
          <w:szCs w:val="19"/>
          <w:highlight w:val="magenta"/>
          <w:u w:val="single"/>
          <w:vertAlign w:val="superscript"/>
          <w:lang w:eastAsia="pt-BR"/>
        </w:rPr>
        <w:t>o</w:t>
      </w:r>
      <w:r w:rsidRPr="00F1158C">
        <w:rPr>
          <w:rFonts w:ascii="Book Antiqua" w:eastAsia="Times New Roman" w:hAnsi="Book Antiqua" w:cs="Times New Roman"/>
          <w:b/>
          <w:bCs/>
          <w:sz w:val="19"/>
          <w:szCs w:val="19"/>
          <w:lang w:eastAsia="pt-BR"/>
        </w:rPr>
        <w:t xml:space="preserve"> As </w:t>
      </w:r>
      <w:r w:rsidRPr="0062695C">
        <w:rPr>
          <w:rFonts w:ascii="Book Antiqua" w:eastAsia="Times New Roman" w:hAnsi="Book Antiqua" w:cs="Times New Roman"/>
          <w:b/>
          <w:bCs/>
          <w:sz w:val="19"/>
          <w:szCs w:val="19"/>
          <w:highlight w:val="yellow"/>
          <w:lang w:eastAsia="pt-BR"/>
        </w:rPr>
        <w:t>organizações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públicas</w:t>
      </w:r>
      <w:r w:rsidRPr="00F1158C">
        <w:rPr>
          <w:rFonts w:ascii="Book Antiqua" w:eastAsia="Times New Roman" w:hAnsi="Book Antiqua" w:cs="Times New Roman"/>
          <w:b/>
          <w:bCs/>
          <w:sz w:val="19"/>
          <w:szCs w:val="19"/>
          <w:lang w:eastAsia="pt-BR"/>
        </w:rPr>
        <w:t xml:space="preserve"> e </w:t>
      </w:r>
      <w:r w:rsidRPr="0062695C">
        <w:rPr>
          <w:rFonts w:ascii="Book Antiqua" w:eastAsia="Times New Roman" w:hAnsi="Book Antiqua" w:cs="Times New Roman"/>
          <w:b/>
          <w:bCs/>
          <w:sz w:val="19"/>
          <w:szCs w:val="19"/>
          <w:highlight w:val="cyan"/>
          <w:lang w:eastAsia="pt-BR"/>
        </w:rPr>
        <w:t>privadas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nacionais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estrangeiras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internacionais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financiadoras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patrocinadoras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de atividades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cyan"/>
          <w:lang w:eastAsia="pt-BR"/>
        </w:rPr>
        <w:t>de projetos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referidos no caput deste artigo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devem exigir</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a apresentação</w:t>
      </w:r>
      <w:r w:rsidRPr="00F1158C">
        <w:rPr>
          <w:rFonts w:ascii="Book Antiqua" w:eastAsia="Times New Roman" w:hAnsi="Book Antiqua" w:cs="Times New Roman"/>
          <w:b/>
          <w:bCs/>
          <w:sz w:val="19"/>
          <w:szCs w:val="19"/>
          <w:lang w:eastAsia="pt-BR"/>
        </w:rPr>
        <w:t xml:space="preserve"> de </w:t>
      </w:r>
      <w:r w:rsidRPr="0062695C">
        <w:rPr>
          <w:rFonts w:ascii="Book Antiqua" w:eastAsia="Times New Roman" w:hAnsi="Book Antiqua" w:cs="Times New Roman"/>
          <w:b/>
          <w:bCs/>
          <w:caps/>
          <w:sz w:val="19"/>
          <w:szCs w:val="19"/>
          <w:shd w:val="clear" w:color="auto" w:fill="F7CAAC" w:themeFill="accent2" w:themeFillTint="66"/>
          <w:lang w:eastAsia="pt-BR"/>
        </w:rPr>
        <w:t>Certificado de Qualidade em Biossegurança</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emitido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pela CTNBio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sob pena de se tornarem</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co-responsáveis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pelos eventuais efeitos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decorrentes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do descumprimento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desta Lei</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de sua regulamentação</w:t>
      </w:r>
      <w:r w:rsidRPr="004B47A0">
        <w:rPr>
          <w:rFonts w:ascii="Book Antiqua" w:eastAsia="Times New Roman" w:hAnsi="Book Antiqua" w:cs="Times New Roman"/>
          <w:sz w:val="16"/>
          <w:szCs w:val="16"/>
          <w:lang w:eastAsia="pt-BR"/>
        </w:rPr>
        <w:t>.</w:t>
      </w:r>
      <w:r w:rsidR="00B064DF" w:rsidRPr="004B47A0">
        <w:rPr>
          <w:rFonts w:ascii="Book Antiqua" w:eastAsia="Times New Roman" w:hAnsi="Book Antiqua" w:cs="Times New Roman"/>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(TRF5-2013)</w:t>
      </w:r>
      <w:r w:rsidR="0062695C">
        <w:rPr>
          <w:rFonts w:ascii="Book Antiqua" w:eastAsia="Times New Roman" w:hAnsi="Book Antiqua" w:cs="Times New Roman"/>
          <w:b/>
          <w:bCs/>
          <w:color w:val="FF0000"/>
          <w:sz w:val="16"/>
          <w:szCs w:val="16"/>
          <w:lang w:eastAsia="pt-BR"/>
        </w:rPr>
        <w:t xml:space="preserve"> </w:t>
      </w:r>
      <w:r w:rsidR="0062695C">
        <w:rPr>
          <w:rFonts w:ascii="Book Antiqua" w:eastAsia="Times New Roman" w:hAnsi="Book Antiqua" w:cs="Times New Roman"/>
          <w:b/>
          <w:color w:val="FF0000"/>
          <w:sz w:val="16"/>
          <w:szCs w:val="16"/>
          <w:u w:val="single"/>
          <w:lang w:eastAsia="pt-BR"/>
        </w:rPr>
        <w:t>(MPSC-2012/2024)</w:t>
      </w:r>
    </w:p>
    <w:tbl>
      <w:tblPr>
        <w:tblStyle w:val="Tabelacomgrade"/>
        <w:tblW w:w="0" w:type="auto"/>
        <w:tblLook w:val="04A0" w:firstRow="1" w:lastRow="0" w:firstColumn="1" w:lastColumn="0" w:noHBand="0" w:noVBand="1"/>
      </w:tblPr>
      <w:tblGrid>
        <w:gridCol w:w="8494"/>
      </w:tblGrid>
      <w:tr w:rsidR="00D0775F" w14:paraId="01DB6848" w14:textId="77777777" w:rsidTr="00D0775F">
        <w:tc>
          <w:tcPr>
            <w:tcW w:w="8494" w:type="dxa"/>
            <w:shd w:val="clear" w:color="auto" w:fill="CCFFFF"/>
          </w:tcPr>
          <w:p w14:paraId="6ED87A5E" w14:textId="3C0D0FFC" w:rsidR="00D0775F" w:rsidRPr="00D0775F" w:rsidRDefault="00D0775F"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0775F">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0775F">
              <w:rPr>
                <w:rFonts w:ascii="Book Antiqua" w:eastAsia="Times New Roman" w:hAnsi="Book Antiqua" w:cs="Times New Roman"/>
                <w:sz w:val="19"/>
                <w:szCs w:val="19"/>
                <w:lang w:eastAsia="pt-BR"/>
              </w:rPr>
              <w:t>A respeito de atividades que envolvam OGMs e seus derivados, assinale a opção correta à luz da Lei n.º 11.105/2005</w:t>
            </w:r>
            <w:r>
              <w:rPr>
                <w:rFonts w:ascii="Book Antiqua" w:eastAsia="Times New Roman" w:hAnsi="Book Antiqua" w:cs="Times New Roman"/>
                <w:sz w:val="19"/>
                <w:szCs w:val="19"/>
                <w:lang w:eastAsia="pt-BR"/>
              </w:rPr>
              <w:t xml:space="preserve">: </w:t>
            </w:r>
            <w:r w:rsidRPr="00D0775F">
              <w:rPr>
                <w:rFonts w:ascii="Book Antiqua" w:eastAsia="Times New Roman" w:hAnsi="Book Antiqua" w:cs="Times New Roman"/>
                <w:sz w:val="19"/>
                <w:szCs w:val="19"/>
                <w:lang w:eastAsia="pt-BR"/>
              </w:rPr>
              <w:t>As entidades financiadoras ou patrocinadoras das atividades que envolvam OGM e seus derivados devem exigir a apresentação do certificado de qualidade em biossegurança, sob pena de se tornarem corresponsáveis pelos eventuais efeitos decorrentes da atividade.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§4º, Lei 11.101/05.</w:t>
            </w:r>
          </w:p>
        </w:tc>
      </w:tr>
    </w:tbl>
    <w:p w14:paraId="2579B0F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magenta"/>
          <w:lang w:eastAsia="pt-BR"/>
        </w:rPr>
        <w:t>Art. 3</w:t>
      </w:r>
      <w:r w:rsidRPr="00641FD2">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cyan"/>
          <w:lang w:eastAsia="pt-BR"/>
        </w:rPr>
        <w:t>Para os efeitos</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yellow"/>
          <w:lang w:eastAsia="pt-BR"/>
        </w:rPr>
        <w:t>desta Lei</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caps/>
          <w:sz w:val="19"/>
          <w:szCs w:val="19"/>
          <w:highlight w:val="green"/>
          <w:lang w:eastAsia="pt-BR"/>
        </w:rPr>
        <w:t>considera-se</w:t>
      </w:r>
      <w:r w:rsidRPr="00741250">
        <w:rPr>
          <w:rFonts w:ascii="Book Antiqua" w:eastAsia="Times New Roman" w:hAnsi="Book Antiqua" w:cs="Times New Roman"/>
          <w:sz w:val="19"/>
          <w:szCs w:val="19"/>
          <w:lang w:eastAsia="pt-BR"/>
        </w:rPr>
        <w:t>:</w:t>
      </w:r>
    </w:p>
    <w:p w14:paraId="488746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organismo</w:t>
      </w:r>
      <w:proofErr w:type="gramEnd"/>
      <w:r w:rsidRPr="00741250">
        <w:rPr>
          <w:rFonts w:ascii="Book Antiqua" w:eastAsia="Times New Roman" w:hAnsi="Book Antiqua" w:cs="Times New Roman"/>
          <w:sz w:val="19"/>
          <w:szCs w:val="19"/>
          <w:lang w:eastAsia="pt-BR"/>
        </w:rPr>
        <w:t>: toda entidade biológica capaz de reproduzir ou transferir material genético, inclusive vírus e outras classes que venham a ser conhecidas;</w:t>
      </w:r>
    </w:p>
    <w:p w14:paraId="08A89AF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 – ácido desoxirribonucléico - ADN, ácido ribonucléico - ARN: material genético que contém informações determinantes dos caracteres hereditários transmissíveis à descendência;</w:t>
      </w:r>
    </w:p>
    <w:p w14:paraId="474E5A0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moléculas de ADN/ARN recombinante: as moléculas manipuladas fora das células vivas mediante a modificação de segmentos de ADN/ARN natural ou sintético e que possam multiplicar-se em uma célula viva, ou ainda as moléculas de ADN/ARN resultantes dessa multiplicação; consideram-se também os segmentos de ADN/ARN sintéticos equivalentes aos de ADN/ARN natural;</w:t>
      </w:r>
    </w:p>
    <w:p w14:paraId="23E0F6B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engenharia</w:t>
      </w:r>
      <w:proofErr w:type="gramEnd"/>
      <w:r w:rsidRPr="00741250">
        <w:rPr>
          <w:rFonts w:ascii="Book Antiqua" w:eastAsia="Times New Roman" w:hAnsi="Book Antiqua" w:cs="Times New Roman"/>
          <w:sz w:val="19"/>
          <w:szCs w:val="19"/>
          <w:lang w:eastAsia="pt-BR"/>
        </w:rPr>
        <w:t xml:space="preserve"> genética: atividade de produção e manipulação de moléculas de ADN/ARN recombinante;</w:t>
      </w:r>
    </w:p>
    <w:p w14:paraId="0865B675" w14:textId="05635000"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V – </w:t>
      </w:r>
      <w:r w:rsidRPr="00F1158C">
        <w:rPr>
          <w:rFonts w:ascii="Book Antiqua" w:eastAsia="Times New Roman" w:hAnsi="Book Antiqua" w:cs="Times New Roman"/>
          <w:b/>
          <w:bCs/>
          <w:caps/>
          <w:sz w:val="19"/>
          <w:szCs w:val="19"/>
          <w:shd w:val="clear" w:color="auto" w:fill="F7CAAC" w:themeFill="accent2" w:themeFillTint="66"/>
          <w:lang w:eastAsia="pt-BR"/>
        </w:rPr>
        <w:t>organismo geneticamente modificado</w:t>
      </w:r>
      <w:r w:rsidRPr="00F1158C">
        <w:rPr>
          <w:rFonts w:ascii="Book Antiqua" w:eastAsia="Times New Roman" w:hAnsi="Book Antiqua" w:cs="Times New Roman"/>
          <w:b/>
          <w:bCs/>
          <w:sz w:val="19"/>
          <w:szCs w:val="19"/>
          <w:lang w:eastAsia="pt-BR"/>
        </w:rPr>
        <w:t xml:space="preserve"> - </w:t>
      </w:r>
      <w:r w:rsidRPr="00F1158C">
        <w:rPr>
          <w:rFonts w:ascii="Book Antiqua" w:eastAsia="Times New Roman" w:hAnsi="Book Antiqua" w:cs="Times New Roman"/>
          <w:b/>
          <w:bCs/>
          <w:sz w:val="19"/>
          <w:szCs w:val="19"/>
          <w:shd w:val="clear" w:color="auto" w:fill="F7CAAC" w:themeFill="accent2" w:themeFillTint="66"/>
          <w:lang w:eastAsia="pt-BR"/>
        </w:rPr>
        <w:t>OGM</w:t>
      </w:r>
      <w:r w:rsidRPr="00F1158C">
        <w:rPr>
          <w:rFonts w:ascii="Book Antiqua" w:eastAsia="Times New Roman" w:hAnsi="Book Antiqua" w:cs="Times New Roman"/>
          <w:b/>
          <w:bCs/>
          <w:sz w:val="19"/>
          <w:szCs w:val="19"/>
          <w:lang w:eastAsia="pt-BR"/>
        </w:rPr>
        <w:t>: organismo cujo material genético – ADN/ARN tenha sido modificado por qualquer técnica de engenharia genética</w:t>
      </w:r>
      <w:r w:rsidRPr="004B47A0">
        <w:rPr>
          <w:rFonts w:ascii="Book Antiqua" w:eastAsia="Times New Roman" w:hAnsi="Book Antiqua" w:cs="Times New Roman"/>
          <w:sz w:val="18"/>
          <w:szCs w:val="18"/>
          <w:lang w:eastAsia="pt-BR"/>
        </w:rPr>
        <w:t>;</w:t>
      </w:r>
      <w:r w:rsidR="00641FD2" w:rsidRPr="004B47A0">
        <w:rPr>
          <w:rFonts w:ascii="Book Antiqua" w:eastAsia="Times New Roman" w:hAnsi="Book Antiqua" w:cs="Times New Roman"/>
          <w:sz w:val="18"/>
          <w:szCs w:val="18"/>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p>
    <w:p w14:paraId="4115502A" w14:textId="1399028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155B49">
        <w:rPr>
          <w:rFonts w:ascii="Book Antiqua" w:eastAsia="Times New Roman" w:hAnsi="Book Antiqua" w:cs="Times New Roman"/>
          <w:b/>
          <w:bCs/>
          <w:sz w:val="19"/>
          <w:szCs w:val="19"/>
          <w:lang w:eastAsia="pt-BR"/>
        </w:rPr>
        <w:t xml:space="preserve">VI – </w:t>
      </w:r>
      <w:r w:rsidRPr="00155B49">
        <w:rPr>
          <w:rFonts w:ascii="Book Antiqua" w:eastAsia="Times New Roman" w:hAnsi="Book Antiqua" w:cs="Times New Roman"/>
          <w:b/>
          <w:bCs/>
          <w:caps/>
          <w:sz w:val="19"/>
          <w:szCs w:val="19"/>
          <w:shd w:val="clear" w:color="auto" w:fill="F7CAAC" w:themeFill="accent2" w:themeFillTint="66"/>
          <w:lang w:eastAsia="pt-BR"/>
        </w:rPr>
        <w:t>derivado de OGM</w:t>
      </w:r>
      <w:r w:rsidRPr="00155B49">
        <w:rPr>
          <w:rFonts w:ascii="Book Antiqua" w:eastAsia="Times New Roman" w:hAnsi="Book Antiqua" w:cs="Times New Roman"/>
          <w:b/>
          <w:bCs/>
          <w:sz w:val="19"/>
          <w:szCs w:val="19"/>
          <w:lang w:eastAsia="pt-BR"/>
        </w:rPr>
        <w:t xml:space="preserve">: produto obtido de OGM e que </w:t>
      </w:r>
      <w:r w:rsidRPr="00155B49">
        <w:rPr>
          <w:rFonts w:ascii="Book Antiqua" w:eastAsia="Times New Roman" w:hAnsi="Book Antiqua" w:cs="Times New Roman"/>
          <w:b/>
          <w:bCs/>
          <w:caps/>
          <w:sz w:val="19"/>
          <w:szCs w:val="19"/>
          <w:highlight w:val="green"/>
          <w:lang w:eastAsia="pt-BR"/>
        </w:rPr>
        <w:t>não possua</w:t>
      </w:r>
      <w:r w:rsidRPr="00155B49">
        <w:rPr>
          <w:rFonts w:ascii="Book Antiqua" w:eastAsia="Times New Roman" w:hAnsi="Book Antiqua" w:cs="Times New Roman"/>
          <w:b/>
          <w:bCs/>
          <w:sz w:val="19"/>
          <w:szCs w:val="19"/>
          <w:lang w:eastAsia="pt-BR"/>
        </w:rPr>
        <w:t xml:space="preserve"> </w:t>
      </w:r>
      <w:r w:rsidRPr="00155B49">
        <w:rPr>
          <w:rFonts w:ascii="Book Antiqua" w:eastAsia="Times New Roman" w:hAnsi="Book Antiqua" w:cs="Times New Roman"/>
          <w:b/>
          <w:bCs/>
          <w:sz w:val="19"/>
          <w:szCs w:val="19"/>
          <w:highlight w:val="cyan"/>
          <w:lang w:eastAsia="pt-BR"/>
        </w:rPr>
        <w:t>capacidade autônoma de replicação</w:t>
      </w:r>
      <w:r w:rsidRPr="00155B49">
        <w:rPr>
          <w:rFonts w:ascii="Book Antiqua" w:eastAsia="Times New Roman" w:hAnsi="Book Antiqua" w:cs="Times New Roman"/>
          <w:b/>
          <w:bCs/>
          <w:sz w:val="19"/>
          <w:szCs w:val="19"/>
          <w:lang w:eastAsia="pt-BR"/>
        </w:rPr>
        <w:t xml:space="preserve"> ou que não contenha forma viável de OGM</w:t>
      </w:r>
      <w:r w:rsidRPr="004B47A0">
        <w:rPr>
          <w:rFonts w:ascii="Book Antiqua" w:eastAsia="Times New Roman" w:hAnsi="Book Antiqua" w:cs="Times New Roman"/>
          <w:sz w:val="18"/>
          <w:szCs w:val="18"/>
          <w:lang w:eastAsia="pt-BR"/>
        </w:rPr>
        <w:t>;</w:t>
      </w:r>
      <w:r w:rsidR="00155B49" w:rsidRPr="004B47A0">
        <w:rPr>
          <w:rFonts w:ascii="Book Antiqua" w:eastAsia="Times New Roman" w:hAnsi="Book Antiqua" w:cs="Times New Roman"/>
          <w:sz w:val="18"/>
          <w:szCs w:val="18"/>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69B134C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célula germinal humana: célula-mãe responsável pela formação de gametas presentes nas glândulas sexuais femininas e masculinas e suas descendentes diretas em qualquer grau de ploidia;</w:t>
      </w:r>
    </w:p>
    <w:p w14:paraId="4E43524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clonagem: processo de reprodução assexuada, produzida artificialmente, baseada em um único patrimônio genético, com ou sem utilização de técnicas de engenharia genética;</w:t>
      </w:r>
    </w:p>
    <w:p w14:paraId="07B80AF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IX – </w:t>
      </w:r>
      <w:proofErr w:type="gramStart"/>
      <w:r w:rsidRPr="00741250">
        <w:rPr>
          <w:rFonts w:ascii="Book Antiqua" w:eastAsia="Times New Roman" w:hAnsi="Book Antiqua" w:cs="Times New Roman"/>
          <w:sz w:val="19"/>
          <w:szCs w:val="19"/>
          <w:lang w:eastAsia="pt-BR"/>
        </w:rPr>
        <w:t>clonagem</w:t>
      </w:r>
      <w:proofErr w:type="gramEnd"/>
      <w:r w:rsidRPr="00741250">
        <w:rPr>
          <w:rFonts w:ascii="Book Antiqua" w:eastAsia="Times New Roman" w:hAnsi="Book Antiqua" w:cs="Times New Roman"/>
          <w:sz w:val="19"/>
          <w:szCs w:val="19"/>
          <w:lang w:eastAsia="pt-BR"/>
        </w:rPr>
        <w:t xml:space="preserve"> para fins reprodutivos: clonagem com a finalidade de obtenção de um indivíduo;</w:t>
      </w:r>
    </w:p>
    <w:p w14:paraId="3A888C4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clonagem</w:t>
      </w:r>
      <w:proofErr w:type="gramEnd"/>
      <w:r w:rsidRPr="00741250">
        <w:rPr>
          <w:rFonts w:ascii="Book Antiqua" w:eastAsia="Times New Roman" w:hAnsi="Book Antiqua" w:cs="Times New Roman"/>
          <w:sz w:val="19"/>
          <w:szCs w:val="19"/>
          <w:lang w:eastAsia="pt-BR"/>
        </w:rPr>
        <w:t xml:space="preserve"> terapêutica: clonagem com a finalidade de produção de células-tronco embrionárias para utilização terapêutica;</w:t>
      </w:r>
    </w:p>
    <w:p w14:paraId="237A59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células-tronco embrionárias: células de embrião que apresentam a capacidade de se transformar em células de qualquer tecido de um organismo.</w:t>
      </w:r>
    </w:p>
    <w:p w14:paraId="27CD6D86" w14:textId="66CF04CF"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F76A7D">
        <w:rPr>
          <w:rFonts w:ascii="Book Antiqua" w:eastAsia="Times New Roman" w:hAnsi="Book Antiqua" w:cs="Times New Roman"/>
          <w:b/>
          <w:bCs/>
          <w:sz w:val="19"/>
          <w:szCs w:val="19"/>
          <w:highlight w:val="magenta"/>
          <w:lang w:eastAsia="pt-BR"/>
        </w:rPr>
        <w:t>§ 1</w:t>
      </w:r>
      <w:r w:rsidRPr="00F76A7D">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caps/>
          <w:sz w:val="19"/>
          <w:szCs w:val="19"/>
          <w:highlight w:val="green"/>
          <w:lang w:eastAsia="pt-BR"/>
        </w:rPr>
        <w:t>Não se inclui</w:t>
      </w:r>
      <w:r w:rsidRPr="00F1158C">
        <w:rPr>
          <w:rFonts w:ascii="Book Antiqua" w:eastAsia="Times New Roman" w:hAnsi="Book Antiqua" w:cs="Times New Roman"/>
          <w:b/>
          <w:bCs/>
          <w:sz w:val="19"/>
          <w:szCs w:val="19"/>
          <w:lang w:eastAsia="pt-BR"/>
        </w:rPr>
        <w:t xml:space="preserve"> na categoria de OGM o resultante de técnicas que impliquem a introdução direta, num organismo, de material hereditário, desde que não envolvam a utilização de moléculas de ADN/ARN recombinante ou OGM, </w:t>
      </w:r>
      <w:r w:rsidRPr="00F1158C">
        <w:rPr>
          <w:rFonts w:ascii="Book Antiqua" w:eastAsia="Times New Roman" w:hAnsi="Book Antiqua" w:cs="Times New Roman"/>
          <w:b/>
          <w:bCs/>
          <w:caps/>
          <w:sz w:val="19"/>
          <w:szCs w:val="19"/>
          <w:highlight w:val="green"/>
          <w:lang w:eastAsia="pt-BR"/>
        </w:rPr>
        <w:t>inclusive</w:t>
      </w:r>
      <w:r w:rsidRPr="00F1158C">
        <w:rPr>
          <w:rFonts w:ascii="Book Antiqua" w:eastAsia="Times New Roman" w:hAnsi="Book Antiqua" w:cs="Times New Roman"/>
          <w:b/>
          <w:bCs/>
          <w:sz w:val="19"/>
          <w:szCs w:val="19"/>
          <w:lang w:eastAsia="pt-BR"/>
        </w:rPr>
        <w:t xml:space="preserve"> fecundação in vitro, conjugação, transdução, transformação, indução poliplóide e qualquer outro processo natural</w:t>
      </w:r>
      <w:r w:rsidRPr="004B47A0">
        <w:rPr>
          <w:rFonts w:ascii="Book Antiqua" w:eastAsia="Times New Roman" w:hAnsi="Book Antiqua" w:cs="Times New Roman"/>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0EEF871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Não se inclui na categoria de derivado de OGM a substância pura, quimicamente definida, obtida por meio de processos biológicos e que não contenha OGM, proteína heteróloga ou ADN recombinante.</w:t>
      </w:r>
    </w:p>
    <w:p w14:paraId="161D8BC4" w14:textId="29240DB1"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4"/>
          <w:szCs w:val="14"/>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4</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76A7D">
        <w:rPr>
          <w:rFonts w:ascii="Book Antiqua" w:eastAsia="Times New Roman" w:hAnsi="Book Antiqua" w:cs="Times New Roman"/>
          <w:b/>
          <w:sz w:val="19"/>
          <w:szCs w:val="19"/>
          <w:highlight w:val="yellow"/>
          <w:lang w:eastAsia="pt-BR"/>
        </w:rPr>
        <w:t>Esta Lei</w:t>
      </w:r>
      <w:r w:rsidRPr="00F76A7D">
        <w:rPr>
          <w:rFonts w:ascii="Book Antiqua" w:eastAsia="Times New Roman" w:hAnsi="Book Antiqua" w:cs="Times New Roman"/>
          <w:b/>
          <w:sz w:val="19"/>
          <w:szCs w:val="19"/>
          <w:lang w:eastAsia="pt-BR"/>
        </w:rPr>
        <w:t xml:space="preserve"> </w:t>
      </w:r>
      <w:r w:rsidRPr="00F76A7D">
        <w:rPr>
          <w:rFonts w:ascii="Book Antiqua" w:eastAsia="Times New Roman" w:hAnsi="Book Antiqua" w:cs="Times New Roman"/>
          <w:b/>
          <w:caps/>
          <w:sz w:val="19"/>
          <w:szCs w:val="19"/>
          <w:highlight w:val="green"/>
          <w:lang w:eastAsia="pt-BR"/>
        </w:rPr>
        <w:t>não se aplica</w:t>
      </w:r>
      <w:r w:rsidRPr="00F76A7D">
        <w:rPr>
          <w:rFonts w:ascii="Book Antiqua" w:eastAsia="Times New Roman" w:hAnsi="Book Antiqua" w:cs="Times New Roman"/>
          <w:b/>
          <w:sz w:val="19"/>
          <w:szCs w:val="19"/>
          <w:lang w:eastAsia="pt-BR"/>
        </w:rPr>
        <w:t xml:space="preserve"> quando a modificação genética for obtida por meio das seguintes técnicas, desde que não impliquem a utilização de OGM como receptor ou doador</w:t>
      </w:r>
      <w:r w:rsidRPr="004B47A0">
        <w:rPr>
          <w:rFonts w:ascii="Book Antiqua" w:eastAsia="Times New Roman" w:hAnsi="Book Antiqua" w:cs="Times New Roman"/>
          <w:sz w:val="16"/>
          <w:szCs w:val="16"/>
          <w:lang w:eastAsia="pt-BR"/>
        </w:rPr>
        <w:t>:</w:t>
      </w:r>
      <w:r w:rsidR="00F1158C" w:rsidRPr="004B47A0">
        <w:rPr>
          <w:rFonts w:ascii="Book Antiqua" w:eastAsia="Times New Roman" w:hAnsi="Book Antiqua" w:cs="Times New Roman"/>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A77F03" w:rsidRPr="004B47A0">
        <w:rPr>
          <w:rFonts w:ascii="Book Antiqua" w:eastAsia="Times New Roman" w:hAnsi="Book Antiqua" w:cs="Times New Roman"/>
          <w:b/>
          <w:color w:val="FF0000"/>
          <w:sz w:val="16"/>
          <w:szCs w:val="16"/>
          <w:lang w:eastAsia="pt-BR"/>
        </w:rPr>
        <w:t xml:space="preserve"> </w:t>
      </w:r>
      <w:r w:rsidR="00A77F03" w:rsidRPr="004B47A0">
        <w:rPr>
          <w:rFonts w:ascii="Book Antiqua" w:eastAsia="Times New Roman" w:hAnsi="Book Antiqua" w:cs="Times New Roman"/>
          <w:b/>
          <w:color w:val="FF0000"/>
          <w:sz w:val="16"/>
          <w:szCs w:val="16"/>
          <w:u w:val="single"/>
          <w:lang w:eastAsia="pt-BR"/>
        </w:rPr>
        <w:t>(MPSC-2016)</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0687A9F6" w14:textId="325613CE" w:rsidR="00A301F0" w:rsidRPr="00F1158C"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4B47A0">
        <w:rPr>
          <w:rFonts w:ascii="Book Antiqua" w:eastAsia="Times New Roman" w:hAnsi="Book Antiqua" w:cs="Times New Roman"/>
          <w:b/>
          <w:sz w:val="18"/>
          <w:szCs w:val="18"/>
          <w:lang w:eastAsia="pt-BR"/>
        </w:rPr>
        <w:t xml:space="preserve">        I – </w:t>
      </w:r>
      <w:proofErr w:type="gramStart"/>
      <w:r w:rsidRPr="004B47A0">
        <w:rPr>
          <w:rFonts w:ascii="Book Antiqua" w:eastAsia="Times New Roman" w:hAnsi="Book Antiqua" w:cs="Times New Roman"/>
          <w:b/>
          <w:sz w:val="18"/>
          <w:szCs w:val="18"/>
          <w:lang w:eastAsia="pt-BR"/>
        </w:rPr>
        <w:t>mutagênese</w:t>
      </w:r>
      <w:proofErr w:type="gramEnd"/>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5A7856">
        <w:rPr>
          <w:rFonts w:ascii="Book Antiqua" w:eastAsia="Times New Roman" w:hAnsi="Book Antiqua" w:cs="Times New Roman"/>
          <w:b/>
          <w:color w:val="FF0000"/>
          <w:sz w:val="18"/>
          <w:szCs w:val="18"/>
          <w:u w:val="single"/>
          <w:lang w:eastAsia="pt-BR"/>
        </w:rPr>
        <w:t>(</w:t>
      </w:r>
      <w:r w:rsidR="00F1158C">
        <w:rPr>
          <w:rFonts w:ascii="Book Antiqua" w:eastAsia="Times New Roman" w:hAnsi="Book Antiqua" w:cs="Times New Roman"/>
          <w:b/>
          <w:color w:val="FF0000"/>
          <w:sz w:val="18"/>
          <w:szCs w:val="18"/>
          <w:u w:val="single"/>
          <w:lang w:eastAsia="pt-BR"/>
        </w:rPr>
        <w:t>MPMG</w:t>
      </w:r>
      <w:r w:rsidR="00F1158C" w:rsidRPr="005A7856">
        <w:rPr>
          <w:rFonts w:ascii="Book Antiqua" w:eastAsia="Times New Roman" w:hAnsi="Book Antiqua" w:cs="Times New Roman"/>
          <w:b/>
          <w:color w:val="FF0000"/>
          <w:sz w:val="18"/>
          <w:szCs w:val="18"/>
          <w:u w:val="single"/>
          <w:lang w:eastAsia="pt-BR"/>
        </w:rPr>
        <w:t>-2012)</w:t>
      </w:r>
      <w:r w:rsidRPr="00F1158C">
        <w:rPr>
          <w:rFonts w:ascii="Book Antiqua" w:eastAsia="Times New Roman" w:hAnsi="Book Antiqua" w:cs="Times New Roman"/>
          <w:b/>
          <w:sz w:val="18"/>
          <w:szCs w:val="18"/>
          <w:lang w:eastAsia="pt-BR"/>
        </w:rPr>
        <w:t xml:space="preserve"> </w:t>
      </w:r>
      <w:r w:rsidR="00525B04" w:rsidRPr="00F1158C">
        <w:rPr>
          <w:rFonts w:ascii="Book Antiqua" w:eastAsia="Times New Roman" w:hAnsi="Book Antiqua" w:cs="Times New Roman"/>
          <w:b/>
          <w:color w:val="FF0000"/>
          <w:sz w:val="18"/>
          <w:szCs w:val="18"/>
          <w:u w:val="single"/>
          <w:lang w:eastAsia="pt-BR"/>
        </w:rPr>
        <w:t>(TJSC-2013)</w:t>
      </w:r>
      <w:r w:rsidR="00F76A7D" w:rsidRPr="00F1158C">
        <w:rPr>
          <w:rFonts w:ascii="Book Antiqua" w:eastAsia="Times New Roman" w:hAnsi="Book Antiqua" w:cs="Times New Roman"/>
          <w:b/>
          <w:color w:val="FF0000"/>
          <w:sz w:val="18"/>
          <w:szCs w:val="18"/>
          <w:lang w:eastAsia="pt-BR"/>
        </w:rPr>
        <w:t xml:space="preserve"> </w:t>
      </w:r>
      <w:r w:rsidR="00F76A7D" w:rsidRPr="00F1158C">
        <w:rPr>
          <w:rFonts w:ascii="Book Antiqua" w:eastAsia="Times New Roman" w:hAnsi="Book Antiqua" w:cs="Times New Roman"/>
          <w:b/>
          <w:bCs/>
          <w:color w:val="FF0000"/>
          <w:sz w:val="18"/>
          <w:szCs w:val="18"/>
          <w:u w:val="single"/>
          <w:lang w:eastAsia="pt-BR"/>
        </w:rPr>
        <w:t>(TRF3-2018)</w:t>
      </w:r>
    </w:p>
    <w:p w14:paraId="1D8FE7FC" w14:textId="6B1F966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II – formação e utilização de células somáticas de hibridoma animal</w:t>
      </w:r>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34C36911" w14:textId="06068EB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lastRenderedPageBreak/>
        <w:t>        III – fusão celular, inclusive a de protoplasma, de células vegetais, que possa ser produzida mediante métodos tradicionais de cultivo</w:t>
      </w:r>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47A285B2" w14:textId="4BCEA5BB" w:rsidR="00A301F0" w:rsidRPr="004B47A0" w:rsidRDefault="00A301F0" w:rsidP="00F0541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41250">
        <w:rPr>
          <w:rFonts w:ascii="Book Antiqua" w:eastAsia="Times New Roman" w:hAnsi="Book Antiqua" w:cs="Times New Roman"/>
          <w:b/>
          <w:sz w:val="19"/>
          <w:szCs w:val="19"/>
          <w:lang w:eastAsia="pt-BR"/>
        </w:rPr>
        <w:t xml:space="preserve">        IV – </w:t>
      </w:r>
      <w:proofErr w:type="gramStart"/>
      <w:r w:rsidRPr="00741250">
        <w:rPr>
          <w:rFonts w:ascii="Book Antiqua" w:eastAsia="Times New Roman" w:hAnsi="Book Antiqua" w:cs="Times New Roman"/>
          <w:b/>
          <w:sz w:val="19"/>
          <w:szCs w:val="19"/>
          <w:lang w:eastAsia="pt-BR"/>
        </w:rPr>
        <w:t>autoclonagem</w:t>
      </w:r>
      <w:proofErr w:type="gramEnd"/>
      <w:r w:rsidRPr="00741250">
        <w:rPr>
          <w:rFonts w:ascii="Book Antiqua" w:eastAsia="Times New Roman" w:hAnsi="Book Antiqua" w:cs="Times New Roman"/>
          <w:b/>
          <w:sz w:val="19"/>
          <w:szCs w:val="19"/>
          <w:lang w:eastAsia="pt-BR"/>
        </w:rPr>
        <w:t xml:space="preserve"> de organismos não-patogênicos que se processe de maneira natural</w:t>
      </w:r>
      <w:r w:rsidRPr="00F1158C">
        <w:rPr>
          <w:rFonts w:ascii="Book Antiqua" w:eastAsia="Times New Roman" w:hAnsi="Book Antiqua" w:cs="Times New Roman"/>
          <w:b/>
          <w:sz w:val="18"/>
          <w:szCs w:val="18"/>
          <w:lang w:eastAsia="pt-BR"/>
        </w:rPr>
        <w:t>.</w:t>
      </w:r>
      <w:r w:rsidR="00F1158C">
        <w:rPr>
          <w:rFonts w:ascii="Book Antiqua" w:eastAsia="Times New Roman" w:hAnsi="Book Antiqua" w:cs="Times New Roman"/>
          <w:b/>
          <w:sz w:val="18"/>
          <w:szCs w:val="18"/>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DA401D" w:rsidRPr="00741250" w14:paraId="4B8A48C7" w14:textId="77777777" w:rsidTr="00DA401D">
        <w:tc>
          <w:tcPr>
            <w:tcW w:w="8494" w:type="dxa"/>
            <w:shd w:val="clear" w:color="auto" w:fill="CCFFFF"/>
          </w:tcPr>
          <w:p w14:paraId="40EFD34F" w14:textId="77777777" w:rsidR="00DA401D" w:rsidRPr="00741250" w:rsidRDefault="00DA401D" w:rsidP="00F96FAC">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MPMG-2012</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Desde que não impliquem a utilização de OGM como receptor ou doador, não haverá incidência da Lei 11.105/05 quando a modificação genética for obtida por meio das técnicas de: mutagênese; formação e utilização de células somáticas de hibridoma</w:t>
            </w:r>
            <w:r w:rsidR="00F96FAC" w:rsidRPr="00741250">
              <w:rPr>
                <w:rFonts w:ascii="Book Antiqua" w:eastAsia="Times New Roman" w:hAnsi="Book Antiqua" w:cs="Times New Roman"/>
                <w:sz w:val="19"/>
                <w:szCs w:val="19"/>
                <w:lang w:eastAsia="pt-BR"/>
              </w:rPr>
              <w:t xml:space="preserve"> </w:t>
            </w:r>
            <w:proofErr w:type="gramStart"/>
            <w:r w:rsidRPr="00741250">
              <w:rPr>
                <w:rFonts w:ascii="Book Antiqua" w:eastAsia="Times New Roman" w:hAnsi="Book Antiqua" w:cs="Times New Roman"/>
                <w:sz w:val="19"/>
                <w:szCs w:val="19"/>
                <w:lang w:eastAsia="pt-BR"/>
              </w:rPr>
              <w:t>animal;  fusão</w:t>
            </w:r>
            <w:proofErr w:type="gramEnd"/>
            <w:r w:rsidRPr="00741250">
              <w:rPr>
                <w:rFonts w:ascii="Book Antiqua" w:eastAsia="Times New Roman" w:hAnsi="Book Antiqua" w:cs="Times New Roman"/>
                <w:sz w:val="19"/>
                <w:szCs w:val="19"/>
                <w:lang w:eastAsia="pt-BR"/>
              </w:rPr>
              <w:t xml:space="preserve"> nuclear (inclusive a de protoplasma) de células vegetais, que possa ser produzida mediante </w:t>
            </w:r>
            <w:proofErr w:type="gramStart"/>
            <w:r w:rsidRPr="00741250">
              <w:rPr>
                <w:rFonts w:ascii="Book Antiqua" w:eastAsia="Times New Roman" w:hAnsi="Book Antiqua" w:cs="Times New Roman"/>
                <w:sz w:val="19"/>
                <w:szCs w:val="19"/>
                <w:lang w:eastAsia="pt-BR"/>
              </w:rPr>
              <w:t>métodos  tradicionais</w:t>
            </w:r>
            <w:proofErr w:type="gramEnd"/>
            <w:r w:rsidRPr="00741250">
              <w:rPr>
                <w:rFonts w:ascii="Book Antiqua" w:eastAsia="Times New Roman" w:hAnsi="Book Antiqua" w:cs="Times New Roman"/>
                <w:sz w:val="19"/>
                <w:szCs w:val="19"/>
                <w:lang w:eastAsia="pt-BR"/>
              </w:rPr>
              <w:t xml:space="preserve"> de cultivo; e autoclonagem de organismos não-</w:t>
            </w:r>
            <w:proofErr w:type="gramStart"/>
            <w:r w:rsidRPr="00741250">
              <w:rPr>
                <w:rFonts w:ascii="Book Antiqua" w:eastAsia="Times New Roman" w:hAnsi="Book Antiqua" w:cs="Times New Roman"/>
                <w:sz w:val="19"/>
                <w:szCs w:val="19"/>
                <w:lang w:eastAsia="pt-BR"/>
              </w:rPr>
              <w:t>patogênicos  que</w:t>
            </w:r>
            <w:proofErr w:type="gramEnd"/>
            <w:r w:rsidRPr="00741250">
              <w:rPr>
                <w:rFonts w:ascii="Book Antiqua" w:eastAsia="Times New Roman" w:hAnsi="Book Antiqua" w:cs="Times New Roman"/>
                <w:sz w:val="19"/>
                <w:szCs w:val="19"/>
                <w:lang w:eastAsia="pt-BR"/>
              </w:rPr>
              <w:t xml:space="preserve"> se processe de maneira natural.  </w:t>
            </w:r>
            <w:r w:rsidRPr="00741250">
              <w:rPr>
                <w:rFonts w:ascii="Book Antiqua" w:eastAsia="Times New Roman" w:hAnsi="Book Antiqua" w:cs="Times New Roman"/>
                <w:b/>
                <w:sz w:val="19"/>
                <w:szCs w:val="19"/>
                <w:lang w:eastAsia="pt-BR"/>
              </w:rPr>
              <w:t>BL: art. 5º da Lei 11.101/05.</w:t>
            </w:r>
          </w:p>
        </w:tc>
      </w:tr>
    </w:tbl>
    <w:p w14:paraId="1316D449" w14:textId="44E0E2B3" w:rsidR="00A301F0" w:rsidRPr="00E44BF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Art. 5</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caps/>
          <w:sz w:val="19"/>
          <w:szCs w:val="19"/>
          <w:highlight w:val="green"/>
          <w:lang w:eastAsia="pt-BR"/>
        </w:rPr>
        <w:t>É permitida</w:t>
      </w:r>
      <w:r w:rsidRPr="00741250">
        <w:rPr>
          <w:rFonts w:ascii="Book Antiqua" w:eastAsia="Times New Roman" w:hAnsi="Book Antiqua" w:cs="Times New Roman"/>
          <w:b/>
          <w:sz w:val="19"/>
          <w:szCs w:val="19"/>
          <w:lang w:eastAsia="pt-BR"/>
        </w:rPr>
        <w:t xml:space="preserve">, para fins de pesquisa e terapia, a utilização de células-tronco embrionárias obtidas de embriões humanos produzidos por fertilização </w:t>
      </w:r>
      <w:r w:rsidRPr="00741250">
        <w:rPr>
          <w:rFonts w:ascii="Book Antiqua" w:eastAsia="Times New Roman" w:hAnsi="Book Antiqua" w:cs="Times New Roman"/>
          <w:b/>
          <w:bCs/>
          <w:sz w:val="19"/>
          <w:szCs w:val="19"/>
          <w:lang w:eastAsia="pt-BR"/>
        </w:rPr>
        <w:t>in vitro</w:t>
      </w:r>
      <w:r w:rsidRPr="00741250">
        <w:rPr>
          <w:rFonts w:ascii="Book Antiqua" w:eastAsia="Times New Roman" w:hAnsi="Book Antiqua" w:cs="Times New Roman"/>
          <w:b/>
          <w:sz w:val="19"/>
          <w:szCs w:val="19"/>
          <w:lang w:eastAsia="pt-BR"/>
        </w:rPr>
        <w:t xml:space="preserve"> e não utilizados no respectivo procedimento, atendidas as seguintes condições</w:t>
      </w:r>
      <w:r w:rsidRPr="004B47A0">
        <w:rPr>
          <w:rFonts w:ascii="Book Antiqua" w:eastAsia="Times New Roman" w:hAnsi="Book Antiqua" w:cs="Times New Roman"/>
          <w:b/>
          <w:sz w:val="16"/>
          <w:szCs w:val="16"/>
          <w:lang w:eastAsia="pt-BR"/>
        </w:rPr>
        <w:t>:</w:t>
      </w:r>
      <w:r w:rsidR="005A7856" w:rsidRPr="004B47A0">
        <w:rPr>
          <w:rFonts w:ascii="Book Antiqua" w:eastAsia="Times New Roman" w:hAnsi="Book Antiqua" w:cs="Times New Roman"/>
          <w:b/>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3145E" w:rsidRPr="004B47A0">
        <w:rPr>
          <w:rFonts w:ascii="Book Antiqua" w:eastAsia="Times New Roman" w:hAnsi="Book Antiqua" w:cs="Times New Roman"/>
          <w:b/>
          <w:color w:val="FF0000"/>
          <w:sz w:val="16"/>
          <w:szCs w:val="16"/>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13145E"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lang w:eastAsia="pt-BR"/>
        </w:rPr>
        <w:t>(</w:t>
      </w:r>
      <w:r w:rsidR="00F96FAC" w:rsidRPr="004B47A0">
        <w:rPr>
          <w:rFonts w:ascii="Book Antiqua" w:eastAsia="Times New Roman" w:hAnsi="Book Antiqua" w:cs="Times New Roman"/>
          <w:b/>
          <w:color w:val="FF0000"/>
          <w:sz w:val="16"/>
          <w:szCs w:val="16"/>
          <w:u w:val="single"/>
          <w:lang w:eastAsia="pt-BR"/>
        </w:rPr>
        <w:t>TJRN-2013)</w:t>
      </w:r>
      <w:r w:rsidR="005A7856" w:rsidRPr="004B47A0">
        <w:rPr>
          <w:rFonts w:ascii="Book Antiqua" w:eastAsia="Times New Roman" w:hAnsi="Book Antiqua" w:cs="Times New Roman"/>
          <w:b/>
          <w:color w:val="FF0000"/>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r w:rsidR="00E44BF0">
        <w:rPr>
          <w:rFonts w:ascii="Book Antiqua" w:hAnsi="Book Antiqua" w:cs="Arial"/>
          <w:b/>
          <w:bCs/>
          <w:color w:val="FF0000"/>
          <w:sz w:val="16"/>
          <w:szCs w:val="16"/>
        </w:rPr>
        <w:t xml:space="preserve"> </w:t>
      </w:r>
      <w:r w:rsidR="00E44BF0">
        <w:rPr>
          <w:rFonts w:ascii="Book Antiqua" w:hAnsi="Book Antiqua" w:cs="Arial"/>
          <w:b/>
          <w:bCs/>
          <w:color w:val="FF0000"/>
          <w:sz w:val="16"/>
          <w:szCs w:val="16"/>
          <w:u w:val="single"/>
        </w:rPr>
        <w:t>(MPRO-2024)</w:t>
      </w:r>
    </w:p>
    <w:p w14:paraId="6DDAADC3" w14:textId="337257A6" w:rsidR="00A301F0" w:rsidRPr="00E44BF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 – </w:t>
      </w:r>
      <w:r w:rsidRPr="00E44BF0">
        <w:rPr>
          <w:rFonts w:ascii="Book Antiqua" w:eastAsia="Times New Roman" w:hAnsi="Book Antiqua" w:cs="Times New Roman"/>
          <w:b/>
          <w:caps/>
          <w:sz w:val="19"/>
          <w:szCs w:val="19"/>
          <w:highlight w:val="green"/>
          <w:lang w:eastAsia="pt-BR"/>
        </w:rPr>
        <w:t>sejam</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embriões inviáveis</w:t>
      </w:r>
      <w:r w:rsidRPr="00741250">
        <w:rPr>
          <w:rFonts w:ascii="Book Antiqua" w:eastAsia="Times New Roman" w:hAnsi="Book Antiqua" w:cs="Times New Roman"/>
          <w:b/>
          <w:sz w:val="19"/>
          <w:szCs w:val="19"/>
          <w:lang w:eastAsia="pt-BR"/>
        </w:rPr>
        <w:t>; ou</w:t>
      </w:r>
      <w:r w:rsidR="0013145E">
        <w:rPr>
          <w:rFonts w:ascii="Book Antiqua" w:eastAsia="Times New Roman" w:hAnsi="Book Antiqua" w:cs="Times New Roman"/>
          <w:b/>
          <w:sz w:val="19"/>
          <w:szCs w:val="19"/>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67845" w:rsidRPr="004B47A0">
        <w:rPr>
          <w:rFonts w:ascii="Book Antiqua" w:eastAsia="Times New Roman" w:hAnsi="Book Antiqua" w:cs="Times New Roman"/>
          <w:b/>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r w:rsidR="00E44BF0">
        <w:rPr>
          <w:rFonts w:ascii="Book Antiqua" w:hAnsi="Book Antiqua" w:cs="Arial"/>
          <w:b/>
          <w:bCs/>
          <w:color w:val="FF0000"/>
          <w:sz w:val="16"/>
          <w:szCs w:val="16"/>
        </w:rPr>
        <w:t xml:space="preserve"> </w:t>
      </w:r>
      <w:r w:rsidR="00E44BF0">
        <w:rPr>
          <w:rFonts w:ascii="Book Antiqua" w:hAnsi="Book Antiqua" w:cs="Arial"/>
          <w:b/>
          <w:bCs/>
          <w:color w:val="FF0000"/>
          <w:sz w:val="16"/>
          <w:szCs w:val="16"/>
          <w:u w:val="single"/>
        </w:rPr>
        <w:t>(MPRO-2024)</w:t>
      </w:r>
    </w:p>
    <w:p w14:paraId="79490959" w14:textId="48F14349" w:rsidR="00A301F0" w:rsidRDefault="00A301F0" w:rsidP="00F05410">
      <w:pPr>
        <w:spacing w:before="100" w:beforeAutospacing="1" w:after="100" w:afterAutospacing="1" w:line="240" w:lineRule="auto"/>
        <w:jc w:val="both"/>
        <w:rPr>
          <w:rFonts w:ascii="Book Antiqua" w:hAnsi="Book Antiqua" w:cs="Arial"/>
          <w:b/>
          <w:bCs/>
          <w:color w:val="FF0000"/>
          <w:sz w:val="16"/>
          <w:szCs w:val="16"/>
        </w:rPr>
      </w:pPr>
      <w:r w:rsidRPr="00741250">
        <w:rPr>
          <w:rFonts w:ascii="Book Antiqua" w:eastAsia="Times New Roman" w:hAnsi="Book Antiqua" w:cs="Times New Roman"/>
          <w:b/>
          <w:sz w:val="19"/>
          <w:szCs w:val="19"/>
          <w:lang w:eastAsia="pt-BR"/>
        </w:rPr>
        <w:t xml:space="preserve">        II – </w:t>
      </w:r>
      <w:r w:rsidRPr="00E44BF0">
        <w:rPr>
          <w:rFonts w:ascii="Book Antiqua" w:eastAsia="Times New Roman" w:hAnsi="Book Antiqua" w:cs="Times New Roman"/>
          <w:b/>
          <w:caps/>
          <w:sz w:val="19"/>
          <w:szCs w:val="19"/>
          <w:highlight w:val="green"/>
          <w:lang w:eastAsia="pt-BR"/>
        </w:rPr>
        <w:t>sejam</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embriões congelados há 3 (três) anos ou mais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na data da publicação desta Lei</w:t>
      </w:r>
      <w:r w:rsidRPr="00741250">
        <w:rPr>
          <w:rFonts w:ascii="Book Antiqua" w:eastAsia="Times New Roman" w:hAnsi="Book Antiqua" w:cs="Times New Roman"/>
          <w:b/>
          <w:sz w:val="19"/>
          <w:szCs w:val="19"/>
          <w:lang w:eastAsia="pt-BR"/>
        </w:rPr>
        <w:t xml:space="preserve">, ou que, </w:t>
      </w:r>
      <w:r w:rsidRPr="00741250">
        <w:rPr>
          <w:rFonts w:ascii="Book Antiqua" w:eastAsia="Times New Roman" w:hAnsi="Book Antiqua" w:cs="Times New Roman"/>
          <w:b/>
          <w:sz w:val="19"/>
          <w:szCs w:val="19"/>
          <w:highlight w:val="cyan"/>
          <w:lang w:eastAsia="pt-BR"/>
        </w:rPr>
        <w:t>já congelados na data da publicação desta Lei</w:t>
      </w:r>
      <w:r w:rsidRPr="00741250">
        <w:rPr>
          <w:rFonts w:ascii="Book Antiqua" w:eastAsia="Times New Roman" w:hAnsi="Book Antiqua" w:cs="Times New Roman"/>
          <w:b/>
          <w:sz w:val="19"/>
          <w:szCs w:val="19"/>
          <w:lang w:eastAsia="pt-BR"/>
        </w:rPr>
        <w:t xml:space="preserve">, </w:t>
      </w:r>
      <w:r w:rsidRPr="00E44BF0">
        <w:rPr>
          <w:rFonts w:ascii="Book Antiqua" w:eastAsia="Times New Roman" w:hAnsi="Book Antiqua" w:cs="Times New Roman"/>
          <w:b/>
          <w:caps/>
          <w:sz w:val="19"/>
          <w:szCs w:val="19"/>
          <w:highlight w:val="green"/>
          <w:lang w:eastAsia="pt-BR"/>
        </w:rPr>
        <w:t>depois de completarem</w:t>
      </w:r>
      <w:r w:rsidRPr="00741250">
        <w:rPr>
          <w:rFonts w:ascii="Book Antiqua" w:eastAsia="Times New Roman" w:hAnsi="Book Antiqua" w:cs="Times New Roman"/>
          <w:b/>
          <w:sz w:val="19"/>
          <w:szCs w:val="19"/>
          <w:lang w:eastAsia="pt-BR"/>
        </w:rPr>
        <w:t xml:space="preserve"> </w:t>
      </w:r>
      <w:r w:rsidRPr="00E44BF0">
        <w:rPr>
          <w:rFonts w:ascii="Book Antiqua" w:eastAsia="Times New Roman" w:hAnsi="Book Antiqua" w:cs="Times New Roman"/>
          <w:b/>
          <w:sz w:val="19"/>
          <w:szCs w:val="19"/>
          <w:highlight w:val="cyan"/>
          <w:lang w:eastAsia="pt-BR"/>
        </w:rPr>
        <w:t>3 (três) anos</w:t>
      </w:r>
      <w:r w:rsidRPr="00741250">
        <w:rPr>
          <w:rFonts w:ascii="Book Antiqua" w:eastAsia="Times New Roman" w:hAnsi="Book Antiqua" w:cs="Times New Roman"/>
          <w:b/>
          <w:sz w:val="19"/>
          <w:szCs w:val="19"/>
          <w:lang w:eastAsia="pt-BR"/>
        </w:rPr>
        <w:t xml:space="preserve">, </w:t>
      </w:r>
      <w:r w:rsidRPr="00E44BF0">
        <w:rPr>
          <w:rFonts w:ascii="Book Antiqua" w:eastAsia="Times New Roman" w:hAnsi="Book Antiqua" w:cs="Times New Roman"/>
          <w:b/>
          <w:caps/>
          <w:sz w:val="19"/>
          <w:szCs w:val="19"/>
          <w:highlight w:val="green"/>
          <w:lang w:eastAsia="pt-BR"/>
        </w:rPr>
        <w:t>contados</w:t>
      </w:r>
      <w:r w:rsidRPr="00E44BF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a partir da data de congelamento</w:t>
      </w:r>
      <w:r w:rsidRPr="004B47A0">
        <w:rPr>
          <w:rFonts w:ascii="Book Antiqua" w:eastAsia="Times New Roman" w:hAnsi="Book Antiqua" w:cs="Times New Roman"/>
          <w:sz w:val="16"/>
          <w:szCs w:val="16"/>
          <w:lang w:eastAsia="pt-BR"/>
        </w:rPr>
        <w:t>.</w:t>
      </w:r>
      <w:r w:rsidR="0013145E" w:rsidRPr="004B47A0">
        <w:rPr>
          <w:rFonts w:ascii="Book Antiqua" w:eastAsia="Times New Roman" w:hAnsi="Book Antiqua" w:cs="Times New Roman"/>
          <w:sz w:val="16"/>
          <w:szCs w:val="16"/>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5A7856" w:rsidRPr="004B47A0">
        <w:rPr>
          <w:rFonts w:ascii="Book Antiqua" w:eastAsia="Times New Roman" w:hAnsi="Book Antiqua" w:cs="Times New Roman"/>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r w:rsidR="00E44BF0">
        <w:rPr>
          <w:rFonts w:ascii="Book Antiqua" w:hAnsi="Book Antiqua" w:cs="Arial"/>
          <w:b/>
          <w:bCs/>
          <w:color w:val="FF0000"/>
          <w:sz w:val="16"/>
          <w:szCs w:val="16"/>
        </w:rPr>
        <w:t xml:space="preserve"> </w:t>
      </w:r>
      <w:r w:rsidR="00E44BF0">
        <w:rPr>
          <w:rFonts w:ascii="Book Antiqua" w:hAnsi="Book Antiqua" w:cs="Arial"/>
          <w:b/>
          <w:bCs/>
          <w:color w:val="FF0000"/>
          <w:sz w:val="16"/>
          <w:szCs w:val="16"/>
          <w:u w:val="single"/>
        </w:rPr>
        <w:t>(MPRO-2024)</w:t>
      </w:r>
    </w:p>
    <w:p w14:paraId="01F890C0" w14:textId="5A1D0EA5" w:rsidR="00A301F0" w:rsidRPr="00E44BF0" w:rsidRDefault="00A301F0" w:rsidP="00F0541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 1</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 qualquer caso</w:t>
      </w:r>
      <w:r w:rsidRPr="00741250">
        <w:rPr>
          <w:rFonts w:ascii="Book Antiqua" w:eastAsia="Times New Roman" w:hAnsi="Book Antiqua" w:cs="Times New Roman"/>
          <w:b/>
          <w:sz w:val="19"/>
          <w:szCs w:val="19"/>
          <w:lang w:eastAsia="pt-BR"/>
        </w:rPr>
        <w:t>, é necessário o consentimento dos genitores</w:t>
      </w:r>
      <w:r w:rsidRPr="004B47A0">
        <w:rPr>
          <w:rFonts w:ascii="Book Antiqua" w:eastAsia="Times New Roman" w:hAnsi="Book Antiqua" w:cs="Times New Roman"/>
          <w:sz w:val="16"/>
          <w:szCs w:val="16"/>
          <w:lang w:eastAsia="pt-BR"/>
        </w:rPr>
        <w:t>.</w:t>
      </w:r>
      <w:r w:rsidR="00167845" w:rsidRPr="004B47A0">
        <w:rPr>
          <w:rFonts w:ascii="Book Antiqua" w:eastAsia="Times New Roman" w:hAnsi="Book Antiqua" w:cs="Times New Roman"/>
          <w:sz w:val="16"/>
          <w:szCs w:val="16"/>
          <w:lang w:eastAsia="pt-BR"/>
        </w:rPr>
        <w:t xml:space="preserve"> </w:t>
      </w:r>
      <w:r w:rsidR="00897AFE"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E44BF0">
        <w:rPr>
          <w:rFonts w:ascii="Book Antiqua" w:eastAsia="Times New Roman" w:hAnsi="Book Antiqua" w:cs="Times New Roman"/>
          <w:b/>
          <w:bCs/>
          <w:color w:val="FF0000"/>
          <w:sz w:val="16"/>
          <w:szCs w:val="16"/>
          <w:lang w:eastAsia="pt-BR"/>
        </w:rPr>
        <w:t xml:space="preserve"> </w:t>
      </w:r>
      <w:r w:rsidR="00E44BF0">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E44BF0" w:rsidRPr="00741250" w14:paraId="540EA84D" w14:textId="77777777" w:rsidTr="006514E9">
        <w:tc>
          <w:tcPr>
            <w:tcW w:w="8494" w:type="dxa"/>
            <w:shd w:val="clear" w:color="auto" w:fill="CCFFFF"/>
          </w:tcPr>
          <w:p w14:paraId="7A316578" w14:textId="77777777" w:rsidR="00E44BF0" w:rsidRPr="004C5C7A" w:rsidRDefault="00E44BF0" w:rsidP="006514E9">
            <w:pPr>
              <w:spacing w:before="100" w:beforeAutospacing="1" w:after="100" w:afterAutospacing="1"/>
              <w:jc w:val="both"/>
              <w:rPr>
                <w:rFonts w:ascii="Book Antiqua" w:eastAsia="Times New Roman" w:hAnsi="Book Antiqua" w:cs="Times New Roman"/>
                <w:bCs/>
                <w:sz w:val="19"/>
                <w:szCs w:val="19"/>
                <w:lang w:eastAsia="pt-BR"/>
              </w:rPr>
            </w:pPr>
            <w:r w:rsidRPr="004C5C7A">
              <w:rPr>
                <w:rFonts w:ascii="Book Antiqua" w:eastAsia="Times New Roman" w:hAnsi="Book Antiqua" w:cs="Times New Roman"/>
                <w:b/>
                <w:i/>
                <w:iCs/>
                <w:color w:val="FF0000"/>
                <w:sz w:val="19"/>
                <w:szCs w:val="19"/>
                <w:lang w:eastAsia="pt-BR"/>
              </w:rPr>
              <w:t>#</w:t>
            </w:r>
            <w:r w:rsidRPr="004C5C7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44BF0">
              <w:rPr>
                <w:rFonts w:ascii="Book Antiqua" w:eastAsia="Times New Roman" w:hAnsi="Book Antiqua" w:cs="Times New Roman"/>
                <w:b/>
                <w:i/>
                <w:iCs/>
                <w:color w:val="FF0000"/>
                <w:sz w:val="19"/>
                <w:szCs w:val="19"/>
                <w:highlight w:val="green"/>
                <w:lang w:eastAsia="pt-BR"/>
              </w:rPr>
              <w:t>STF</w:t>
            </w:r>
            <w:r w:rsidRPr="004C5C7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E44BF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E44BF0">
              <w:rPr>
                <w:rFonts w:ascii="Book Antiqua" w:eastAsia="Times New Roman" w:hAnsi="Book Antiqua" w:cs="Times New Roman"/>
                <w:b/>
                <w:sz w:val="19"/>
                <w:szCs w:val="19"/>
                <w:lang w:eastAsia="pt-BR"/>
              </w:rPr>
              <w:t xml:space="preserve">LEI DE BIOSSEGURANÇA. IMPUGNAÇÃO EM BLOCO DO ART. 5º DA LEI Nº 11.105, DE 24 DE MARÇO DE 2005 (LEI DE BIOSSEGURANÇA). PESQUISAS COM CÉLULAS-TRONCO EMBRIONÁRIAS. INEXISTÊNCIA DE VIOLAÇÃO DO DIREITO À VIDA. CONSITUCIONALIDADE DO USO DE CÉLULAS-TRONCO EMBRIONÁRIAS EM PESQUISAS CIENTÍFICAS PARA FINS TERAPÊUTICOS. DESCARACTERIZAÇÃO DO ABORTO. NORMAS CONSTITUCIONAIS CONFORMADORAS DO DIREITO FUNDAMENTAL A UMA VIDA DIGNA, QUE PASSA PELO DIREITO À SAÚDE E AO PLANEJAMENTO FAMILIAR. DESCABIMENTO DE UTILIZAÇÃO DA TÉCNICA DE INTERPRETAÇÃO CONFORME PARA ADITAR À LEI DE BIOSSEGURANÇA CONTROLES DESNECESSÁRIOS QUE IMPLICAM RESTRIÇÕES ÀS PESQUISAS E TERAPIAS POR ELA VISADAS. IMPROCEDÊNCIA TOTAL DA AÇÃO. I - O CONHECIMENTO CIENTÍFICO, A CONCEITUAÇÃO JURÍDICA DE CÉLULAS-TRONCO EMBRIONÁRIAS E SEUS REFLEXOS NO CONTROLE DE CONSTITUCIONALIDADE DA LEI DE BIOSSEGURANÇA. As "células-tronco embrionárias" são células contidas num agrupamento de outras, encontradiças em cada embrião humano de até 14 dias (outros cientistas reduzem esse tempo para a fase de blastocisto, ocorrente em torno de 5 dias depois da fecundação de um óvulo feminino por um espermatozóide masculino). Embriões a que se chega por efeito de manipulação humana em ambiente extracorpóreo, porquanto produzidos laboratorialmente ou "in vitro", e não espontaneamente ou "in vida". Não cabe ao Supremo Tribunal Federal decidir sobre qual das duas formas de pesquisa básica é a mais promissora: a pesquisa com células-tronco adultas e aquela incidente sobre células-tronco embrionárias. A certeza científico-tecnológica está em que um tipo de pesquisa não invalida o outro, pois ambos são mutuamente complementares. II - LEGITIMIDADE DAS PESQUISAS COM CÉLULAS-TRONCO EMBRIONÁRIAS PARA FINS TERAPÊUTICOS E O CONSTITUCIONALISMO FRATERNAL. A pesquisa científica com células-tronco embrionárias, autorizada pela Lei n° 11.105/2005, objetiva o enfrentamento e cura de patologias e traumatismos que severamente limitam, atormentam, infelicitam, desesperam e não raras vezes degradam a vida de expressivo contingente populacional (ilustrativamente, atrofias espinhais progressivas, distrofias musculares, a esclerose múltipla e a lateral amiotrófica, as neuropatias e as doenças do neurônio motor). A escolha feita pela Lei de Biossegurança não significou um desprezo ou desapreço pelo embrião "in vitro", porém u'a mais firme disposição para encurtar caminhos que possam levar à superação do infortúnio alheio. Isto no âmbito de um ordenamento constitucional que desde o seu preâmbulo qualifica "a liberdade, a segurança, o bem-estar, o desenvolvimento, a igualdade e a justiça" como valores supremos de uma sociedade mais que tudo "fraterna". O que já significa incorporar o advento do constitucionalismo fraternal às relações humanas, a traduzir verdadeira </w:t>
            </w:r>
            <w:r w:rsidRPr="00E44BF0">
              <w:rPr>
                <w:rFonts w:ascii="Book Antiqua" w:eastAsia="Times New Roman" w:hAnsi="Book Antiqua" w:cs="Times New Roman"/>
                <w:b/>
                <w:sz w:val="19"/>
                <w:szCs w:val="19"/>
                <w:lang w:eastAsia="pt-BR"/>
              </w:rPr>
              <w:lastRenderedPageBreak/>
              <w:t xml:space="preserve">comunhão de vida ou vida social em clima de transbordante solidariedade em benefício da saúde e contra eventuais tramas do acaso e até dos golpes da própria natureza. Contexto de solidária, compassiva ou fraternal legalidade que, longe de traduzir desprezo ou desrespeito aos congelados embriões "in vitro", significa apreço e reverência a criaturas humanas que sofrem e se desesperam. Inexistência de ofensas ao direito à vida e da dignidade da pessoa humana, pois a pesquisa com células-tronco embrionárias (inviáveis biologicamente ou para os fins a que se destinam) significa a celebração solidária da vida e alento aos que se acham à margem do exercício concreto e inalienável dos direitos à felicidade e do viver com dignidade (Ministro Celso de Mello). III - A PROTEÇÃO CONSTITUCIONAL DO DIREITO À VIDA E OS DIREITOS INFRACONSTITUCIONAIS DO EMBRIÃO PRÉ-IMPLANTO. O Magno Texto Federal não dispõe sobre o início da vida humana ou o preciso instante em que ela começa. Não faz de todo e qualquer estádio da vida humana um autonomizado bem jurídico, mas da vida que já é própria de uma concreta pessoa, porque nativiva (teoria "natalista", em contraposição às teorias "concepcionista" ou da "personalidade condicional"). E quando se reporta a "direitos da pessoa humana" e até dos "direitos e garantias individuais" como cláusula pétrea está falando de direitos e garantias do indivíduo-pessoa, que se faz destinatário dos direitos fundamentais "à vida, à liberdade, à igualdade, à segurança e à propriedade", entre outros direitos e garantias igualmente distinguidos com o timbre da fundamentalidade (como direito à saúde e ao planejamento familiar). Mutismo constitucional hermeneuticamente significante de transpasse de poder normativo para a legislação ordinária. A potencialidade de algo para se tornar pessoa humana já é meritória o bastante para acobertá-la, infraconstitucionalmente, contra tentativas levianas ou frívolas de obstar </w:t>
            </w:r>
            <w:proofErr w:type="gramStart"/>
            <w:r w:rsidRPr="00E44BF0">
              <w:rPr>
                <w:rFonts w:ascii="Book Antiqua" w:eastAsia="Times New Roman" w:hAnsi="Book Antiqua" w:cs="Times New Roman"/>
                <w:b/>
                <w:sz w:val="19"/>
                <w:szCs w:val="19"/>
                <w:lang w:eastAsia="pt-BR"/>
              </w:rPr>
              <w:t>sua natural</w:t>
            </w:r>
            <w:proofErr w:type="gramEnd"/>
            <w:r w:rsidRPr="00E44BF0">
              <w:rPr>
                <w:rFonts w:ascii="Book Antiqua" w:eastAsia="Times New Roman" w:hAnsi="Book Antiqua" w:cs="Times New Roman"/>
                <w:b/>
                <w:sz w:val="19"/>
                <w:szCs w:val="19"/>
                <w:lang w:eastAsia="pt-BR"/>
              </w:rPr>
              <w:t xml:space="preserve"> continuidade fisiológica. Mas as três realidades não se confundem: o embrião é o embrião, o feto é o feto e a pessoa humana é a pessoa humana. Donde não existir pessoa humana embrionária, mas embrião de pessoa humana. O embrião referido na Lei de Biossegurança ("in vitro" apenas) não é uma vida a caminho de outra vida virginalmente nova, porquanto lhe faltam possibilidades de ganhar as primeiras terminações nervosas, sem as quais o ser humano não tem factibilidade como projeto de vida autônoma e irrepetível. O Direito infraconstitucional protege por modo variado cada etapa do desenvolvimento biológico do ser humano. Os momentos da vida humana anteriores ao nascimento devem ser objeto de proteção pelo direito comum. O embrião pré-implanto é um bem a ser protegido, mas não uma pessoa no sentido biográfico a que se refere a Constituição. IV - AS PESQUISAS COM CÉLULAS-TRONCO NÃO CARACTERIZAM ABORTO. MATÉRIA ESTRANHA À PRESENTE AÇÃO DIRETA DE INCONSTITUCIONALIDADE. É constitucional a proposição de que toda gestação humana principia com um embrião igualmente humano, claro, mas nem todo embrião humano desencadeia uma gestação igualmente humana, em se tratando de experimento "in vitro". Situação em que deixam de coincidir concepção e nascituro, pelo menos enquanto o ovócito (óvulo já fecundado) não for introduzido no colo do útero feminino. O modo de irromper em laboratório e permanecer confinado "in vitro" é, para o embrião, insuscetível de progressão reprodutiva. Isto sem prejuízo do reconhecimento de que o zigoto assim extra-corporalmente produzido e também extra-corporalmente cultivado e armazenado é entidade embrionária do ser humano. Não, porém, ser humano em estado de embrião. A Lei de Biossegurança não veicula autorização para extirpar do corpo feminino esse ou aquele embrião. Eliminar ou desentranhar esse ou aquele zigoto a caminho do endométrio, ou nele já fixado. Não se cuida de interromper gravidez humana, pois dela aqui não se pode cogitar. A "controvérsia constitucional em exame não guarda qualquer vinculação com o problema do aborto." (Ministro Celso de Mello). V - OS DIREITOS FUNDAMENTAIS À AUTONOMIA DA VONTADE, AO PLANEJAMENTO FAMILIAR E À MATERNIDADE. 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A conjugação constitucional da laicidade do Estado e do primado da autonomia da vontade privada, nas palavras do Ministro Joaquim Barbosa.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princípio fundamental da dignidade da pessoa humana opera por modo binário, o que propicia a base constitucional para um casal de adultos recorrer a técnicas de reprodução assistida que incluam a fertilização artificial ou "in vitro". De uma parte, para aquinhoar o casal com o direito público subjetivo à "liberdade" (preâmbulo da Constituição e seu art. 5º), aqui entendida como autonomia de vontade. De outra banda, para contemplar os porvindouros componentes da unidade familiar, se por eles optar o casal, com planejadas condições de bem-estar e assistência físico-afetiva (art. 226 da CF). Mais exatamente, planejamento familiar que, "fruto da livre decisão do casal", é "fundado nos princípios da dignidade da pessoa humana e da paternidade responsável" (§ 7º desse emblemático artigo constitucional de nº 226). O recurso a processos de fertilização artificial não implica o dever da tentativa de nidação no corpo da mulher de todos os óvulos afinal fecundados. Não existe tal </w:t>
            </w:r>
            <w:r w:rsidRPr="00E44BF0">
              <w:rPr>
                <w:rFonts w:ascii="Book Antiqua" w:eastAsia="Times New Roman" w:hAnsi="Book Antiqua" w:cs="Times New Roman"/>
                <w:b/>
                <w:sz w:val="19"/>
                <w:szCs w:val="19"/>
                <w:lang w:eastAsia="pt-BR"/>
              </w:rPr>
              <w:lastRenderedPageBreak/>
              <w:t>dever (inciso II do art. 5º da CF), porque incompatível com o próprio instituto do "planejamento familiar" na citada perspectiva da "paternidade responsável".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Proposição não autorizada pela Constituição. VI - DIREITO À SAÚDE COMO COROLÁRIO DO DIREITO FUNDAMENTAL À VIDA DIGNA. 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nº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 Constituição a serviço desse bem inestimável do indivíduo que é a sua própria higidez físico-mental. VII - O DIREITO CONSTITUCIONAL À LIBERDADE DE EXPRESSÃO CIENTÍFICA E A LEI DE BIOSSEGURANÇA COMO DENSIFICAÇÃO DESSA LIBERDADE.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nº IV do título VIII). A regra de que "O Estado promoverá e incentivará o desenvolvimento científico, a pesquisa e a capacitação tecnológicas" (art. 218, caput) é de logo complementada com o preceito (§ 1º do mesmo art. 218) que autoriza a edição de normas como a constante do art. 5º da Lei de Biossegurança. A compatibilização da liberdade de expressão científica com os deveres estatais de propulsão das ciências que sirvam à melhoria das condições de vida para todos os indivíduos. Assegurada, sempre, a dignidade da pessoa humana, a Constituição Federal dota o bloco normativo posto no art. 5º da Lei 11.105/2005 do necessário fundamento para dele afastar qualquer invalidade jurídica (Ministra Cármen Lúcia). VIII - SUFICIÊNCIA DAS CAUTELAS E RESTRIÇÕES IMPOSTAS PELA LEI DE BIOSSEGURANÇA NA CONDUÇÃO DAS PESQUISAS COM CÉLULAS-TRONCO EMBRIONÁRIAS. A Lei de Biossegurança caracteriza-se como regração legal a salvo da mácula do açodamento, da insuficiência protetiva ou do vício da arbitrariedade em matéria tão religiosa, filosófica e eticamente sensível como a da biotecnologia na área da medicina e da genética humana. Trata-se de um conjunto normativo que parte do pressuposto da intrínseca dignidade de toda forma de vida humana, ou que tenha potencialidade para tanto. A Lei de Biossegurança não conceitua as categorias mentais ou entidades biomédicas a que se refere, mas nem por isso impede a facilitada exegese dos seus textos, pois é de se presumir que recepcionou tais categorias e as que lhe são correlatas com o significado que elas portam no âmbito das ciências médicas e biológicas. IX - IMPROCEDÊNCIA DA AÇÃO.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plurissignificatidade. Ação direta de inconstitucionalidade julgada totalmente improcedente</w:t>
            </w:r>
            <w:r w:rsidRPr="00E44B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 </w:t>
            </w:r>
            <w:r w:rsidRPr="00E44BF0">
              <w:rPr>
                <w:rFonts w:ascii="Book Antiqua" w:eastAsia="Times New Roman" w:hAnsi="Book Antiqua" w:cs="Times New Roman"/>
                <w:bCs/>
                <w:sz w:val="19"/>
                <w:szCs w:val="19"/>
                <w:lang w:eastAsia="pt-BR"/>
              </w:rPr>
              <w:t>ADI 3510, Rel</w:t>
            </w:r>
            <w:r>
              <w:rPr>
                <w:rFonts w:ascii="Book Antiqua" w:eastAsia="Times New Roman" w:hAnsi="Book Antiqua" w:cs="Times New Roman"/>
                <w:bCs/>
                <w:sz w:val="19"/>
                <w:szCs w:val="19"/>
                <w:lang w:eastAsia="pt-BR"/>
              </w:rPr>
              <w:t>. Min.</w:t>
            </w:r>
            <w:r w:rsidRPr="00E44BF0">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yres</w:t>
            </w:r>
            <w:r w:rsidRPr="00E44BF0">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ritto</w:t>
            </w:r>
            <w:r w:rsidRPr="00E44BF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44BF0">
              <w:rPr>
                <w:rFonts w:ascii="Book Antiqua" w:eastAsia="Times New Roman" w:hAnsi="Book Antiqua" w:cs="Times New Roman"/>
                <w:bCs/>
                <w:sz w:val="19"/>
                <w:szCs w:val="19"/>
                <w:lang w:eastAsia="pt-BR"/>
              </w:rPr>
              <w:t xml:space="preserve"> 29</w:t>
            </w:r>
            <w:r>
              <w:rPr>
                <w:rFonts w:ascii="Book Antiqua" w:eastAsia="Times New Roman" w:hAnsi="Book Antiqua" w:cs="Times New Roman"/>
                <w:bCs/>
                <w:sz w:val="19"/>
                <w:szCs w:val="19"/>
                <w:lang w:eastAsia="pt-BR"/>
              </w:rPr>
              <w:t>/</w:t>
            </w:r>
            <w:r w:rsidRPr="00E44BF0">
              <w:rPr>
                <w:rFonts w:ascii="Book Antiqua" w:eastAsia="Times New Roman" w:hAnsi="Book Antiqua" w:cs="Times New Roman"/>
                <w:bCs/>
                <w:sz w:val="19"/>
                <w:szCs w:val="19"/>
                <w:lang w:eastAsia="pt-BR"/>
              </w:rPr>
              <w:t>05</w:t>
            </w:r>
            <w:r>
              <w:rPr>
                <w:rFonts w:ascii="Book Antiqua" w:eastAsia="Times New Roman" w:hAnsi="Book Antiqua" w:cs="Times New Roman"/>
                <w:bCs/>
                <w:sz w:val="19"/>
                <w:szCs w:val="19"/>
                <w:lang w:eastAsia="pt-BR"/>
              </w:rPr>
              <w:t>/</w:t>
            </w:r>
            <w:r w:rsidRPr="00E44BF0">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p>
        </w:tc>
      </w:tr>
    </w:tbl>
    <w:p w14:paraId="55567837" w14:textId="77777777" w:rsidR="00E44BF0" w:rsidRPr="004B47A0" w:rsidRDefault="00E44BF0" w:rsidP="00E44BF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E44BF0" w:rsidRPr="00741250" w14:paraId="7442CB5F" w14:textId="77777777" w:rsidTr="006514E9">
        <w:tc>
          <w:tcPr>
            <w:tcW w:w="8494" w:type="dxa"/>
            <w:shd w:val="clear" w:color="auto" w:fill="CCFFFF"/>
          </w:tcPr>
          <w:p w14:paraId="5531E692" w14:textId="77777777" w:rsidR="00E44BF0" w:rsidRDefault="00E44BF0" w:rsidP="006514E9">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RO-2024-VUNESP</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w:t>
            </w:r>
            <w:r w:rsidRPr="00E44BF0">
              <w:rPr>
                <w:rFonts w:ascii="Book Antiqua" w:eastAsia="Times New Roman" w:hAnsi="Book Antiqua" w:cs="Times New Roman"/>
                <w:sz w:val="19"/>
                <w:szCs w:val="19"/>
                <w:lang w:eastAsia="pt-BR"/>
              </w:rPr>
              <w:t>Rebeca e Renato são casados há oito anos e não conseguem ter filho, razão pela qual decidiram realizar fertilização in vitro. No procedimento foram obtidos cinco embriões, mas apenas três foram implantados. Passados três anos, a clínica X, local onde os dois embriões encontram-se congelados, entrou em contato com Rebeca e Renato informando que as células-tronco embrionárias seriam vendidas, como objeto de estudo, para uma faculdade de medicina. Diante da situação hipotética, considerando o atual entendimento do Supremo Tribunal Federal, é correto afirmar que a clínica X</w:t>
            </w:r>
            <w:r>
              <w:rPr>
                <w:rFonts w:ascii="Book Antiqua" w:eastAsia="Times New Roman" w:hAnsi="Book Antiqua" w:cs="Times New Roman"/>
                <w:sz w:val="19"/>
                <w:szCs w:val="19"/>
                <w:lang w:eastAsia="pt-BR"/>
              </w:rPr>
              <w:t xml:space="preserve">: </w:t>
            </w:r>
            <w:r w:rsidRPr="00E44BF0">
              <w:rPr>
                <w:rFonts w:ascii="Book Antiqua" w:eastAsia="Times New Roman" w:hAnsi="Book Antiqua" w:cs="Times New Roman"/>
                <w:sz w:val="19"/>
                <w:szCs w:val="19"/>
                <w:lang w:eastAsia="pt-BR"/>
              </w:rPr>
              <w:t>poderá doar, três anos após o congelamento, e com consentimento de Rebeca e Renato.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BL: art. 5º da Lei 11.101/05.</w:t>
            </w:r>
          </w:p>
          <w:p w14:paraId="714EBA02" w14:textId="6E188068" w:rsidR="00E44BF0" w:rsidRPr="00E44BF0" w:rsidRDefault="00E44BF0" w:rsidP="006514E9">
            <w:pPr>
              <w:spacing w:before="100" w:beforeAutospacing="1" w:after="100" w:afterAutospacing="1"/>
              <w:jc w:val="both"/>
              <w:rPr>
                <w:rFonts w:ascii="Book Antiqua" w:eastAsia="Times New Roman" w:hAnsi="Book Antiqua" w:cs="Times New Roman"/>
                <w:bCs/>
                <w:sz w:val="19"/>
                <w:szCs w:val="19"/>
                <w:lang w:eastAsia="pt-BR"/>
              </w:rPr>
            </w:pPr>
            <w:r w:rsidRPr="001B12F9">
              <w:rPr>
                <w:rFonts w:ascii="Book Antiqua" w:eastAsia="Times New Roman" w:hAnsi="Book Antiqua" w:cs="Times New Roman"/>
                <w:b/>
                <w:i/>
                <w:iCs/>
                <w:color w:val="EE0000"/>
                <w:sz w:val="19"/>
                <w:szCs w:val="19"/>
                <w:lang w:eastAsia="pt-BR"/>
              </w:rPr>
              <w:t>#</w:t>
            </w:r>
            <w:r w:rsidRPr="001B12F9">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1B12F9" w:rsidRPr="001B12F9">
              <w:rPr>
                <w:rFonts w:ascii="Book Antiqua" w:eastAsia="Times New Roman" w:hAnsi="Book Antiqua" w:cs="Times New Roman"/>
                <w:bCs/>
                <w:sz w:val="19"/>
                <w:szCs w:val="19"/>
                <w:lang w:eastAsia="pt-BR"/>
              </w:rPr>
              <w:t xml:space="preserve">O </w:t>
            </w:r>
            <w:r w:rsidR="001B12F9">
              <w:rPr>
                <w:rFonts w:ascii="Book Antiqua" w:eastAsia="Times New Roman" w:hAnsi="Book Antiqua" w:cs="Times New Roman"/>
                <w:bCs/>
                <w:sz w:val="19"/>
                <w:szCs w:val="19"/>
                <w:lang w:eastAsia="pt-BR"/>
              </w:rPr>
              <w:t>STF</w:t>
            </w:r>
            <w:r w:rsidR="001B12F9" w:rsidRPr="001B12F9">
              <w:rPr>
                <w:rFonts w:ascii="Book Antiqua" w:eastAsia="Times New Roman" w:hAnsi="Book Antiqua" w:cs="Times New Roman"/>
                <w:bCs/>
                <w:sz w:val="19"/>
                <w:szCs w:val="19"/>
                <w:lang w:eastAsia="pt-BR"/>
              </w:rPr>
              <w:t xml:space="preserve"> validou o art</w:t>
            </w:r>
            <w:r w:rsidR="001B12F9">
              <w:rPr>
                <w:rFonts w:ascii="Book Antiqua" w:eastAsia="Times New Roman" w:hAnsi="Book Antiqua" w:cs="Times New Roman"/>
                <w:bCs/>
                <w:sz w:val="19"/>
                <w:szCs w:val="19"/>
                <w:lang w:eastAsia="pt-BR"/>
              </w:rPr>
              <w:t>.</w:t>
            </w:r>
            <w:r w:rsidR="001B12F9" w:rsidRPr="001B12F9">
              <w:rPr>
                <w:rFonts w:ascii="Book Antiqua" w:eastAsia="Times New Roman" w:hAnsi="Book Antiqua" w:cs="Times New Roman"/>
                <w:bCs/>
                <w:sz w:val="19"/>
                <w:szCs w:val="19"/>
                <w:lang w:eastAsia="pt-BR"/>
              </w:rPr>
              <w:t xml:space="preserve"> 5º da Lei de Biossegurança (Lei 11.105/05), que autoriza a utilização de células-tronco embrionárias obtidas de embriões humanos produzidos por fertilização in vitro e não utilizados no respectivo procedimento. </w:t>
            </w:r>
            <w:r w:rsidR="001B12F9" w:rsidRPr="001B12F9">
              <w:rPr>
                <w:rFonts w:ascii="Book Antiqua" w:eastAsia="Times New Roman" w:hAnsi="Book Antiqua" w:cs="Times New Roman"/>
                <w:b/>
                <w:sz w:val="19"/>
                <w:szCs w:val="19"/>
                <w:highlight w:val="yellow"/>
                <w:lang w:eastAsia="pt-BR"/>
              </w:rPr>
              <w:t>As condições são de que os embriões sejam "inviáveis" (que não servem mais para a reprodução humana assistida) ou congelados há três anos ou mais, além do consentimento dos genitores</w:t>
            </w:r>
            <w:r w:rsidR="001B12F9" w:rsidRPr="001B12F9">
              <w:rPr>
                <w:rFonts w:ascii="Book Antiqua" w:eastAsia="Times New Roman" w:hAnsi="Book Antiqua" w:cs="Times New Roman"/>
                <w:bCs/>
                <w:sz w:val="19"/>
                <w:szCs w:val="19"/>
                <w:lang w:eastAsia="pt-BR"/>
              </w:rPr>
              <w:t xml:space="preserve">. A lei também exige a aprovação das pesquisas pelos comitês </w:t>
            </w:r>
            <w:r w:rsidR="001B12F9" w:rsidRPr="001B12F9">
              <w:rPr>
                <w:rFonts w:ascii="Book Antiqua" w:eastAsia="Times New Roman" w:hAnsi="Book Antiqua" w:cs="Times New Roman"/>
                <w:bCs/>
                <w:sz w:val="19"/>
                <w:szCs w:val="19"/>
                <w:lang w:eastAsia="pt-BR"/>
              </w:rPr>
              <w:lastRenderedPageBreak/>
              <w:t>de ética das universidades e proíbe a comercialização de células ou embriões, a engenharia genética e a clonagem humana.</w:t>
            </w:r>
          </w:p>
        </w:tc>
      </w:tr>
    </w:tbl>
    <w:p w14:paraId="37D5BB24" w14:textId="4A5C3D85"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Instituições de pesquisa e serviços de saúde que realizem pesquisa ou terapia com células-tronco embrionárias humanas deverão submeter seus projetos à apreciação e aprovação dos respectivos comitês de ética em pesquisa.</w:t>
      </w:r>
    </w:p>
    <w:p w14:paraId="1D79200F" w14:textId="5D434536" w:rsidR="00A301F0" w:rsidRPr="00E44BF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E44BF0">
        <w:rPr>
          <w:rFonts w:ascii="Book Antiqua" w:eastAsia="Times New Roman" w:hAnsi="Book Antiqua" w:cs="Times New Roman"/>
          <w:b/>
          <w:bCs/>
          <w:sz w:val="19"/>
          <w:szCs w:val="19"/>
          <w:highlight w:val="magenta"/>
          <w:lang w:eastAsia="pt-BR"/>
        </w:rPr>
        <w:t>§ 3</w:t>
      </w:r>
      <w:r w:rsidRPr="00E44BF0">
        <w:rPr>
          <w:rFonts w:ascii="Book Antiqua" w:eastAsia="Times New Roman" w:hAnsi="Book Antiqua" w:cs="Times New Roman"/>
          <w:b/>
          <w:bCs/>
          <w:sz w:val="19"/>
          <w:szCs w:val="19"/>
          <w:highlight w:val="magenta"/>
          <w:u w:val="single"/>
          <w:vertAlign w:val="superscript"/>
          <w:lang w:eastAsia="pt-BR"/>
        </w:rPr>
        <w:t>o</w:t>
      </w:r>
      <w:r w:rsidRPr="00E44BF0">
        <w:rPr>
          <w:rFonts w:ascii="Book Antiqua" w:eastAsia="Times New Roman" w:hAnsi="Book Antiqua" w:cs="Times New Roman"/>
          <w:b/>
          <w:bCs/>
          <w:sz w:val="19"/>
          <w:szCs w:val="19"/>
          <w:lang w:eastAsia="pt-BR"/>
        </w:rPr>
        <w:t xml:space="preserve"> </w:t>
      </w:r>
      <w:r w:rsidRPr="00E44BF0">
        <w:rPr>
          <w:rFonts w:ascii="Book Antiqua" w:eastAsia="Times New Roman" w:hAnsi="Book Antiqua" w:cs="Times New Roman"/>
          <w:b/>
          <w:bCs/>
          <w:caps/>
          <w:sz w:val="19"/>
          <w:szCs w:val="19"/>
          <w:highlight w:val="green"/>
          <w:lang w:eastAsia="pt-BR"/>
        </w:rPr>
        <w:t>É vedada</w:t>
      </w:r>
      <w:r w:rsidRPr="00E44BF0">
        <w:rPr>
          <w:rFonts w:ascii="Book Antiqua" w:eastAsia="Times New Roman" w:hAnsi="Book Antiqua" w:cs="Times New Roman"/>
          <w:b/>
          <w:bCs/>
          <w:sz w:val="19"/>
          <w:szCs w:val="19"/>
          <w:lang w:eastAsia="pt-BR"/>
        </w:rPr>
        <w:t xml:space="preserve"> a </w:t>
      </w:r>
      <w:r w:rsidRPr="00E44BF0">
        <w:rPr>
          <w:rFonts w:ascii="Book Antiqua" w:eastAsia="Times New Roman" w:hAnsi="Book Antiqua" w:cs="Times New Roman"/>
          <w:b/>
          <w:bCs/>
          <w:caps/>
          <w:sz w:val="19"/>
          <w:szCs w:val="19"/>
          <w:shd w:val="clear" w:color="auto" w:fill="F7CAAC" w:themeFill="accent2" w:themeFillTint="66"/>
          <w:lang w:eastAsia="pt-BR"/>
        </w:rPr>
        <w:t>comercialização</w:t>
      </w:r>
      <w:r w:rsidRPr="00E44BF0">
        <w:rPr>
          <w:rFonts w:ascii="Book Antiqua" w:eastAsia="Times New Roman" w:hAnsi="Book Antiqua" w:cs="Times New Roman"/>
          <w:b/>
          <w:bCs/>
          <w:sz w:val="19"/>
          <w:szCs w:val="19"/>
          <w:lang w:eastAsia="pt-BR"/>
        </w:rPr>
        <w:t xml:space="preserve"> </w:t>
      </w:r>
      <w:r w:rsidRPr="00E44BF0">
        <w:rPr>
          <w:rFonts w:ascii="Book Antiqua" w:eastAsia="Times New Roman" w:hAnsi="Book Antiqua" w:cs="Times New Roman"/>
          <w:b/>
          <w:bCs/>
          <w:sz w:val="19"/>
          <w:szCs w:val="19"/>
          <w:highlight w:val="cyan"/>
          <w:lang w:eastAsia="pt-BR"/>
        </w:rPr>
        <w:t>do material biológico</w:t>
      </w:r>
      <w:r w:rsidRPr="00E44BF0">
        <w:rPr>
          <w:rFonts w:ascii="Book Antiqua" w:eastAsia="Times New Roman" w:hAnsi="Book Antiqua" w:cs="Times New Roman"/>
          <w:b/>
          <w:bCs/>
          <w:sz w:val="19"/>
          <w:szCs w:val="19"/>
          <w:lang w:eastAsia="pt-BR"/>
        </w:rPr>
        <w:t xml:space="preserve"> </w:t>
      </w:r>
      <w:r w:rsidRPr="00E44BF0">
        <w:rPr>
          <w:rFonts w:ascii="Book Antiqua" w:eastAsia="Times New Roman" w:hAnsi="Book Antiqua" w:cs="Times New Roman"/>
          <w:b/>
          <w:bCs/>
          <w:sz w:val="19"/>
          <w:szCs w:val="19"/>
          <w:highlight w:val="yellow"/>
          <w:lang w:eastAsia="pt-BR"/>
        </w:rPr>
        <w:t>a que se refere este artigo</w:t>
      </w:r>
      <w:r w:rsidRPr="00E44BF0">
        <w:rPr>
          <w:rFonts w:ascii="Book Antiqua" w:eastAsia="Times New Roman" w:hAnsi="Book Antiqua" w:cs="Times New Roman"/>
          <w:b/>
          <w:bCs/>
          <w:sz w:val="19"/>
          <w:szCs w:val="19"/>
          <w:lang w:eastAsia="pt-BR"/>
        </w:rPr>
        <w:t xml:space="preserve"> e sua prática implica o crime tipificado no </w:t>
      </w:r>
      <w:hyperlink r:id="rId9" w:anchor="art15" w:history="1">
        <w:r w:rsidRPr="00E44BF0">
          <w:rPr>
            <w:rFonts w:ascii="Book Antiqua" w:eastAsia="Times New Roman" w:hAnsi="Book Antiqua" w:cs="Times New Roman"/>
            <w:b/>
            <w:bCs/>
            <w:color w:val="0000FF"/>
            <w:sz w:val="19"/>
            <w:szCs w:val="19"/>
            <w:u w:val="single"/>
            <w:lang w:eastAsia="pt-BR"/>
          </w:rPr>
          <w:t>art. 15 da Lei n</w:t>
        </w:r>
        <w:r w:rsidRPr="00E44BF0">
          <w:rPr>
            <w:rFonts w:ascii="Book Antiqua" w:eastAsia="Times New Roman" w:hAnsi="Book Antiqua" w:cs="Times New Roman"/>
            <w:b/>
            <w:bCs/>
            <w:color w:val="0000FF"/>
            <w:sz w:val="19"/>
            <w:szCs w:val="19"/>
            <w:u w:val="single"/>
            <w:vertAlign w:val="superscript"/>
            <w:lang w:eastAsia="pt-BR"/>
          </w:rPr>
          <w:t>o</w:t>
        </w:r>
        <w:r w:rsidRPr="00E44BF0">
          <w:rPr>
            <w:rFonts w:ascii="Book Antiqua" w:eastAsia="Times New Roman" w:hAnsi="Book Antiqua" w:cs="Times New Roman"/>
            <w:b/>
            <w:bCs/>
            <w:color w:val="0000FF"/>
            <w:sz w:val="19"/>
            <w:szCs w:val="19"/>
            <w:u w:val="single"/>
            <w:lang w:eastAsia="pt-BR"/>
          </w:rPr>
          <w:t xml:space="preserve"> 9.434, de 4 de fevereiro de 1997.</w:t>
        </w:r>
      </w:hyperlink>
      <w:r w:rsidR="00A90F3A" w:rsidRPr="00741250">
        <w:rPr>
          <w:rFonts w:ascii="Book Antiqua" w:eastAsia="Times New Roman" w:hAnsi="Book Antiqua" w:cs="Times New Roman"/>
          <w:color w:val="0000FF"/>
          <w:sz w:val="19"/>
          <w:szCs w:val="19"/>
          <w:lang w:eastAsia="pt-BR"/>
        </w:rPr>
        <w:t xml:space="preserve"> </w:t>
      </w:r>
      <w:r w:rsidR="00A90F3A" w:rsidRPr="004B47A0">
        <w:rPr>
          <w:rFonts w:ascii="Book Antiqua" w:hAnsi="Book Antiqua"/>
          <w:b/>
          <w:color w:val="FF0000"/>
          <w:sz w:val="16"/>
          <w:szCs w:val="16"/>
          <w:u w:val="single"/>
        </w:rPr>
        <w:t>(TJRJ-2011)</w:t>
      </w:r>
      <w:r w:rsidR="00641FD2" w:rsidRPr="004B47A0">
        <w:rPr>
          <w:rFonts w:ascii="Book Antiqua" w:hAnsi="Book Antiqua"/>
          <w:b/>
          <w:color w:val="FF0000"/>
          <w:sz w:val="16"/>
          <w:szCs w:val="16"/>
        </w:rPr>
        <w:t xml:space="preserve"> </w:t>
      </w:r>
      <w:r w:rsidR="00641FD2" w:rsidRPr="004B47A0">
        <w:rPr>
          <w:rFonts w:ascii="Book Antiqua" w:eastAsia="Times New Roman" w:hAnsi="Book Antiqua" w:cs="Times New Roman"/>
          <w:b/>
          <w:bCs/>
          <w:color w:val="FF0000"/>
          <w:sz w:val="16"/>
          <w:szCs w:val="16"/>
          <w:u w:val="single"/>
          <w:lang w:eastAsia="pt-BR"/>
        </w:rPr>
        <w:t>(TRF5-2011)</w:t>
      </w:r>
      <w:r w:rsidR="0065403C" w:rsidRPr="004B47A0">
        <w:rPr>
          <w:rFonts w:ascii="Book Antiqua" w:eastAsia="Times New Roman" w:hAnsi="Book Antiqua" w:cs="Times New Roman"/>
          <w:b/>
          <w:bCs/>
          <w:color w:val="FF0000"/>
          <w:sz w:val="16"/>
          <w:szCs w:val="16"/>
          <w:lang w:eastAsia="pt-BR"/>
        </w:rPr>
        <w:t xml:space="preserve"> </w:t>
      </w:r>
      <w:bookmarkStart w:id="5" w:name="_Hlk66624396"/>
      <w:r w:rsidR="0065403C" w:rsidRPr="004B47A0">
        <w:rPr>
          <w:rFonts w:ascii="Book Antiqua" w:eastAsia="Times New Roman" w:hAnsi="Book Antiqua" w:cs="Times New Roman"/>
          <w:b/>
          <w:bCs/>
          <w:color w:val="FF0000"/>
          <w:sz w:val="16"/>
          <w:szCs w:val="16"/>
          <w:u w:val="single"/>
          <w:lang w:eastAsia="pt-BR"/>
        </w:rPr>
        <w:t>(TRF4-2012)</w:t>
      </w:r>
      <w:bookmarkEnd w:id="5"/>
      <w:r w:rsidR="00E44BF0">
        <w:rPr>
          <w:rFonts w:ascii="Book Antiqua" w:eastAsia="Times New Roman" w:hAnsi="Book Antiqua" w:cs="Times New Roman"/>
          <w:b/>
          <w:bCs/>
          <w:color w:val="FF0000"/>
          <w:sz w:val="16"/>
          <w:szCs w:val="16"/>
          <w:lang w:eastAsia="pt-BR"/>
        </w:rPr>
        <w:t xml:space="preserve"> </w:t>
      </w:r>
      <w:r w:rsidR="00E44BF0">
        <w:rPr>
          <w:rFonts w:ascii="Book Antiqua" w:hAnsi="Book Antiqua" w:cs="Arial"/>
          <w:b/>
          <w:bCs/>
          <w:color w:val="FF0000"/>
          <w:sz w:val="16"/>
          <w:szCs w:val="16"/>
          <w:u w:val="single"/>
        </w:rPr>
        <w:t>(MPRO-2024)</w:t>
      </w:r>
    </w:p>
    <w:p w14:paraId="4ACFB0F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6</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caps/>
          <w:sz w:val="19"/>
          <w:szCs w:val="19"/>
          <w:highlight w:val="green"/>
          <w:lang w:eastAsia="pt-BR"/>
        </w:rPr>
        <w:t>Fica proibido</w:t>
      </w:r>
      <w:r w:rsidRPr="00741250">
        <w:rPr>
          <w:rFonts w:ascii="Book Antiqua" w:eastAsia="Times New Roman" w:hAnsi="Book Antiqua" w:cs="Times New Roman"/>
          <w:sz w:val="19"/>
          <w:szCs w:val="19"/>
          <w:lang w:eastAsia="pt-BR"/>
        </w:rPr>
        <w:t>:</w:t>
      </w:r>
    </w:p>
    <w:p w14:paraId="1CC50BEA" w14:textId="0FAC5BA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b/>
          <w:sz w:val="19"/>
          <w:szCs w:val="19"/>
          <w:lang w:eastAsia="pt-BR"/>
        </w:rPr>
        <w:t>implementação</w:t>
      </w:r>
      <w:proofErr w:type="gramEnd"/>
      <w:r w:rsidRPr="00741250">
        <w:rPr>
          <w:rFonts w:ascii="Book Antiqua" w:eastAsia="Times New Roman" w:hAnsi="Book Antiqua" w:cs="Times New Roman"/>
          <w:b/>
          <w:sz w:val="19"/>
          <w:szCs w:val="19"/>
          <w:lang w:eastAsia="pt-BR"/>
        </w:rPr>
        <w:t xml:space="preserve"> de projeto relativo a OGM sem a manutenção de registro de seu acompanhamento individual</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155B49" w:rsidRPr="00741250" w14:paraId="7F5ADCF3" w14:textId="77777777" w:rsidTr="008D1096">
        <w:tc>
          <w:tcPr>
            <w:tcW w:w="8494" w:type="dxa"/>
            <w:shd w:val="clear" w:color="auto" w:fill="CCFFFF"/>
          </w:tcPr>
          <w:p w14:paraId="5070874C" w14:textId="77777777" w:rsidR="00155B49" w:rsidRDefault="00155B49" w:rsidP="008D1096">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PGEAP-2018-FCC</w:t>
            </w:r>
            <w:r w:rsidRPr="00741250">
              <w:rPr>
                <w:rFonts w:ascii="Book Antiqua" w:eastAsia="Times New Roman" w:hAnsi="Book Antiqua" w:cs="Times New Roman"/>
                <w:b/>
                <w:sz w:val="19"/>
                <w:szCs w:val="19"/>
                <w:lang w:eastAsia="pt-BR"/>
              </w:rPr>
              <w:t>)</w:t>
            </w:r>
            <w:r w:rsidRPr="00155B49">
              <w:rPr>
                <w:rFonts w:ascii="Book Antiqua" w:eastAsia="Times New Roman" w:hAnsi="Book Antiqua" w:cs="Times New Roman"/>
                <w:bCs/>
                <w:sz w:val="19"/>
                <w:szCs w:val="19"/>
                <w:lang w:eastAsia="pt-BR"/>
              </w:rPr>
              <w:t>: De acordo com a Lei 11.105/05, que dispõe sobre as normas de segurança e mecanismos de fiscalização de atividades que envolvem Organismos Geneticamente Modificados (OGM), é</w:t>
            </w:r>
            <w:r>
              <w:rPr>
                <w:rFonts w:ascii="Book Antiqua" w:eastAsia="Times New Roman" w:hAnsi="Book Antiqua" w:cs="Times New Roman"/>
                <w:bCs/>
                <w:sz w:val="19"/>
                <w:szCs w:val="19"/>
                <w:lang w:eastAsia="pt-BR"/>
              </w:rPr>
              <w:t xml:space="preserve"> </w:t>
            </w:r>
            <w:r w:rsidRPr="00155B49">
              <w:rPr>
                <w:rFonts w:ascii="Book Antiqua" w:eastAsia="Times New Roman" w:hAnsi="Book Antiqua" w:cs="Times New Roman"/>
                <w:bCs/>
                <w:sz w:val="19"/>
                <w:szCs w:val="19"/>
                <w:lang w:eastAsia="pt-BR"/>
              </w:rPr>
              <w:t>proibida a implementação de projeto relativo a OGM sem a manutenção de registro de seu acompanhamento individual.</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lang w:eastAsia="pt-BR"/>
              </w:rPr>
              <w:t>I da Lei 11.105/05.</w:t>
            </w:r>
          </w:p>
          <w:p w14:paraId="5A90C823" w14:textId="1F93B95D" w:rsidR="00EA2165" w:rsidRPr="00EA2165" w:rsidRDefault="00EA2165" w:rsidP="008D109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165">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165">
              <w:rPr>
                <w:rFonts w:ascii="Book Antiqua" w:eastAsia="Times New Roman" w:hAnsi="Book Antiqua" w:cs="Times New Roman"/>
                <w:bCs/>
                <w:sz w:val="19"/>
                <w:szCs w:val="19"/>
                <w:lang w:eastAsia="pt-BR"/>
              </w:rPr>
              <w:t>Quanto às normas de segurança e mecanismos de fiscalização de atividades que envolvem organismos geneticamente modificados – OGM, é correta a seguinte assertiva:</w:t>
            </w:r>
            <w:r>
              <w:rPr>
                <w:rFonts w:ascii="Book Antiqua" w:eastAsia="Times New Roman" w:hAnsi="Book Antiqua" w:cs="Times New Roman"/>
                <w:bCs/>
                <w:sz w:val="19"/>
                <w:szCs w:val="19"/>
                <w:lang w:eastAsia="pt-BR"/>
              </w:rPr>
              <w:t xml:space="preserve"> </w:t>
            </w:r>
            <w:r w:rsidRPr="00EA2165">
              <w:rPr>
                <w:rFonts w:ascii="Book Antiqua" w:eastAsia="Times New Roman" w:hAnsi="Book Antiqua" w:cs="Times New Roman"/>
                <w:bCs/>
                <w:sz w:val="19"/>
                <w:szCs w:val="19"/>
                <w:lang w:eastAsia="pt-BR"/>
              </w:rPr>
              <w:t>É proibida a implementação de projeto relativo a OGM sem a manutenção de registro de seu acompanhamento individual.</w:t>
            </w:r>
            <w:r>
              <w:rPr>
                <w:rFonts w:ascii="Book Antiqua" w:eastAsia="Times New Roman" w:hAnsi="Book Antiqua" w:cs="Times New Roman"/>
                <w:bCs/>
                <w:sz w:val="19"/>
                <w:szCs w:val="19"/>
                <w:lang w:eastAsia="pt-BR"/>
              </w:rPr>
              <w:t xml:space="preserve"> </w:t>
            </w:r>
            <w:r w:rsidRPr="00741250">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lang w:eastAsia="pt-BR"/>
              </w:rPr>
              <w:t>I da Lei 11.105/05.</w:t>
            </w:r>
          </w:p>
        </w:tc>
      </w:tr>
    </w:tbl>
    <w:p w14:paraId="4E66C01C"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II – </w:t>
      </w:r>
      <w:proofErr w:type="gramStart"/>
      <w:r w:rsidRPr="00741250">
        <w:rPr>
          <w:rFonts w:ascii="Book Antiqua" w:eastAsia="Times New Roman" w:hAnsi="Book Antiqua" w:cs="Times New Roman"/>
          <w:b/>
          <w:sz w:val="19"/>
          <w:szCs w:val="19"/>
          <w:lang w:eastAsia="pt-BR"/>
        </w:rPr>
        <w:t>engenharia</w:t>
      </w:r>
      <w:proofErr w:type="gramEnd"/>
      <w:r w:rsidRPr="00741250">
        <w:rPr>
          <w:rFonts w:ascii="Book Antiqua" w:eastAsia="Times New Roman" w:hAnsi="Book Antiqua" w:cs="Times New Roman"/>
          <w:b/>
          <w:sz w:val="19"/>
          <w:szCs w:val="19"/>
          <w:lang w:eastAsia="pt-BR"/>
        </w:rPr>
        <w:t xml:space="preserve"> genética em organismo vivo ou o manejo </w:t>
      </w:r>
      <w:r w:rsidRPr="00741250">
        <w:rPr>
          <w:rFonts w:ascii="Book Antiqua" w:eastAsia="Times New Roman" w:hAnsi="Book Antiqua" w:cs="Times New Roman"/>
          <w:b/>
          <w:bCs/>
          <w:sz w:val="19"/>
          <w:szCs w:val="19"/>
          <w:lang w:eastAsia="pt-BR"/>
        </w:rPr>
        <w:t>in vitro</w:t>
      </w:r>
      <w:r w:rsidRPr="00741250">
        <w:rPr>
          <w:rFonts w:ascii="Book Antiqua" w:eastAsia="Times New Roman" w:hAnsi="Book Antiqua" w:cs="Times New Roman"/>
          <w:b/>
          <w:sz w:val="19"/>
          <w:szCs w:val="19"/>
          <w:lang w:eastAsia="pt-BR"/>
        </w:rPr>
        <w:t xml:space="preserve"> de ADN/ARN natural ou recombinante, realizado em desacordo com as normas previstas nesta Lei</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56E4E38A" w14:textId="6BC588E9"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III – engenharia genética em célula germinal humana, zigoto humano e embrião humano</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(MPSC-2013)</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25F9F828" w14:textId="1EBD5FF5"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xml:space="preserve">        IV – </w:t>
      </w:r>
      <w:proofErr w:type="gramStart"/>
      <w:r w:rsidRPr="00741250">
        <w:rPr>
          <w:rFonts w:ascii="Book Antiqua" w:eastAsia="Times New Roman" w:hAnsi="Book Antiqua" w:cs="Times New Roman"/>
          <w:b/>
          <w:sz w:val="19"/>
          <w:szCs w:val="19"/>
          <w:lang w:eastAsia="pt-BR"/>
        </w:rPr>
        <w:t>clonagem</w:t>
      </w:r>
      <w:proofErr w:type="gramEnd"/>
      <w:r w:rsidRPr="00741250">
        <w:rPr>
          <w:rFonts w:ascii="Book Antiqua" w:eastAsia="Times New Roman" w:hAnsi="Book Antiqua" w:cs="Times New Roman"/>
          <w:b/>
          <w:sz w:val="19"/>
          <w:szCs w:val="19"/>
          <w:lang w:eastAsia="pt-BR"/>
        </w:rPr>
        <w:t xml:space="preserve"> humana</w:t>
      </w:r>
      <w:r w:rsidRPr="00F1158C">
        <w:rPr>
          <w:rFonts w:ascii="Book Antiqua" w:eastAsia="Times New Roman" w:hAnsi="Book Antiqua" w:cs="Times New Roman"/>
          <w:b/>
          <w:sz w:val="18"/>
          <w:szCs w:val="18"/>
          <w:lang w:eastAsia="pt-BR"/>
        </w:rPr>
        <w:t>;</w:t>
      </w:r>
      <w:r w:rsidR="004C1896" w:rsidRPr="00F1158C">
        <w:rPr>
          <w:rFonts w:ascii="Book Antiqua" w:eastAsia="Times New Roman" w:hAnsi="Book Antiqua" w:cs="Times New Roman"/>
          <w:b/>
          <w:sz w:val="18"/>
          <w:szCs w:val="18"/>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146742" w:rsidRPr="00741250" w14:paraId="1E1AEF54" w14:textId="77777777" w:rsidTr="00146742">
        <w:tc>
          <w:tcPr>
            <w:tcW w:w="8494" w:type="dxa"/>
            <w:shd w:val="clear" w:color="auto" w:fill="CCFFFF"/>
          </w:tcPr>
          <w:p w14:paraId="01B1D3E7" w14:textId="77777777" w:rsidR="00146742" w:rsidRPr="00741250" w:rsidRDefault="00146742" w:rsidP="00146742">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MPSC-2013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A Lei 11.105/05 proíbe clonagem humana, engenharia genética em célula germinal humana, zigoto humano e embrião humano. </w:t>
            </w:r>
            <w:r w:rsidRPr="00741250">
              <w:rPr>
                <w:rFonts w:ascii="Book Antiqua" w:eastAsia="Times New Roman" w:hAnsi="Book Antiqua" w:cs="Times New Roman"/>
                <w:b/>
                <w:sz w:val="19"/>
                <w:szCs w:val="19"/>
                <w:lang w:eastAsia="pt-BR"/>
              </w:rPr>
              <w:t>BL: art. 6º, III e IV da Lei.</w:t>
            </w:r>
          </w:p>
        </w:tc>
      </w:tr>
    </w:tbl>
    <w:p w14:paraId="0A5C3C05" w14:textId="4ED0056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V – </w:t>
      </w:r>
      <w:proofErr w:type="gramStart"/>
      <w:r w:rsidRPr="00741250">
        <w:rPr>
          <w:rFonts w:ascii="Book Antiqua" w:eastAsia="Times New Roman" w:hAnsi="Book Antiqua" w:cs="Times New Roman"/>
          <w:b/>
          <w:sz w:val="19"/>
          <w:szCs w:val="19"/>
          <w:lang w:eastAsia="pt-BR"/>
        </w:rPr>
        <w:t>destruição ou descarte</w:t>
      </w:r>
      <w:proofErr w:type="gramEnd"/>
      <w:r w:rsidRPr="00741250">
        <w:rPr>
          <w:rFonts w:ascii="Book Antiqua" w:eastAsia="Times New Roman" w:hAnsi="Book Antiqua" w:cs="Times New Roman"/>
          <w:b/>
          <w:sz w:val="19"/>
          <w:szCs w:val="19"/>
          <w:lang w:eastAsia="pt-BR"/>
        </w:rPr>
        <w:t xml:space="preserve"> no meio ambiente de OGM e seus derivados em desacordo com as normas estabelecidas pela CTNBio, pelos órgãos e entidades de registro e fiscalização, referidos no art. 16 desta Lei, e as constantes desta Lei e de sua     regulamentação</w:t>
      </w:r>
      <w:r w:rsidRPr="004B47A0">
        <w:rPr>
          <w:rFonts w:ascii="Book Antiqua" w:eastAsia="Times New Roman" w:hAnsi="Book Antiqua" w:cs="Times New Roman"/>
          <w:sz w:val="16"/>
          <w:szCs w:val="16"/>
          <w:lang w:eastAsia="pt-BR"/>
        </w:rPr>
        <w:t>;</w:t>
      </w:r>
      <w:r w:rsidR="00641FD2" w:rsidRPr="004B47A0">
        <w:rPr>
          <w:rFonts w:ascii="Book Antiqua" w:eastAsia="Times New Roman" w:hAnsi="Book Antiqua" w:cs="Times New Roman"/>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DA401D"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0F772F69" w14:textId="3F394E5F"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VI – liberação no meio ambiente de OGM ou seus derivados, no âmbito de atividades de pesquisa, sem a decisão técnica favorável da CTNBio e, nos casos de liberação comercial, sem o parecer técnico favorável da CTNBio, ou sem o licenciamento do órgão ou entidade ambiental responsável, quando a CTNBio considerar a atividade como potencialmente causadora de degradação ambiental, ou sem a aprovação do Conselho Nacional de Biossegurança – CNBS, quando o processo tenha sido por ele avocado, na forma desta Lei e de sua regulamentação</w:t>
      </w:r>
      <w:r w:rsidRPr="004B47A0">
        <w:rPr>
          <w:rFonts w:ascii="Book Antiqua" w:eastAsia="Times New Roman" w:hAnsi="Book Antiqua" w:cs="Times New Roman"/>
          <w:b/>
          <w:sz w:val="16"/>
          <w:szCs w:val="16"/>
          <w:lang w:eastAsia="pt-BR"/>
        </w:rPr>
        <w:t>;</w:t>
      </w:r>
      <w:r w:rsidR="004C1896" w:rsidRPr="004B47A0">
        <w:rPr>
          <w:rFonts w:ascii="Book Antiqua" w:eastAsia="Times New Roman" w:hAnsi="Book Antiqua" w:cs="Times New Roman"/>
          <w:b/>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F1158C" w:rsidRPr="004B47A0">
        <w:rPr>
          <w:rFonts w:ascii="Book Antiqua" w:eastAsia="Times New Roman" w:hAnsi="Book Antiqua" w:cs="Times New Roman"/>
          <w:b/>
          <w:bCs/>
          <w:color w:val="FF0000"/>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(TJRJ-2011)</w:t>
      </w:r>
      <w:r w:rsidR="00977EBA" w:rsidRPr="004B47A0">
        <w:rPr>
          <w:rFonts w:ascii="Book Antiqua" w:eastAsia="Times New Roman" w:hAnsi="Book Antiqua" w:cs="Times New Roman"/>
          <w:b/>
          <w:bCs/>
          <w:color w:val="FF0000"/>
          <w:sz w:val="16"/>
          <w:szCs w:val="16"/>
          <w:lang w:eastAsia="pt-BR"/>
        </w:rPr>
        <w:t xml:space="preserve"> </w:t>
      </w:r>
      <w:r w:rsidR="00977EBA" w:rsidRPr="004B47A0">
        <w:rPr>
          <w:rFonts w:ascii="Book Antiqua" w:hAnsi="Book Antiqua"/>
          <w:b/>
          <w:bCs/>
          <w:color w:val="FF0000"/>
          <w:sz w:val="16"/>
          <w:szCs w:val="16"/>
          <w:u w:val="single"/>
        </w:rPr>
        <w:t>(TRF3-2011)</w:t>
      </w:r>
      <w:r w:rsidR="00641FD2" w:rsidRPr="004B47A0">
        <w:rPr>
          <w:rFonts w:ascii="Book Antiqua" w:eastAsia="Times New Roman" w:hAnsi="Book Antiqua" w:cs="Times New Roman"/>
          <w:b/>
          <w:bCs/>
          <w:color w:val="FF0000"/>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A43352"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tbl>
      <w:tblPr>
        <w:tblStyle w:val="Tabelacomgrade"/>
        <w:tblW w:w="0" w:type="auto"/>
        <w:shd w:val="clear" w:color="auto" w:fill="CCFFFF"/>
        <w:tblLook w:val="04A0" w:firstRow="1" w:lastRow="0" w:firstColumn="1" w:lastColumn="0" w:noHBand="0" w:noVBand="1"/>
      </w:tblPr>
      <w:tblGrid>
        <w:gridCol w:w="8494"/>
      </w:tblGrid>
      <w:tr w:rsidR="00525B04" w:rsidRPr="00741250" w14:paraId="61D4ECF0" w14:textId="77777777" w:rsidTr="00525B04">
        <w:tc>
          <w:tcPr>
            <w:tcW w:w="8494" w:type="dxa"/>
            <w:shd w:val="clear" w:color="auto" w:fill="CCFFFF"/>
          </w:tcPr>
          <w:p w14:paraId="6A628D55" w14:textId="77777777" w:rsidR="00525B04" w:rsidRPr="00741250" w:rsidRDefault="00525B04" w:rsidP="00943AD7">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TJRJ</w:t>
            </w:r>
            <w:r w:rsidR="00943AD7" w:rsidRPr="00741250">
              <w:rPr>
                <w:rFonts w:ascii="Book Antiqua" w:eastAsia="Times New Roman" w:hAnsi="Book Antiqua" w:cs="Times New Roman"/>
                <w:b/>
                <w:sz w:val="19"/>
                <w:szCs w:val="19"/>
                <w:highlight w:val="yellow"/>
                <w:lang w:eastAsia="pt-BR"/>
              </w:rPr>
              <w:t>-</w:t>
            </w:r>
            <w:r w:rsidRPr="00741250">
              <w:rPr>
                <w:rFonts w:ascii="Book Antiqua" w:eastAsia="Times New Roman" w:hAnsi="Book Antiqua" w:cs="Times New Roman"/>
                <w:b/>
                <w:sz w:val="19"/>
                <w:szCs w:val="19"/>
                <w:highlight w:val="yellow"/>
                <w:lang w:eastAsia="pt-BR"/>
              </w:rPr>
              <w:t>2011</w:t>
            </w:r>
            <w:r w:rsidR="00943AD7" w:rsidRPr="00741250">
              <w:rPr>
                <w:rFonts w:ascii="Book Antiqua" w:eastAsia="Times New Roman" w:hAnsi="Book Antiqua" w:cs="Times New Roman"/>
                <w:b/>
                <w:sz w:val="19"/>
                <w:szCs w:val="19"/>
                <w:highlight w:val="yellow"/>
                <w:lang w:eastAsia="pt-BR"/>
              </w:rPr>
              <w:t>-</w:t>
            </w:r>
            <w:r w:rsidRPr="00741250">
              <w:rPr>
                <w:rFonts w:ascii="Book Antiqua" w:eastAsia="Times New Roman" w:hAnsi="Book Antiqua" w:cs="Times New Roman"/>
                <w:b/>
                <w:sz w:val="19"/>
                <w:szCs w:val="19"/>
                <w:highlight w:val="yellow"/>
                <w:lang w:eastAsia="pt-BR"/>
              </w:rPr>
              <w:t>VUNESP</w:t>
            </w:r>
            <w:r w:rsidRPr="00741250">
              <w:rPr>
                <w:rFonts w:ascii="Book Antiqua" w:eastAsia="Times New Roman" w:hAnsi="Book Antiqua" w:cs="Times New Roman"/>
                <w:b/>
                <w:sz w:val="19"/>
                <w:szCs w:val="19"/>
                <w:lang w:eastAsia="pt-BR"/>
              </w:rPr>
              <w:t>)</w:t>
            </w:r>
            <w:r w:rsidRPr="00155B49">
              <w:rPr>
                <w:rFonts w:ascii="Book Antiqua" w:eastAsia="Times New Roman" w:hAnsi="Book Antiqua" w:cs="Times New Roman"/>
                <w:bCs/>
                <w:sz w:val="19"/>
                <w:szCs w:val="19"/>
                <w:lang w:eastAsia="pt-BR"/>
              </w:rPr>
              <w:t>: A</w:t>
            </w:r>
            <w:r w:rsidRPr="00741250">
              <w:rPr>
                <w:rFonts w:ascii="Book Antiqua" w:eastAsia="Times New Roman" w:hAnsi="Book Antiqua" w:cs="Times New Roman"/>
                <w:sz w:val="19"/>
                <w:szCs w:val="19"/>
                <w:lang w:eastAsia="pt-BR"/>
              </w:rPr>
              <w:t xml:space="preserve"> legislação permite o uso comercial de organismos geneticamente modificados desde que haja decisão </w:t>
            </w:r>
            <w:r w:rsidR="00A43352" w:rsidRPr="00741250">
              <w:rPr>
                <w:rFonts w:ascii="Book Antiqua" w:eastAsia="Times New Roman" w:hAnsi="Book Antiqua" w:cs="Times New Roman"/>
                <w:sz w:val="19"/>
                <w:szCs w:val="19"/>
                <w:lang w:eastAsia="pt-BR"/>
              </w:rPr>
              <w:t xml:space="preserve">técnica favorável da Comissão Técnica Nacional de Biossegurança – CTNBio, sendo ou não exigido licenciamento ambiental a critério da referida comissão. </w:t>
            </w:r>
            <w:r w:rsidR="00A43352" w:rsidRPr="00741250">
              <w:rPr>
                <w:rFonts w:ascii="Book Antiqua" w:eastAsia="Times New Roman" w:hAnsi="Book Antiqua" w:cs="Times New Roman"/>
                <w:b/>
                <w:sz w:val="19"/>
                <w:szCs w:val="19"/>
                <w:lang w:eastAsia="pt-BR"/>
              </w:rPr>
              <w:t>BL: art. 6º. VI da Lei 11.105/05.</w:t>
            </w:r>
          </w:p>
        </w:tc>
      </w:tr>
    </w:tbl>
    <w:p w14:paraId="4092A514" w14:textId="3104EBD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VII – a utilização, a comercialização, o registro, o patenteamento e o licenciamento de tecnologias genéticas de restrição do uso</w:t>
      </w:r>
      <w:r w:rsidRPr="004B47A0">
        <w:rPr>
          <w:rFonts w:ascii="Book Antiqua" w:eastAsia="Times New Roman" w:hAnsi="Book Antiqua" w:cs="Times New Roman"/>
          <w:sz w:val="16"/>
          <w:szCs w:val="16"/>
          <w:lang w:eastAsia="pt-BR"/>
        </w:rPr>
        <w:t>.</w:t>
      </w:r>
      <w:r w:rsidR="00DA401D"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2655F7" w:rsidRPr="004B47A0">
        <w:rPr>
          <w:rFonts w:ascii="Book Antiqua" w:eastAsia="Times New Roman" w:hAnsi="Book Antiqua" w:cs="Times New Roman"/>
          <w:b/>
          <w:color w:val="FF0000"/>
          <w:sz w:val="16"/>
          <w:szCs w:val="16"/>
          <w:lang w:eastAsia="pt-BR"/>
        </w:rPr>
        <w:t xml:space="preserve"> </w:t>
      </w:r>
      <w:r w:rsidR="002655F7" w:rsidRPr="004B47A0">
        <w:rPr>
          <w:rFonts w:ascii="Book Antiqua" w:eastAsia="Times New Roman" w:hAnsi="Book Antiqua" w:cs="Times New Roman"/>
          <w:b/>
          <w:color w:val="FF0000"/>
          <w:sz w:val="16"/>
          <w:szCs w:val="16"/>
          <w:u w:val="single"/>
          <w:lang w:eastAsia="pt-BR"/>
        </w:rPr>
        <w:t>(TJDFT-2016)</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54D3CDB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Para os efeitos desta Lei, entende-se por tecnologias genéticas de restrição do uso qualquer processo de intervenção humana para geração ou multiplicação de plantas geneticamente modificadas para produzir estruturas reprodutivas estéreis, bem como qualquer forma de manipulação genética que vise à ativação ou desativação de genes relacionados à fertilidade das plantas por indutores químicos externos.</w:t>
      </w:r>
    </w:p>
    <w:p w14:paraId="5C87394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Art.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São obrigatórias:</w:t>
      </w:r>
    </w:p>
    <w:p w14:paraId="4AAD05D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investigação de acidentes ocorridos no curso de pesquisas e projetos na área de engenharia genética e o envio de relatório respectivo à autoridade competente no prazo máximo de 5 (cinco) dias a contar da data do evento;</w:t>
      </w:r>
    </w:p>
    <w:p w14:paraId="6AC54FD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notificação imediata à CTNBio e às autoridades da saúde pública, da defesa agropecuária e do meio ambiente sobre acidente que possa provocar a disseminação de OGM e seus derivados;</w:t>
      </w:r>
    </w:p>
    <w:p w14:paraId="2E958D7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a adoção de meios necessários para plenamente informar à CTNBio, às autoridades da saúde pública, do meio ambiente, da defesa agropecuária, à coletividade e aos demais empregados da instituição ou empresa sobre os riscos a que possam estar submetidos, bem como os procedimentos a serem tomados no caso de acidentes com OGM.</w:t>
      </w:r>
    </w:p>
    <w:p w14:paraId="3A606F9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II</w:t>
      </w:r>
    </w:p>
    <w:p w14:paraId="20A59C2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 Conselho Nacional de Biossegurança – CNBS</w:t>
      </w:r>
    </w:p>
    <w:p w14:paraId="0C64ECD3" w14:textId="20D22059"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8</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bCs/>
          <w:caps/>
          <w:sz w:val="19"/>
          <w:szCs w:val="19"/>
          <w:highlight w:val="green"/>
          <w:lang w:eastAsia="pt-BR"/>
        </w:rPr>
        <w:t>Fica criado</w:t>
      </w:r>
      <w:r w:rsidRPr="00741250">
        <w:rPr>
          <w:rFonts w:ascii="Book Antiqua" w:eastAsia="Times New Roman" w:hAnsi="Book Antiqua" w:cs="Times New Roman"/>
          <w:sz w:val="19"/>
          <w:szCs w:val="19"/>
          <w:lang w:eastAsia="pt-BR"/>
        </w:rPr>
        <w:t xml:space="preserve"> o </w:t>
      </w:r>
      <w:r w:rsidRPr="00B3678D">
        <w:rPr>
          <w:rFonts w:ascii="Book Antiqua" w:eastAsia="Times New Roman" w:hAnsi="Book Antiqua" w:cs="Times New Roman"/>
          <w:b/>
          <w:sz w:val="19"/>
          <w:szCs w:val="19"/>
          <w:highlight w:val="cyan"/>
          <w:lang w:eastAsia="pt-BR"/>
        </w:rPr>
        <w:t>Conselho Nacional de Biossegurança – CNBS</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caps/>
          <w:sz w:val="19"/>
          <w:szCs w:val="19"/>
          <w:highlight w:val="green"/>
          <w:lang w:eastAsia="pt-BR"/>
        </w:rPr>
        <w:t>vinculado</w:t>
      </w:r>
      <w:r w:rsidRPr="00B3678D">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à Presidência da República</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caps/>
          <w:sz w:val="19"/>
          <w:szCs w:val="19"/>
          <w:shd w:val="clear" w:color="auto" w:fill="F7CAAC" w:themeFill="accent2" w:themeFillTint="66"/>
          <w:lang w:eastAsia="pt-BR"/>
        </w:rPr>
        <w:t>órgão de assessoramento superior</w:t>
      </w:r>
      <w:r w:rsidRPr="00B3678D">
        <w:rPr>
          <w:rFonts w:ascii="Book Antiqua" w:eastAsia="Times New Roman" w:hAnsi="Book Antiqua" w:cs="Times New Roman"/>
          <w:b/>
          <w:sz w:val="19"/>
          <w:szCs w:val="19"/>
          <w:lang w:eastAsia="pt-BR"/>
        </w:rPr>
        <w:t xml:space="preserve"> </w:t>
      </w:r>
      <w:r w:rsidRPr="00B3678D">
        <w:rPr>
          <w:rFonts w:ascii="Book Antiqua" w:eastAsia="Times New Roman" w:hAnsi="Book Antiqua" w:cs="Times New Roman"/>
          <w:b/>
          <w:sz w:val="19"/>
          <w:szCs w:val="19"/>
          <w:highlight w:val="yellow"/>
          <w:lang w:eastAsia="pt-BR"/>
        </w:rPr>
        <w:t>do Presidente da República</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para a formulação e implementação da Política Nacional de Biossegurança – PNB</w:t>
      </w:r>
      <w:r w:rsidRPr="004B47A0">
        <w:rPr>
          <w:rFonts w:ascii="Book Antiqua" w:eastAsia="Times New Roman" w:hAnsi="Book Antiqua" w:cs="Times New Roman"/>
          <w:sz w:val="16"/>
          <w:szCs w:val="16"/>
          <w:lang w:eastAsia="pt-BR"/>
        </w:rPr>
        <w:t>.</w:t>
      </w:r>
      <w:r w:rsidR="00B3678D" w:rsidRPr="004B47A0">
        <w:rPr>
          <w:rFonts w:ascii="Book Antiqua" w:eastAsia="Times New Roman" w:hAnsi="Book Antiqua" w:cs="Times New Roman"/>
          <w:sz w:val="16"/>
          <w:szCs w:val="16"/>
          <w:lang w:eastAsia="pt-BR"/>
        </w:rPr>
        <w:t xml:space="preserve"> </w:t>
      </w:r>
      <w:r w:rsidR="00B3678D" w:rsidRPr="004B47A0">
        <w:rPr>
          <w:rFonts w:ascii="Book Antiqua" w:eastAsia="Times New Roman" w:hAnsi="Book Antiqua" w:cs="Times New Roman"/>
          <w:b/>
          <w:bCs/>
          <w:color w:val="FF0000"/>
          <w:sz w:val="16"/>
          <w:szCs w:val="16"/>
          <w:u w:val="single"/>
          <w:lang w:eastAsia="pt-BR"/>
        </w:rPr>
        <w:t>(TRF5-2009)</w:t>
      </w:r>
      <w:r w:rsidR="00977EBA" w:rsidRPr="004B47A0">
        <w:rPr>
          <w:rFonts w:ascii="Book Antiqua" w:eastAsia="Times New Roman" w:hAnsi="Book Antiqua" w:cs="Times New Roman"/>
          <w:b/>
          <w:bCs/>
          <w:color w:val="FF0000"/>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r w:rsidRPr="004B47A0">
        <w:rPr>
          <w:rFonts w:ascii="Book Antiqua" w:eastAsia="Times New Roman" w:hAnsi="Book Antiqua" w:cs="Times New Roman"/>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FC0180" w:rsidRPr="004B47A0">
        <w:rPr>
          <w:rFonts w:ascii="Book Antiqua" w:eastAsia="Times New Roman" w:hAnsi="Book Antiqua" w:cs="Times New Roman"/>
          <w:b/>
          <w:color w:val="FF0000"/>
          <w:sz w:val="16"/>
          <w:szCs w:val="16"/>
          <w:lang w:eastAsia="pt-BR"/>
        </w:rPr>
        <w:t xml:space="preserve"> </w:t>
      </w:r>
      <w:r w:rsidR="00FC0180" w:rsidRPr="004B47A0">
        <w:rPr>
          <w:rFonts w:ascii="Book Antiqua" w:hAnsi="Book Antiqua"/>
          <w:b/>
          <w:color w:val="FF0000"/>
          <w:sz w:val="16"/>
          <w:szCs w:val="16"/>
          <w:u w:val="single"/>
        </w:rPr>
        <w:t>(TRF4-2014)</w:t>
      </w:r>
    </w:p>
    <w:p w14:paraId="16DE0DE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 1</w:t>
      </w:r>
      <w:r w:rsidRPr="00977EBA">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caps/>
          <w:sz w:val="19"/>
          <w:szCs w:val="19"/>
          <w:highlight w:val="green"/>
          <w:lang w:eastAsia="pt-BR"/>
        </w:rPr>
        <w:t>Compete</w:t>
      </w:r>
      <w:r w:rsidRPr="00741250">
        <w:rPr>
          <w:rFonts w:ascii="Book Antiqua" w:eastAsia="Times New Roman" w:hAnsi="Book Antiqua" w:cs="Times New Roman"/>
          <w:sz w:val="19"/>
          <w:szCs w:val="19"/>
          <w:lang w:eastAsia="pt-BR"/>
        </w:rPr>
        <w:t xml:space="preserve"> ao </w:t>
      </w:r>
      <w:r w:rsidRPr="00977EBA">
        <w:rPr>
          <w:rFonts w:ascii="Book Antiqua" w:eastAsia="Times New Roman" w:hAnsi="Book Antiqua" w:cs="Times New Roman"/>
          <w:b/>
          <w:bCs/>
          <w:sz w:val="19"/>
          <w:szCs w:val="19"/>
          <w:shd w:val="clear" w:color="auto" w:fill="F7CAAC" w:themeFill="accent2" w:themeFillTint="66"/>
          <w:lang w:eastAsia="pt-BR"/>
        </w:rPr>
        <w:t>CNBS</w:t>
      </w:r>
      <w:r w:rsidRPr="00741250">
        <w:rPr>
          <w:rFonts w:ascii="Book Antiqua" w:eastAsia="Times New Roman" w:hAnsi="Book Antiqua" w:cs="Times New Roman"/>
          <w:sz w:val="19"/>
          <w:szCs w:val="19"/>
          <w:lang w:eastAsia="pt-BR"/>
        </w:rPr>
        <w:t xml:space="preserve">: </w:t>
      </w:r>
    </w:p>
    <w:p w14:paraId="5FC83A0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fixar</w:t>
      </w:r>
      <w:proofErr w:type="gramEnd"/>
      <w:r w:rsidRPr="00741250">
        <w:rPr>
          <w:rFonts w:ascii="Book Antiqua" w:eastAsia="Times New Roman" w:hAnsi="Book Antiqua" w:cs="Times New Roman"/>
          <w:sz w:val="19"/>
          <w:szCs w:val="19"/>
          <w:lang w:eastAsia="pt-BR"/>
        </w:rPr>
        <w:t xml:space="preserve"> princípios e diretrizes para a ação administrativa dos órgãos e entidades federais com competências sobre a matéria; </w:t>
      </w:r>
    </w:p>
    <w:p w14:paraId="1F67C41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analisar</w:t>
      </w:r>
      <w:proofErr w:type="gramEnd"/>
      <w:r w:rsidRPr="00741250">
        <w:rPr>
          <w:rFonts w:ascii="Book Antiqua" w:eastAsia="Times New Roman" w:hAnsi="Book Antiqua" w:cs="Times New Roman"/>
          <w:sz w:val="19"/>
          <w:szCs w:val="19"/>
          <w:lang w:eastAsia="pt-BR"/>
        </w:rPr>
        <w:t>, a pedido da CTNBio, quanto aos aspectos da conveniência e oportunidade socioeconômicas e do interesse nacional, os pedidos de liberação para uso comercial de OGM e seus derivados;</w:t>
      </w:r>
    </w:p>
    <w:p w14:paraId="6ADB59A2" w14:textId="4E42C62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F1158C">
        <w:rPr>
          <w:rFonts w:ascii="Book Antiqua" w:eastAsia="Times New Roman" w:hAnsi="Book Antiqua" w:cs="Times New Roman"/>
          <w:b/>
          <w:bCs/>
          <w:sz w:val="19"/>
          <w:szCs w:val="19"/>
          <w:lang w:eastAsia="pt-BR"/>
        </w:rPr>
        <w:t xml:space="preserve">        III – avocar e </w:t>
      </w:r>
      <w:r w:rsidRPr="00F1158C">
        <w:rPr>
          <w:rFonts w:ascii="Book Antiqua" w:eastAsia="Times New Roman" w:hAnsi="Book Antiqua" w:cs="Times New Roman"/>
          <w:b/>
          <w:bCs/>
          <w:caps/>
          <w:sz w:val="19"/>
          <w:szCs w:val="19"/>
          <w:highlight w:val="green"/>
          <w:lang w:eastAsia="pt-BR"/>
        </w:rPr>
        <w:t>decidir</w:t>
      </w:r>
      <w:r w:rsidRPr="00F1158C">
        <w:rPr>
          <w:rFonts w:ascii="Book Antiqua" w:eastAsia="Times New Roman" w:hAnsi="Book Antiqua" w:cs="Times New Roman"/>
          <w:b/>
          <w:bCs/>
          <w:sz w:val="19"/>
          <w:szCs w:val="19"/>
          <w:lang w:eastAsia="pt-BR"/>
        </w:rPr>
        <w:t xml:space="preserve">, em última e definitiva instância, com base em manifestação da CTNBio e, quando julgar necessário, dos órgãos e entidades referidos no art. 16 desta Lei, no âmbito de suas competências, </w:t>
      </w:r>
      <w:r w:rsidRPr="00F1158C">
        <w:rPr>
          <w:rFonts w:ascii="Book Antiqua" w:eastAsia="Times New Roman" w:hAnsi="Book Antiqua" w:cs="Times New Roman"/>
          <w:b/>
          <w:bCs/>
          <w:sz w:val="19"/>
          <w:szCs w:val="19"/>
          <w:highlight w:val="yellow"/>
          <w:lang w:eastAsia="pt-BR"/>
        </w:rPr>
        <w:t>sobre os processos relativos a atividades</w:t>
      </w:r>
      <w:r w:rsidRPr="00F1158C">
        <w:rPr>
          <w:rFonts w:ascii="Book Antiqua" w:eastAsia="Times New Roman" w:hAnsi="Book Antiqua" w:cs="Times New Roman"/>
          <w:b/>
          <w:bCs/>
          <w:sz w:val="19"/>
          <w:szCs w:val="19"/>
          <w:lang w:eastAsia="pt-BR"/>
        </w:rPr>
        <w:t xml:space="preserve"> que </w:t>
      </w:r>
      <w:r w:rsidRPr="00F1158C">
        <w:rPr>
          <w:rFonts w:ascii="Book Antiqua" w:eastAsia="Times New Roman" w:hAnsi="Book Antiqua" w:cs="Times New Roman"/>
          <w:b/>
          <w:bCs/>
          <w:caps/>
          <w:sz w:val="19"/>
          <w:szCs w:val="19"/>
          <w:highlight w:val="green"/>
          <w:lang w:eastAsia="pt-BR"/>
        </w:rPr>
        <w:t>envolvam</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o uso comercial</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yellow"/>
          <w:lang w:eastAsia="pt-BR"/>
        </w:rPr>
        <w:t>de OGM</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yellow"/>
          <w:lang w:eastAsia="pt-BR"/>
        </w:rPr>
        <w:t>seus derivados</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p>
    <w:p w14:paraId="7C0A9887"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0" w:anchor="art8§1iv" w:history="1">
        <w:r w:rsidRPr="004B47A0">
          <w:rPr>
            <w:rFonts w:ascii="Book Antiqua" w:eastAsia="Times New Roman" w:hAnsi="Book Antiqua" w:cs="Times New Roman"/>
            <w:color w:val="0000FF"/>
            <w:sz w:val="16"/>
            <w:szCs w:val="16"/>
            <w:u w:val="single"/>
            <w:lang w:eastAsia="pt-BR"/>
          </w:rPr>
          <w:t>IV – (VETADO)</w:t>
        </w:r>
      </w:hyperlink>
    </w:p>
    <w:p w14:paraId="3D8A7CD6"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1" w:anchor="art8§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04E3F91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Sempre que o CNBS deliberar favoravelmente à realização da atividade analisada, encaminhará sua manifestação aos órgãos e entidades de registro e fiscalização referidos no art. 16 desta Lei.</w:t>
      </w:r>
    </w:p>
    <w:p w14:paraId="38D75E3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Sempre que o CNBS deliberar contrariamente à atividade analisada, encaminhará sua manifestação à CTNBio para informação ao requerente. </w:t>
      </w:r>
    </w:p>
    <w:p w14:paraId="394637AD" w14:textId="7084967D"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bCs/>
          <w:sz w:val="19"/>
          <w:szCs w:val="19"/>
          <w:highlight w:val="magenta"/>
          <w:lang w:eastAsia="pt-BR"/>
        </w:rPr>
        <w:t>Art. 9</w:t>
      </w:r>
      <w:r w:rsidRPr="00B3678D">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O CNBS é composto pelos seguintes membros</w:t>
      </w:r>
      <w:r w:rsidRPr="004B47A0">
        <w:rPr>
          <w:rFonts w:ascii="Book Antiqua" w:eastAsia="Times New Roman" w:hAnsi="Book Antiqua" w:cs="Times New Roman"/>
          <w:sz w:val="16"/>
          <w:szCs w:val="16"/>
          <w:lang w:eastAsia="pt-BR"/>
        </w:rPr>
        <w:t>:</w:t>
      </w:r>
      <w:r w:rsidR="00B3678D" w:rsidRPr="004B47A0">
        <w:rPr>
          <w:rFonts w:ascii="Book Antiqua" w:eastAsia="Times New Roman" w:hAnsi="Book Antiqua" w:cs="Times New Roman"/>
          <w:sz w:val="16"/>
          <w:szCs w:val="16"/>
          <w:lang w:eastAsia="pt-BR"/>
        </w:rPr>
        <w:t xml:space="preserve"> </w:t>
      </w:r>
      <w:bookmarkStart w:id="6" w:name="_Hlk58499555"/>
      <w:r w:rsidR="00B3678D" w:rsidRPr="004B47A0">
        <w:rPr>
          <w:rFonts w:ascii="Book Antiqua" w:eastAsia="Times New Roman" w:hAnsi="Book Antiqua" w:cs="Times New Roman"/>
          <w:b/>
          <w:bCs/>
          <w:color w:val="FF0000"/>
          <w:sz w:val="16"/>
          <w:szCs w:val="16"/>
          <w:u w:val="single"/>
          <w:lang w:eastAsia="pt-BR"/>
        </w:rPr>
        <w:t>(TRF5-2009)</w:t>
      </w:r>
      <w:bookmarkEnd w:id="6"/>
    </w:p>
    <w:p w14:paraId="55D2BD9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 – Ministro de Estado Chefe da Casa Civil da Presidência da República, que o presidirá;</w:t>
      </w:r>
    </w:p>
    <w:p w14:paraId="10BF35B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 – Ministro de Estado da Ciência e Tecnologia;</w:t>
      </w:r>
    </w:p>
    <w:p w14:paraId="127CD01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Ministro de Estado do Desenvolvimento Agrário;</w:t>
      </w:r>
    </w:p>
    <w:p w14:paraId="594748E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IV – Ministro de Estado da Agricultura, Pecuária e Abastecimento;</w:t>
      </w:r>
    </w:p>
    <w:p w14:paraId="1EC3FA1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 – Ministro de Estado da Justiça;</w:t>
      </w:r>
    </w:p>
    <w:p w14:paraId="5F5E251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VI – Ministro de Estado da Saúde;</w:t>
      </w:r>
    </w:p>
    <w:p w14:paraId="39C1A9F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Ministro de Estado do Meio Ambiente;</w:t>
      </w:r>
    </w:p>
    <w:p w14:paraId="55A13A1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Ministro de Estado do Desenvolvimento, Indústria e Comércio Exterior;</w:t>
      </w:r>
    </w:p>
    <w:p w14:paraId="253DB53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IX – Ministro de Estado das Relações Exteriores;</w:t>
      </w:r>
    </w:p>
    <w:p w14:paraId="4B5E797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 – Ministro de Estado da Defesa;</w:t>
      </w:r>
    </w:p>
    <w:p w14:paraId="0266ACB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Secretário Especial de Aqüicultura e Pesca da Presidência da República.</w:t>
      </w:r>
    </w:p>
    <w:p w14:paraId="37FBA95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CNBS reunir-se-á sempre que convocado pelo Ministro de Estado Chefe da Casa Civil da Presidência da República, ou mediante provocação da maioria de seus membros.</w:t>
      </w:r>
    </w:p>
    <w:p w14:paraId="4C9C3A6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2" w:anchor="art9§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207A9E4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Poderão ser convidados a participar das reuniões, em caráter excepcional, representantes do setor público e de entidades da sociedade civil. </w:t>
      </w:r>
    </w:p>
    <w:p w14:paraId="1B16B72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CNBS contará com uma Secretaria-Executiva, vinculada à Casa Civil da Presidência da República.</w:t>
      </w:r>
    </w:p>
    <w:p w14:paraId="517C1C5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reunião do CNBS poderá ser instalada com a presença de 6 (seis) de seus membros e as decisões serão tomadas com votos favoráveis da maioria absoluta.</w:t>
      </w:r>
    </w:p>
    <w:p w14:paraId="21582E0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III</w:t>
      </w:r>
    </w:p>
    <w:p w14:paraId="4EEA2552"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Da Comissão Técnica Nacional de Biossegurança – CTNBio</w:t>
      </w:r>
    </w:p>
    <w:p w14:paraId="07A69AC7" w14:textId="472CF0D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10.</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 xml:space="preserve">A </w:t>
      </w:r>
      <w:r w:rsidRPr="0062695C">
        <w:rPr>
          <w:rFonts w:ascii="Book Antiqua" w:eastAsia="Times New Roman" w:hAnsi="Book Antiqua" w:cs="Times New Roman"/>
          <w:b/>
          <w:sz w:val="19"/>
          <w:szCs w:val="19"/>
          <w:shd w:val="clear" w:color="auto" w:fill="F7CAAC" w:themeFill="accent2" w:themeFillTint="66"/>
          <w:lang w:eastAsia="pt-BR"/>
        </w:rPr>
        <w:t>CTNBio</w:t>
      </w:r>
      <w:r w:rsidRPr="00741250">
        <w:rPr>
          <w:rFonts w:ascii="Book Antiqua" w:eastAsia="Times New Roman" w:hAnsi="Book Antiqua" w:cs="Times New Roman"/>
          <w:b/>
          <w:sz w:val="19"/>
          <w:szCs w:val="19"/>
          <w:lang w:eastAsia="pt-BR"/>
        </w:rPr>
        <w:t xml:space="preserve">, integrante do Ministério da Ciência e Tecnologia, é </w:t>
      </w:r>
      <w:r w:rsidRPr="00741250">
        <w:rPr>
          <w:rFonts w:ascii="Book Antiqua" w:eastAsia="Times New Roman" w:hAnsi="Book Antiqua" w:cs="Times New Roman"/>
          <w:b/>
          <w:sz w:val="19"/>
          <w:szCs w:val="19"/>
          <w:highlight w:val="yellow"/>
          <w:lang w:eastAsia="pt-BR"/>
        </w:rPr>
        <w:t>instância colegiada multidisciplinar</w:t>
      </w:r>
      <w:r w:rsidRPr="00741250">
        <w:rPr>
          <w:rFonts w:ascii="Book Antiqua" w:eastAsia="Times New Roman" w:hAnsi="Book Antiqua" w:cs="Times New Roman"/>
          <w:b/>
          <w:sz w:val="19"/>
          <w:szCs w:val="19"/>
          <w:lang w:eastAsia="pt-BR"/>
        </w:rPr>
        <w:t xml:space="preserve"> de </w:t>
      </w:r>
      <w:r w:rsidRPr="00741250">
        <w:rPr>
          <w:rFonts w:ascii="Book Antiqua" w:eastAsia="Times New Roman" w:hAnsi="Book Antiqua" w:cs="Times New Roman"/>
          <w:b/>
          <w:sz w:val="19"/>
          <w:szCs w:val="19"/>
          <w:highlight w:val="yellow"/>
          <w:lang w:eastAsia="pt-BR"/>
        </w:rPr>
        <w:t>caráter consultivo e deliberativo</w:t>
      </w:r>
      <w:r w:rsidRPr="00741250">
        <w:rPr>
          <w:rFonts w:ascii="Book Antiqua" w:eastAsia="Times New Roman" w:hAnsi="Book Antiqua" w:cs="Times New Roman"/>
          <w:sz w:val="19"/>
          <w:szCs w:val="19"/>
          <w:lang w:eastAsia="pt-BR"/>
        </w:rPr>
        <w:t xml:space="preserve">, para prestar apoio técnico e de assessoramento ao Governo Federal na formulação, atualização e implementação da PNB de OGM e seus derivados, bem como </w:t>
      </w:r>
      <w:r w:rsidRPr="00741250">
        <w:rPr>
          <w:rFonts w:ascii="Book Antiqua" w:eastAsia="Times New Roman" w:hAnsi="Book Antiqua" w:cs="Times New Roman"/>
          <w:b/>
          <w:sz w:val="19"/>
          <w:szCs w:val="19"/>
          <w:lang w:eastAsia="pt-BR"/>
        </w:rPr>
        <w:t>no estabelecimento de normas técnicas de segurança e de pareceres técnicos referentes à autorização para atividades que envolvam pesquisa e uso comercial de OGM e seus derivados</w:t>
      </w:r>
      <w:r w:rsidRPr="00741250">
        <w:rPr>
          <w:rFonts w:ascii="Book Antiqua" w:eastAsia="Times New Roman" w:hAnsi="Book Antiqua" w:cs="Times New Roman"/>
          <w:sz w:val="19"/>
          <w:szCs w:val="19"/>
          <w:lang w:eastAsia="pt-BR"/>
        </w:rPr>
        <w:t>, com base na avaliação de seu risco zoofitossanitário, à saúde humana e ao meio ambiente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1226CB" w:rsidRPr="004B47A0">
        <w:rPr>
          <w:rFonts w:ascii="Book Antiqua" w:eastAsia="Times New Roman" w:hAnsi="Book Antiqua" w:cs="Times New Roman"/>
          <w:b/>
          <w:color w:val="FF0000"/>
          <w:sz w:val="16"/>
          <w:szCs w:val="16"/>
          <w:lang w:eastAsia="pt-BR"/>
        </w:rPr>
        <w:t xml:space="preserve"> </w:t>
      </w:r>
      <w:r w:rsidR="001226CB" w:rsidRPr="004B47A0">
        <w:rPr>
          <w:rFonts w:ascii="Book Antiqua" w:eastAsia="Times New Roman" w:hAnsi="Book Antiqua" w:cs="Times New Roman"/>
          <w:b/>
          <w:color w:val="FF0000"/>
          <w:sz w:val="16"/>
          <w:szCs w:val="16"/>
          <w:u w:val="single"/>
          <w:lang w:eastAsia="pt-BR"/>
        </w:rPr>
        <w:t>(TJRN-2013)</w:t>
      </w:r>
    </w:p>
    <w:p w14:paraId="1D8C6B8F" w14:textId="0052018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Parágrafo único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A CTNBio </w:t>
      </w:r>
      <w:r w:rsidRPr="00F1158C">
        <w:rPr>
          <w:rFonts w:ascii="Book Antiqua" w:eastAsia="Times New Roman" w:hAnsi="Book Antiqua" w:cs="Times New Roman"/>
          <w:b/>
          <w:bCs/>
          <w:caps/>
          <w:sz w:val="19"/>
          <w:szCs w:val="19"/>
          <w:highlight w:val="green"/>
          <w:lang w:eastAsia="pt-BR"/>
        </w:rPr>
        <w:t>deverá acompanhar</w:t>
      </w:r>
      <w:r w:rsidRPr="00F1158C">
        <w:rPr>
          <w:rFonts w:ascii="Book Antiqua" w:eastAsia="Times New Roman" w:hAnsi="Book Antiqua" w:cs="Times New Roman"/>
          <w:b/>
          <w:bCs/>
          <w:sz w:val="19"/>
          <w:szCs w:val="19"/>
          <w:lang w:eastAsia="pt-BR"/>
        </w:rPr>
        <w:t xml:space="preserve"> o desenvolvimento e o progresso técnico e científico nas áreas de biossegurança, biotecnologia, bioética e afins, com o objetivo de aumentar sua capacitação para a proteção da saúde humana, dos animais e das plantas e do meio ambiente</w:t>
      </w:r>
      <w:r w:rsidRPr="004B47A0">
        <w:rPr>
          <w:rFonts w:ascii="Book Antiqua" w:eastAsia="Times New Roman" w:hAnsi="Book Antiqua" w:cs="Times New Roman"/>
          <w:sz w:val="18"/>
          <w:szCs w:val="18"/>
          <w:lang w:eastAsia="pt-BR"/>
        </w:rPr>
        <w:t xml:space="preserve">. </w:t>
      </w:r>
      <w:r w:rsidR="00F1158C" w:rsidRPr="004B47A0">
        <w:rPr>
          <w:rFonts w:ascii="Book Antiqua" w:eastAsia="Times New Roman" w:hAnsi="Book Antiqua" w:cs="Times New Roman"/>
          <w:b/>
          <w:color w:val="FF0000"/>
          <w:sz w:val="16"/>
          <w:szCs w:val="16"/>
          <w:u w:val="single"/>
          <w:lang w:eastAsia="pt-BR"/>
        </w:rPr>
        <w:t>(TRF2-2009)</w:t>
      </w:r>
      <w:r w:rsidR="00F1158C" w:rsidRPr="004B47A0">
        <w:rPr>
          <w:rFonts w:ascii="Book Antiqua" w:eastAsia="Times New Roman" w:hAnsi="Book Antiqua" w:cs="Times New Roman"/>
          <w:sz w:val="18"/>
          <w:szCs w:val="18"/>
          <w:lang w:eastAsia="pt-BR"/>
        </w:rPr>
        <w:t xml:space="preserve"> </w:t>
      </w:r>
    </w:p>
    <w:tbl>
      <w:tblPr>
        <w:tblStyle w:val="Tabelacomgrade"/>
        <w:tblW w:w="0" w:type="auto"/>
        <w:tblLook w:val="04A0" w:firstRow="1" w:lastRow="0" w:firstColumn="1" w:lastColumn="0" w:noHBand="0" w:noVBand="1"/>
      </w:tblPr>
      <w:tblGrid>
        <w:gridCol w:w="8494"/>
      </w:tblGrid>
      <w:tr w:rsidR="004C1896" w14:paraId="1E801FD6" w14:textId="77777777" w:rsidTr="004C1896">
        <w:tc>
          <w:tcPr>
            <w:tcW w:w="8494" w:type="dxa"/>
            <w:shd w:val="clear" w:color="auto" w:fill="CCFFFF"/>
          </w:tcPr>
          <w:p w14:paraId="561FD6CB" w14:textId="523B4CB0" w:rsidR="004C1896" w:rsidRPr="004C1896" w:rsidRDefault="004C1896"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C189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sz w:val="19"/>
                <w:szCs w:val="19"/>
                <w:lang w:eastAsia="pt-BR"/>
              </w:rPr>
              <w:t>A Comissão Técnica Nacional de Biossegurança (CTNBio), integrante do Ministério da Ciência e Tecnologia,</w:t>
            </w:r>
            <w:r>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sz w:val="19"/>
                <w:szCs w:val="19"/>
                <w:lang w:eastAsia="pt-BR"/>
              </w:rPr>
              <w:t>deve acompanhar o desenvolvimento e o progresso técnico e científico nas áreas de biossegurança, biotecnologia, bioética e afins, com o objetivo de aumentar sua capacitação para a proteção da saúde humana, dos animais, das plantas e do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 único, Lei 11.105.</w:t>
            </w:r>
          </w:p>
        </w:tc>
      </w:tr>
    </w:tbl>
    <w:p w14:paraId="2F07075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Art. 11</w:t>
      </w:r>
      <w:r w:rsidRPr="00741250">
        <w:rPr>
          <w:rFonts w:ascii="Book Antiqua" w:eastAsia="Times New Roman" w:hAnsi="Book Antiqua" w:cs="Times New Roman"/>
          <w:sz w:val="19"/>
          <w:szCs w:val="19"/>
          <w:lang w:eastAsia="pt-BR"/>
        </w:rPr>
        <w:t>. A CTNBio, composta de membros titulares e suplentes, designados pelo Ministro de Estado da Ciência e Tecnologia, será constituída por 27 (vinte e sete) cidadãos brasileiros de reconhecida competência técnica, de notória atuação e saber científicos, com grau acadêmico de doutor e com destacada atividade profissional nas áreas de biossegurança, biotecnologia, biologia, saúde humana e animal ou meio ambiente, sendo:</w:t>
      </w:r>
    </w:p>
    <w:p w14:paraId="3BB09B5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 – 12 (doze) especialistas de notório saber científico e técnico, em efetivo exercício profissional, sendo:</w:t>
      </w:r>
    </w:p>
    <w:p w14:paraId="0145696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de saúde humana;</w:t>
      </w:r>
    </w:p>
    <w:p w14:paraId="5EE938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b) 3 (três) da área animal;</w:t>
      </w:r>
    </w:p>
    <w:p w14:paraId="3424E8A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c)</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vegetal;</w:t>
      </w:r>
    </w:p>
    <w:p w14:paraId="06FD7CC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d)</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de meio ambiente;</w:t>
      </w:r>
    </w:p>
    <w:p w14:paraId="45A87D5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representante de cada um dos seguintes órgãos, indicados pelos respectivos titulares:</w:t>
      </w:r>
    </w:p>
    <w:p w14:paraId="6BDC478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Ciência e Tecnologia;</w:t>
      </w:r>
    </w:p>
    <w:p w14:paraId="7CB1856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b)</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Agricultura, Pecuária e Abastecimento;</w:t>
      </w:r>
    </w:p>
    <w:p w14:paraId="4157751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c)</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Saúde;</w:t>
      </w:r>
    </w:p>
    <w:p w14:paraId="5333E7D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d)</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Meio Ambiente;</w:t>
      </w:r>
    </w:p>
    <w:p w14:paraId="09531AC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e)</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Desenvolvimento Agrário;</w:t>
      </w:r>
    </w:p>
    <w:p w14:paraId="5437D43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f)</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Desenvolvimento, Indústria e Comércio Exterior;</w:t>
      </w:r>
    </w:p>
    <w:p w14:paraId="7CD4D5C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g)</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Defesa;</w:t>
      </w:r>
    </w:p>
    <w:p w14:paraId="0C1971E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h) Secretaria Especial de Aqüicultura e Pesca da Presidência da República;</w:t>
      </w:r>
    </w:p>
    <w:p w14:paraId="4732AF1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das Relações Exteriores;</w:t>
      </w:r>
    </w:p>
    <w:p w14:paraId="7E72C8F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um especialista em defesa do consumidor, indicado pelo Ministro da Justiça;</w:t>
      </w:r>
    </w:p>
    <w:p w14:paraId="1495530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na área de saúde, indicado pelo Ministro da Saúde;</w:t>
      </w:r>
    </w:p>
    <w:p w14:paraId="3F9EE12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em meio ambiente, indicado pelo Ministro do Meio Ambiente;</w:t>
      </w:r>
    </w:p>
    <w:p w14:paraId="4D31469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em biotecnologia, indicado pelo Ministro da Agricultura, Pecuária e Abastecimento; </w:t>
      </w:r>
    </w:p>
    <w:p w14:paraId="766D5D5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um especialista em agricultura familiar, indicado pelo Ministro do Desenvolvimento Agrário;</w:t>
      </w:r>
    </w:p>
    <w:p w14:paraId="5CA236E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VIII – um especialista em saúde do trabalhador, indicado pelo Ministro do Trabalho e Emprego. </w:t>
      </w:r>
    </w:p>
    <w:p w14:paraId="56204E2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especialistas de que trata o inciso I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 serão escolhidos a partir de lista tríplice, elaborada com a participação das sociedades científicas, conforme disposto em regulamento.</w:t>
      </w:r>
    </w:p>
    <w:p w14:paraId="3062DDA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especialistas de que tratam os incisos III a VIII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 serão escolhidos a partir de lista tríplice, elaborada pelas organizações da sociedade civil, conforme disposto em regulamento.</w:t>
      </w:r>
    </w:p>
    <w:p w14:paraId="5BDEEF7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Cada membro efetivo terá um suplente, que participará dos trabalhos na ausência do titular. </w:t>
      </w:r>
    </w:p>
    <w:p w14:paraId="12959C3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membros da CTNBio terão mandato de 2 (dois) anos, renovável por até mais 2 (dois) períodos consecutivos. </w:t>
      </w:r>
    </w:p>
    <w:p w14:paraId="1096F114" w14:textId="0410C894"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 5</w:t>
      </w:r>
      <w:r w:rsidRPr="004C1896">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O presidente da CTNBio será designado, entre seus membros, pelo Ministro da Ciência e Tecnologia para um mandato de 2 (dois) anos, renovável por igual período</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09AB52D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membros da CTNBio devem pautar a sua atuação pela observância estrita dos conceitos ético-profissionais, sendo vedado participar do julgamento de questões com as quais tenham algum envolvimento de ordem profissional ou pessoal, sob pena de perda de mandato, na forma do regulamento. </w:t>
      </w:r>
    </w:p>
    <w:p w14:paraId="0C962CB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reunião da CTNBio poderá ser instalada com a presença de 14 (catorze) de seus membros, incluído pelo menos um representante de cada uma das áreas referidas no inciso I do </w:t>
      </w:r>
      <w:r w:rsidRPr="00741250">
        <w:rPr>
          <w:rFonts w:ascii="Book Antiqua" w:eastAsia="Times New Roman" w:hAnsi="Book Antiqua" w:cs="Times New Roman"/>
          <w:b/>
          <w:bCs/>
          <w:sz w:val="19"/>
          <w:szCs w:val="19"/>
          <w:lang w:eastAsia="pt-BR"/>
        </w:rPr>
        <w:t>caput</w:t>
      </w:r>
      <w:r w:rsidRPr="00741250">
        <w:rPr>
          <w:rFonts w:ascii="Book Antiqua" w:eastAsia="Times New Roman" w:hAnsi="Book Antiqua" w:cs="Times New Roman"/>
          <w:sz w:val="19"/>
          <w:szCs w:val="19"/>
          <w:lang w:eastAsia="pt-BR"/>
        </w:rPr>
        <w:t xml:space="preserve"> deste artigo. </w:t>
      </w:r>
    </w:p>
    <w:p w14:paraId="783E592B"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sz w:val="18"/>
          <w:szCs w:val="18"/>
          <w:lang w:eastAsia="pt-BR"/>
        </w:rPr>
        <w:t xml:space="preserve">        </w:t>
      </w:r>
      <w:hyperlink r:id="rId13" w:anchor="art11§8" w:history="1">
        <w:r w:rsidRPr="004B47A0">
          <w:rPr>
            <w:rFonts w:ascii="Book Antiqua" w:eastAsia="Times New Roman" w:hAnsi="Book Antiqua" w:cs="Times New Roman"/>
            <w:color w:val="0000FF"/>
            <w:sz w:val="16"/>
            <w:szCs w:val="16"/>
            <w:u w:val="single"/>
            <w:lang w:eastAsia="pt-BR"/>
          </w:rPr>
          <w:t>§ 8</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0AEFCE05"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bookmarkStart w:id="7" w:name="art11§8a"/>
      <w:bookmarkEnd w:id="7"/>
      <w:r w:rsidRPr="00741250">
        <w:rPr>
          <w:rFonts w:ascii="Book Antiqua" w:eastAsia="Times New Roman" w:hAnsi="Book Antiqua" w:cs="Times New Roman"/>
          <w:sz w:val="19"/>
          <w:szCs w:val="19"/>
          <w:lang w:eastAsia="pt-BR"/>
        </w:rPr>
        <w:t>§ 8</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w:t>
      </w:r>
      <w:proofErr w:type="gramStart"/>
      <w:r w:rsidRPr="00741250">
        <w:rPr>
          <w:rFonts w:ascii="Book Antiqua" w:eastAsia="Times New Roman" w:hAnsi="Book Antiqua" w:cs="Times New Roman"/>
          <w:sz w:val="19"/>
          <w:szCs w:val="19"/>
          <w:lang w:eastAsia="pt-BR"/>
        </w:rPr>
        <w:t>A  As</w:t>
      </w:r>
      <w:proofErr w:type="gramEnd"/>
      <w:r w:rsidRPr="00741250">
        <w:rPr>
          <w:rFonts w:ascii="Book Antiqua" w:eastAsia="Times New Roman" w:hAnsi="Book Antiqua" w:cs="Times New Roman"/>
          <w:sz w:val="19"/>
          <w:szCs w:val="19"/>
          <w:lang w:eastAsia="pt-BR"/>
        </w:rPr>
        <w:t xml:space="preserve"> decisões da CTNBio serão tomadas com votos favoráveis da maioria absoluta de seus membros</w:t>
      </w:r>
      <w:r w:rsidRPr="004B47A0">
        <w:rPr>
          <w:rFonts w:ascii="Book Antiqua" w:eastAsia="Times New Roman" w:hAnsi="Book Antiqua" w:cs="Times New Roman"/>
          <w:sz w:val="16"/>
          <w:szCs w:val="16"/>
          <w:lang w:eastAsia="pt-BR"/>
        </w:rPr>
        <w:t xml:space="preserve">. </w:t>
      </w:r>
      <w:hyperlink r:id="rId14" w:anchor="art2" w:history="1">
        <w:r w:rsidRPr="004B47A0">
          <w:rPr>
            <w:rFonts w:ascii="Book Antiqua" w:eastAsia="Times New Roman" w:hAnsi="Book Antiqua" w:cs="Times New Roman"/>
            <w:color w:val="0000FF"/>
            <w:sz w:val="16"/>
            <w:szCs w:val="16"/>
            <w:u w:val="single"/>
            <w:lang w:eastAsia="pt-BR"/>
          </w:rPr>
          <w:t>(Incluído pela Lei nº 11.460, de 2007)</w:t>
        </w:r>
      </w:hyperlink>
    </w:p>
    <w:p w14:paraId="2CBF51F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9</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Órgãos e entidades integrantes da administração pública federal poderão solicitar participação nas reuniões da CTNBio para tratar de assuntos de seu especial interesse, sem direito a voto. </w:t>
      </w:r>
    </w:p>
    <w:p w14:paraId="42B904E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 10. Poderão ser convidados a participar das reuniões, em caráter excepcional, representantes da comunidade científica e do setor público e entidades da sociedade civil, sem direito a voto. </w:t>
      </w:r>
    </w:p>
    <w:p w14:paraId="4EFE731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12. O funcionamento da CTNBio será definido pelo regulamento desta Lei.</w:t>
      </w:r>
    </w:p>
    <w:p w14:paraId="1291999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CTNBio contará com uma Secretaria-Executiva e cabe ao Ministério da Ciência e Tecnologia prestar-lhe o apoio técnico e administrativo.</w:t>
      </w:r>
    </w:p>
    <w:p w14:paraId="76BDE8BB"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sz w:val="18"/>
          <w:szCs w:val="18"/>
          <w:lang w:eastAsia="pt-BR"/>
        </w:rPr>
        <w:t xml:space="preserve">        </w:t>
      </w:r>
      <w:hyperlink r:id="rId15" w:anchor="art12§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r w:rsidRPr="004B47A0">
        <w:rPr>
          <w:rFonts w:ascii="Book Antiqua" w:eastAsia="Times New Roman" w:hAnsi="Book Antiqua" w:cs="Times New Roman"/>
          <w:sz w:val="16"/>
          <w:szCs w:val="16"/>
          <w:lang w:eastAsia="pt-BR"/>
        </w:rPr>
        <w:t>)</w:t>
      </w:r>
    </w:p>
    <w:p w14:paraId="6E96349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13. A CTNBio constituirá subcomissões setoriais permanentes na área de saúde humana, na área animal, na área vegetal e na área ambiental, e poderá constituir subcomissões extraordinárias, para análise prévia dos temas a serem submetidos ao plenário da Comissão.</w:t>
      </w:r>
    </w:p>
    <w:p w14:paraId="136C32A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Tanto os membros titulares quanto os suplentes participarão das subcomissões setoriais e caberá a todos a distribuição dos processos para análise. </w:t>
      </w:r>
    </w:p>
    <w:p w14:paraId="38DF707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funcionamento e a coordenação dos trabalhos nas subcomissões setoriais e extraordinárias serão definidos no regimento interno da CTNBio. </w:t>
      </w:r>
    </w:p>
    <w:p w14:paraId="6EE9F8C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14</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caps/>
          <w:sz w:val="19"/>
          <w:szCs w:val="19"/>
          <w:highlight w:val="green"/>
          <w:lang w:eastAsia="pt-BR"/>
        </w:rPr>
        <w:t>Compete</w:t>
      </w:r>
      <w:r w:rsidRPr="00741250">
        <w:rPr>
          <w:rFonts w:ascii="Book Antiqua" w:eastAsia="Times New Roman" w:hAnsi="Book Antiqua" w:cs="Times New Roman"/>
          <w:b/>
          <w:sz w:val="19"/>
          <w:szCs w:val="19"/>
          <w:lang w:eastAsia="pt-BR"/>
        </w:rPr>
        <w:t xml:space="preserve"> à </w:t>
      </w:r>
      <w:r w:rsidRPr="00741250">
        <w:rPr>
          <w:rFonts w:ascii="Book Antiqua" w:eastAsia="Times New Roman" w:hAnsi="Book Antiqua" w:cs="Times New Roman"/>
          <w:b/>
          <w:sz w:val="19"/>
          <w:szCs w:val="19"/>
          <w:highlight w:val="yellow"/>
          <w:lang w:eastAsia="pt-BR"/>
        </w:rPr>
        <w:t>CTNBio</w:t>
      </w:r>
      <w:r w:rsidRPr="00741250">
        <w:rPr>
          <w:rFonts w:ascii="Book Antiqua" w:eastAsia="Times New Roman" w:hAnsi="Book Antiqua" w:cs="Times New Roman"/>
          <w:sz w:val="19"/>
          <w:szCs w:val="19"/>
          <w:lang w:eastAsia="pt-BR"/>
        </w:rPr>
        <w:t xml:space="preserve">: </w:t>
      </w:r>
    </w:p>
    <w:p w14:paraId="20FA57BE" w14:textId="03359A35"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 xml:space="preserve">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normas para as pesquisas com OGM e derivados de OGM</w:t>
      </w:r>
      <w:r w:rsidRPr="004B47A0">
        <w:rPr>
          <w:rFonts w:ascii="Book Antiqua" w:eastAsia="Times New Roman" w:hAnsi="Book Antiqua" w:cs="Times New Roman"/>
          <w:b/>
          <w:sz w:val="18"/>
          <w:szCs w:val="18"/>
          <w:lang w:eastAsia="pt-BR"/>
        </w:rPr>
        <w:t>;</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3F04DF54" w14:textId="6FDF57A3"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741250">
        <w:rPr>
          <w:rFonts w:ascii="Book Antiqua" w:eastAsia="Times New Roman" w:hAnsi="Book Antiqua" w:cs="Times New Roman"/>
          <w:b/>
          <w:sz w:val="19"/>
          <w:szCs w:val="19"/>
          <w:lang w:eastAsia="pt-BR"/>
        </w:rPr>
        <w:t xml:space="preserve">        II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normas relativamente às atividades e aos projetos relacionados a OGM e seus derivados</w:t>
      </w:r>
      <w:r w:rsidRPr="004B47A0">
        <w:rPr>
          <w:rFonts w:ascii="Book Antiqua" w:eastAsia="Times New Roman" w:hAnsi="Book Antiqua" w:cs="Times New Roman"/>
          <w:b/>
          <w:sz w:val="18"/>
          <w:szCs w:val="18"/>
          <w:lang w:eastAsia="pt-BR"/>
        </w:rPr>
        <w:t>;</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38F8620C" w14:textId="7AD31C2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b/>
          <w:sz w:val="19"/>
          <w:szCs w:val="19"/>
          <w:lang w:eastAsia="pt-BR"/>
        </w:rPr>
        <w:t>        III – estabelecer, no âmbito de suas competências, critérios de avaliação e monitoramento de risco de OGM e seus derivados</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tbl>
      <w:tblPr>
        <w:tblStyle w:val="Tabelacomgrade"/>
        <w:tblW w:w="0" w:type="auto"/>
        <w:tblLook w:val="04A0" w:firstRow="1" w:lastRow="0" w:firstColumn="1" w:lastColumn="0" w:noHBand="0" w:noVBand="1"/>
      </w:tblPr>
      <w:tblGrid>
        <w:gridCol w:w="8494"/>
      </w:tblGrid>
      <w:tr w:rsidR="00167845" w:rsidRPr="00741250" w14:paraId="546CC194" w14:textId="77777777" w:rsidTr="00167845">
        <w:tc>
          <w:tcPr>
            <w:tcW w:w="8494" w:type="dxa"/>
            <w:shd w:val="clear" w:color="auto" w:fill="CCFFFF"/>
          </w:tcPr>
          <w:p w14:paraId="2BD6399B" w14:textId="77777777" w:rsidR="00167845" w:rsidRPr="00741250" w:rsidRDefault="00167845" w:rsidP="00F05410">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Encontra-se entre as competências da Comissão Técnica Nacional de Biossegurança–CTNBio, instância colegiada multidisciplinar de caráter consultivo e deliberativo que integra o Ministério da Ciência e da Tecnologia, estabelecer normas para as pesquisas, atividades e projetos relacionados com organismos geneticamente modificados e seus derivados, e estabelecer, no âmbito de suas competências, critérios de avaliação e monitoramento de risco de organismos geneticamente modificados e seus derivados. </w:t>
            </w:r>
            <w:r w:rsidRPr="00741250">
              <w:rPr>
                <w:rFonts w:ascii="Book Antiqua" w:eastAsia="Times New Roman" w:hAnsi="Book Antiqua" w:cs="Times New Roman"/>
                <w:b/>
                <w:sz w:val="19"/>
                <w:szCs w:val="19"/>
                <w:lang w:eastAsia="pt-BR"/>
              </w:rPr>
              <w:t>BL: arts. 10 e 14 da Lei.</w:t>
            </w:r>
          </w:p>
        </w:tc>
      </w:tr>
    </w:tbl>
    <w:p w14:paraId="6B4B358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proceder</w:t>
      </w:r>
      <w:proofErr w:type="gramEnd"/>
      <w:r w:rsidRPr="00741250">
        <w:rPr>
          <w:rFonts w:ascii="Book Antiqua" w:eastAsia="Times New Roman" w:hAnsi="Book Antiqua" w:cs="Times New Roman"/>
          <w:sz w:val="19"/>
          <w:szCs w:val="19"/>
          <w:lang w:eastAsia="pt-BR"/>
        </w:rPr>
        <w:t xml:space="preserve"> à análise da avaliação de risco, caso a caso, relativamente a atividades e projetos que envolvam OGM e seus derivados;</w:t>
      </w:r>
    </w:p>
    <w:p w14:paraId="3F51C2C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estabelecer</w:t>
      </w:r>
      <w:proofErr w:type="gramEnd"/>
      <w:r w:rsidRPr="00741250">
        <w:rPr>
          <w:rFonts w:ascii="Book Antiqua" w:eastAsia="Times New Roman" w:hAnsi="Book Antiqua" w:cs="Times New Roman"/>
          <w:sz w:val="19"/>
          <w:szCs w:val="19"/>
          <w:lang w:eastAsia="pt-BR"/>
        </w:rPr>
        <w:t xml:space="preserve"> os mecanismos de funcionamento das Comissões Internas de Biossegurança – CIBio, no âmbito de cada instituição que se dedique ao ensino, à pesquisa científica, ao desenvolvimento tecnológico e à produção industrial que envolvam OGM ou seus derivados; </w:t>
      </w:r>
    </w:p>
    <w:p w14:paraId="3EA934D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estabelecer</w:t>
      </w:r>
      <w:proofErr w:type="gramEnd"/>
      <w:r w:rsidRPr="00741250">
        <w:rPr>
          <w:rFonts w:ascii="Book Antiqua" w:eastAsia="Times New Roman" w:hAnsi="Book Antiqua" w:cs="Times New Roman"/>
          <w:sz w:val="19"/>
          <w:szCs w:val="19"/>
          <w:lang w:eastAsia="pt-BR"/>
        </w:rPr>
        <w:t xml:space="preserve"> requisitos relativos à biossegurança para autorização de funcionamento de laboratório, instituição ou empresa que desenvolverá atividades relacionadas a OGM e seus derivados; </w:t>
      </w:r>
    </w:p>
    <w:p w14:paraId="7C5DD87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VII – relacionar-se com instituições voltadas para a biossegurança de OGM e seus derivados, em âmbito nacional e internacional;</w:t>
      </w:r>
    </w:p>
    <w:p w14:paraId="3745AF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autorizar, cadastrar e acompanhar as atividades de pesquisa com OGM ou derivado de OGM, nos termos da legislação em vigor;</w:t>
      </w:r>
    </w:p>
    <w:p w14:paraId="076FBD6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8" w:name="art14ix"/>
      <w:bookmarkEnd w:id="8"/>
      <w:r w:rsidRPr="00741250">
        <w:rPr>
          <w:rFonts w:ascii="Book Antiqua" w:eastAsia="Times New Roman" w:hAnsi="Book Antiqua" w:cs="Times New Roman"/>
          <w:sz w:val="19"/>
          <w:szCs w:val="19"/>
          <w:lang w:eastAsia="pt-BR"/>
        </w:rPr>
        <w:t xml:space="preserve">IX – </w:t>
      </w:r>
      <w:proofErr w:type="gramStart"/>
      <w:r w:rsidRPr="00741250">
        <w:rPr>
          <w:rFonts w:ascii="Book Antiqua" w:eastAsia="Times New Roman" w:hAnsi="Book Antiqua" w:cs="Times New Roman"/>
          <w:sz w:val="19"/>
          <w:szCs w:val="19"/>
          <w:lang w:eastAsia="pt-BR"/>
        </w:rPr>
        <w:t>autorizar</w:t>
      </w:r>
      <w:proofErr w:type="gramEnd"/>
      <w:r w:rsidRPr="00741250">
        <w:rPr>
          <w:rFonts w:ascii="Book Antiqua" w:eastAsia="Times New Roman" w:hAnsi="Book Antiqua" w:cs="Times New Roman"/>
          <w:sz w:val="19"/>
          <w:szCs w:val="19"/>
          <w:lang w:eastAsia="pt-BR"/>
        </w:rPr>
        <w:t xml:space="preserve"> a importação de OGM e seus derivados para atividade de pesquisa;</w:t>
      </w:r>
    </w:p>
    <w:p w14:paraId="64C30E2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prestar</w:t>
      </w:r>
      <w:proofErr w:type="gramEnd"/>
      <w:r w:rsidRPr="00741250">
        <w:rPr>
          <w:rFonts w:ascii="Book Antiqua" w:eastAsia="Times New Roman" w:hAnsi="Book Antiqua" w:cs="Times New Roman"/>
          <w:sz w:val="19"/>
          <w:szCs w:val="19"/>
          <w:lang w:eastAsia="pt-BR"/>
        </w:rPr>
        <w:t xml:space="preserve"> apoio técnico consultivo e de assessoramento ao CNBS na formulação da PNB de OGM e seus derivados;</w:t>
      </w:r>
    </w:p>
    <w:p w14:paraId="2A0315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emitir Certificado de Qualidade em Biossegurança – CQB para o desenvolvimento de atividades com OGM e seus derivados em laboratório, instituição ou empresa e enviar cópia do processo aos órgãos de registro e fiscalização referidos no art. 16 desta Lei;</w:t>
      </w:r>
    </w:p>
    <w:p w14:paraId="5361C06A"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XII – </w:t>
      </w:r>
      <w:r w:rsidRPr="005A7856">
        <w:rPr>
          <w:rFonts w:ascii="Book Antiqua" w:eastAsia="Times New Roman" w:hAnsi="Book Antiqua" w:cs="Times New Roman"/>
          <w:b/>
          <w:bCs/>
          <w:caps/>
          <w:sz w:val="19"/>
          <w:szCs w:val="19"/>
          <w:highlight w:val="green"/>
          <w:lang w:eastAsia="pt-BR"/>
        </w:rPr>
        <w:t>emitir</w:t>
      </w:r>
      <w:r w:rsidRPr="005A7856">
        <w:rPr>
          <w:rFonts w:ascii="Book Antiqua" w:eastAsia="Times New Roman" w:hAnsi="Book Antiqua" w:cs="Times New Roman"/>
          <w:b/>
          <w:bCs/>
          <w:caps/>
          <w:sz w:val="19"/>
          <w:szCs w:val="19"/>
          <w:lang w:eastAsia="pt-BR"/>
        </w:rPr>
        <w:t xml:space="preserve"> </w:t>
      </w:r>
      <w:r w:rsidRPr="005A7856">
        <w:rPr>
          <w:rFonts w:ascii="Book Antiqua" w:eastAsia="Times New Roman" w:hAnsi="Book Antiqua" w:cs="Times New Roman"/>
          <w:b/>
          <w:bCs/>
          <w:caps/>
          <w:sz w:val="19"/>
          <w:szCs w:val="19"/>
          <w:shd w:val="clear" w:color="auto" w:fill="F7CAAC" w:themeFill="accent2" w:themeFillTint="66"/>
          <w:lang w:eastAsia="pt-BR"/>
        </w:rPr>
        <w:t>decisão técnica</w:t>
      </w:r>
      <w:r w:rsidRPr="005A7856">
        <w:rPr>
          <w:rFonts w:ascii="Book Antiqua" w:eastAsia="Times New Roman" w:hAnsi="Book Antiqua" w:cs="Times New Roman"/>
          <w:b/>
          <w:bCs/>
          <w:sz w:val="19"/>
          <w:szCs w:val="19"/>
          <w:lang w:eastAsia="pt-BR"/>
        </w:rPr>
        <w:t xml:space="preserve">, caso a caso, sobre a biossegurança de OGM e seus derivados no âmbito das atividades de pesquisa e de </w:t>
      </w:r>
      <w:r w:rsidRPr="005A7856">
        <w:rPr>
          <w:rFonts w:ascii="Book Antiqua" w:eastAsia="Times New Roman" w:hAnsi="Book Antiqua" w:cs="Times New Roman"/>
          <w:b/>
          <w:bCs/>
          <w:sz w:val="19"/>
          <w:szCs w:val="19"/>
          <w:highlight w:val="cyan"/>
          <w:lang w:eastAsia="pt-BR"/>
        </w:rPr>
        <w:t>uso comercial de OGM</w:t>
      </w:r>
      <w:r w:rsidRPr="005A7856">
        <w:rPr>
          <w:rFonts w:ascii="Book Antiqua" w:eastAsia="Times New Roman" w:hAnsi="Book Antiqua" w:cs="Times New Roman"/>
          <w:b/>
          <w:bCs/>
          <w:sz w:val="19"/>
          <w:szCs w:val="19"/>
          <w:lang w:eastAsia="pt-BR"/>
        </w:rPr>
        <w:t xml:space="preserve"> e </w:t>
      </w:r>
      <w:r w:rsidRPr="005A7856">
        <w:rPr>
          <w:rFonts w:ascii="Book Antiqua" w:eastAsia="Times New Roman" w:hAnsi="Book Antiqua" w:cs="Times New Roman"/>
          <w:b/>
          <w:bCs/>
          <w:sz w:val="19"/>
          <w:szCs w:val="19"/>
          <w:highlight w:val="cyan"/>
          <w:lang w:eastAsia="pt-BR"/>
        </w:rPr>
        <w:t>seus derivados</w:t>
      </w:r>
      <w:r w:rsidRPr="005A7856">
        <w:rPr>
          <w:rFonts w:ascii="Book Antiqua" w:eastAsia="Times New Roman" w:hAnsi="Book Antiqua" w:cs="Times New Roman"/>
          <w:b/>
          <w:bCs/>
          <w:sz w:val="19"/>
          <w:szCs w:val="19"/>
          <w:lang w:eastAsia="pt-BR"/>
        </w:rPr>
        <w:t>, inclusive a classificação quanto ao grau de risco e nível de biossegurança exigido, bem como medidas de segurança exigidas e restrições ao uso</w:t>
      </w:r>
      <w:r w:rsidRPr="004B47A0">
        <w:rPr>
          <w:rFonts w:ascii="Book Antiqua" w:eastAsia="Times New Roman" w:hAnsi="Book Antiqua" w:cs="Times New Roman"/>
          <w:sz w:val="16"/>
          <w:szCs w:val="16"/>
          <w:lang w:eastAsia="pt-BR"/>
        </w:rPr>
        <w:t>;</w:t>
      </w:r>
      <w:r w:rsidR="00A90F3A"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p w14:paraId="681F972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XIII – definir o nível de biossegurança a ser aplicado ao OGM e seus usos, e os respectivos procedimentos e medidas de segurança quanto ao seu uso, conforme as normas estabelecidas na regulamentação desta Lei, bem como quanto aos seus derivados;</w:t>
      </w:r>
    </w:p>
    <w:p w14:paraId="1EF745B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XIV – classificar os OGM segundo a classe de risco, observados os critérios estabelecidos no regulamento desta Lei;</w:t>
      </w:r>
    </w:p>
    <w:p w14:paraId="0F39F89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XV – </w:t>
      </w:r>
      <w:proofErr w:type="gramStart"/>
      <w:r w:rsidRPr="00741250">
        <w:rPr>
          <w:rFonts w:ascii="Book Antiqua" w:eastAsia="Times New Roman" w:hAnsi="Book Antiqua" w:cs="Times New Roman"/>
          <w:sz w:val="19"/>
          <w:szCs w:val="19"/>
          <w:lang w:eastAsia="pt-BR"/>
        </w:rPr>
        <w:t>acompanhar</w:t>
      </w:r>
      <w:proofErr w:type="gramEnd"/>
      <w:r w:rsidRPr="00741250">
        <w:rPr>
          <w:rFonts w:ascii="Book Antiqua" w:eastAsia="Times New Roman" w:hAnsi="Book Antiqua" w:cs="Times New Roman"/>
          <w:sz w:val="19"/>
          <w:szCs w:val="19"/>
          <w:lang w:eastAsia="pt-BR"/>
        </w:rPr>
        <w:t xml:space="preserve"> o desenvolvimento e o progresso técnico-científico na biossegurança de OGM e seus derivados;</w:t>
      </w:r>
    </w:p>
    <w:p w14:paraId="3E0359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 – emitir resoluções, de natureza normativa, sobre as matérias de sua competência;</w:t>
      </w:r>
    </w:p>
    <w:p w14:paraId="219DD07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XVII – apoiar tecnicamente os órgãos competentes no processo de prevenção e investigação de acidentes e de enfermidades, verificados no curso dos projetos e das atividades com técnicas de ADN/ARN recombinante;</w:t>
      </w:r>
    </w:p>
    <w:p w14:paraId="3E52FFE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XVIII – apoiar tecnicamente os órgãos e entidades de registro e fiscalização, referidos no art. 16 desta Lei, no exercício de suas atividades relacionadas a OGM e seus derivados;</w:t>
      </w:r>
    </w:p>
    <w:p w14:paraId="1130343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XIX – divulgar no Diário Oficial da União, previamente à análise, os extratos dos pleitos e, posteriormente, dos pareceres dos processos que lhe forem submetidos, bem como dar ampla publicidade no Sistema de Informações em Biossegurança – SIB a sua agenda, processos em trâmite, relatórios anuais, atas das reuniões e demais informações sobre suas atividades, excluídas as informações sigilosas, de interesse comercial, apontadas pelo proponente e assim consideradas pela CTNBio;</w:t>
      </w:r>
    </w:p>
    <w:p w14:paraId="0150AA2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XX – </w:t>
      </w:r>
      <w:proofErr w:type="gramStart"/>
      <w:r w:rsidRPr="00741250">
        <w:rPr>
          <w:rFonts w:ascii="Book Antiqua" w:eastAsia="Times New Roman" w:hAnsi="Book Antiqua" w:cs="Times New Roman"/>
          <w:sz w:val="19"/>
          <w:szCs w:val="19"/>
          <w:lang w:eastAsia="pt-BR"/>
        </w:rPr>
        <w:t>identificar</w:t>
      </w:r>
      <w:proofErr w:type="gramEnd"/>
      <w:r w:rsidRPr="00741250">
        <w:rPr>
          <w:rFonts w:ascii="Book Antiqua" w:eastAsia="Times New Roman" w:hAnsi="Book Antiqua" w:cs="Times New Roman"/>
          <w:sz w:val="19"/>
          <w:szCs w:val="19"/>
          <w:lang w:eastAsia="pt-BR"/>
        </w:rPr>
        <w:t xml:space="preserve"> atividades e produtos decorrentes do uso de OGM e seus derivados potencialmente causadores de degradação do meio ambiente ou que possam causar riscos à saúde humana;</w:t>
      </w:r>
    </w:p>
    <w:p w14:paraId="0E9D6C0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 – reavaliar suas decisões técnicas por solicitação de seus membros ou por recurso dos órgãos e entidades de registro e fiscalização, fundamentado em fatos ou conhecimentos científicos novos, que sejam relevantes quanto à biossegurança do OGM ou derivado, na forma desta Lei e seu regulamento;</w:t>
      </w:r>
    </w:p>
    <w:p w14:paraId="4845D65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XXII – propor a realização de pesquisas e estudos científicos no campo da biossegurança de OGM e seus derivados;</w:t>
      </w:r>
    </w:p>
    <w:p w14:paraId="3A3C4A0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XXIII – apresentar proposta de regimento interno ao Ministro da Ciência e Tecnologia.</w:t>
      </w:r>
    </w:p>
    <w:p w14:paraId="35F14AFC" w14:textId="5F3F4250"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C17A88">
        <w:rPr>
          <w:rFonts w:ascii="Book Antiqua" w:eastAsia="Times New Roman" w:hAnsi="Book Antiqua" w:cs="Times New Roman"/>
          <w:b/>
          <w:bCs/>
          <w:sz w:val="19"/>
          <w:szCs w:val="19"/>
          <w:highlight w:val="magenta"/>
          <w:lang w:eastAsia="pt-BR"/>
        </w:rPr>
        <w:t>§ 1</w:t>
      </w:r>
      <w:r w:rsidRPr="00C17A88">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Quanto aos aspectos de biossegurança do OGM e seus derivados, a </w:t>
      </w:r>
      <w:r w:rsidRPr="005A7856">
        <w:rPr>
          <w:rFonts w:ascii="Book Antiqua" w:eastAsia="Times New Roman" w:hAnsi="Book Antiqua" w:cs="Times New Roman"/>
          <w:b/>
          <w:bCs/>
          <w:sz w:val="19"/>
          <w:szCs w:val="19"/>
          <w:highlight w:val="cyan"/>
          <w:lang w:eastAsia="pt-BR"/>
        </w:rPr>
        <w:t>decisão técnica</w:t>
      </w:r>
      <w:r w:rsidRPr="005A7856">
        <w:rPr>
          <w:rFonts w:ascii="Book Antiqua" w:eastAsia="Times New Roman" w:hAnsi="Book Antiqua" w:cs="Times New Roman"/>
          <w:b/>
          <w:bCs/>
          <w:sz w:val="19"/>
          <w:szCs w:val="19"/>
          <w:lang w:eastAsia="pt-BR"/>
        </w:rPr>
        <w:t xml:space="preserve"> da CTNBio vincula os demais órgãos e entidades da administração</w:t>
      </w:r>
      <w:r w:rsidRPr="004B47A0">
        <w:rPr>
          <w:rFonts w:ascii="Book Antiqua" w:eastAsia="Times New Roman" w:hAnsi="Book Antiqua" w:cs="Times New Roman"/>
          <w:sz w:val="16"/>
          <w:szCs w:val="16"/>
          <w:lang w:eastAsia="pt-BR"/>
        </w:rPr>
        <w:t xml:space="preserve">. </w:t>
      </w:r>
      <w:bookmarkStart w:id="9" w:name="_Hlk74481168"/>
      <w:r w:rsidR="00C17A88" w:rsidRPr="004B47A0">
        <w:rPr>
          <w:rFonts w:ascii="Book Antiqua" w:eastAsia="Times New Roman" w:hAnsi="Book Antiqua" w:cs="Times New Roman"/>
          <w:b/>
          <w:bCs/>
          <w:color w:val="FF0000"/>
          <w:sz w:val="16"/>
          <w:szCs w:val="16"/>
          <w:u w:val="single"/>
          <w:lang w:eastAsia="pt-BR"/>
        </w:rPr>
        <w:t>(TRF3-2013)</w:t>
      </w:r>
      <w:bookmarkEnd w:id="9"/>
    </w:p>
    <w:p w14:paraId="04D667D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Nos casos de uso comercial, dentre outros aspectos técnicos de sua análise, os órgãos de registro e fiscalização, no exercício de suas atribuições em caso de solicitação pela CTNBio, observarão, quanto aos aspectos de biossegurança do OGM e seus derivados, a decisão técnica da CTNBio.</w:t>
      </w:r>
    </w:p>
    <w:p w14:paraId="305B333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Em caso de decisão técnica favorável sobre a biossegurança no âmbito da atividade de pesquisa, a CTNBio remeterá o processo respectivo aos órgãos e entidades referidos no art. 16 desta Lei, para o exercício de suas atribuições.</w:t>
      </w:r>
    </w:p>
    <w:p w14:paraId="35C9C6F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decisão técnica da CTNBio deverá conter resumo de sua fundamentação técnica, explicitar as medidas de segurança e restrições ao uso do OGM e seus derivados e considerar as particularidades das diferentes regiões do País, com o objetivo de orientar e subsidiar os órgãos e entidades de registro e fiscalização, referidos no art. 16 desta Lei, no exercício de suas atribuições. </w:t>
      </w:r>
    </w:p>
    <w:p w14:paraId="18E1B0D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Não se submeterá a análise e emissão de parecer técnico da CTNBio o derivado cujo OGM já tenha sido por ela aprovado.</w:t>
      </w:r>
    </w:p>
    <w:p w14:paraId="254AF9A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pessoas físicas ou jurídicas envolvidas em qualquer das fases do processo de produção agrícola, comercialização ou transporte de produto geneticamente modificado que tenham obtido a liberação para uso comercial estão dispensadas de apresentação do CQB e constituição de CIBio, salvo decisão em contrário da CTNBio. </w:t>
      </w:r>
    </w:p>
    <w:p w14:paraId="4858870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15. A CTNBio poderá realizar audiências públicas, garantida participação da sociedade civil, na forma do regulamento.</w:t>
      </w:r>
    </w:p>
    <w:p w14:paraId="0741386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Em casos de liberação comercial, audiência pública poderá ser requerida por partes interessadas, incluindo-se entre estas organizações da sociedade civil que comprovem interesse relacionado à matéria, na forma do regulamento.</w:t>
      </w:r>
    </w:p>
    <w:p w14:paraId="6C1E13AC"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IV</w:t>
      </w:r>
    </w:p>
    <w:p w14:paraId="58E58D2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Dos órgãos e entidades de registro e fiscalização</w:t>
      </w:r>
    </w:p>
    <w:p w14:paraId="796582C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Art. 16</w:t>
      </w:r>
      <w:r w:rsidRPr="00741250">
        <w:rPr>
          <w:rFonts w:ascii="Book Antiqua" w:eastAsia="Times New Roman" w:hAnsi="Book Antiqua" w:cs="Times New Roman"/>
          <w:sz w:val="19"/>
          <w:szCs w:val="19"/>
          <w:lang w:eastAsia="pt-BR"/>
        </w:rPr>
        <w:t>. Caberá aos órgãos e entidades de registro e fiscalização do Ministério da Saúde, do Ministério da Agricultura, Pecuária e Abastecimento e do Ministério do Meio Ambiente, e da Secretaria Especial de Aqüicultura e Pesca da Presidência da República entre outras atribuições, no campo de suas competências, observadas a decisão técnica da CTNBio, as deliberações do CNBS e os mecanismos estabelecidos nesta Lei e na sua regulamentação:</w:t>
      </w:r>
    </w:p>
    <w:p w14:paraId="465837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fiscalizar</w:t>
      </w:r>
      <w:proofErr w:type="gramEnd"/>
      <w:r w:rsidRPr="00741250">
        <w:rPr>
          <w:rFonts w:ascii="Book Antiqua" w:eastAsia="Times New Roman" w:hAnsi="Book Antiqua" w:cs="Times New Roman"/>
          <w:sz w:val="19"/>
          <w:szCs w:val="19"/>
          <w:lang w:eastAsia="pt-BR"/>
        </w:rPr>
        <w:t xml:space="preserve"> as atividades de pesquisa de OGM e seus derivados;</w:t>
      </w:r>
    </w:p>
    <w:p w14:paraId="415191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registrar e fiscalizar</w:t>
      </w:r>
      <w:proofErr w:type="gramEnd"/>
      <w:r w:rsidRPr="00741250">
        <w:rPr>
          <w:rFonts w:ascii="Book Antiqua" w:eastAsia="Times New Roman" w:hAnsi="Book Antiqua" w:cs="Times New Roman"/>
          <w:sz w:val="19"/>
          <w:szCs w:val="19"/>
          <w:lang w:eastAsia="pt-BR"/>
        </w:rPr>
        <w:t xml:space="preserve"> a liberação comercial de OGM e seus derivados;</w:t>
      </w:r>
    </w:p>
    <w:p w14:paraId="71581D7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0" w:name="art16iii"/>
      <w:bookmarkEnd w:id="10"/>
      <w:r w:rsidRPr="00741250">
        <w:rPr>
          <w:rFonts w:ascii="Book Antiqua" w:eastAsia="Times New Roman" w:hAnsi="Book Antiqua" w:cs="Times New Roman"/>
          <w:sz w:val="19"/>
          <w:szCs w:val="19"/>
          <w:lang w:eastAsia="pt-BR"/>
        </w:rPr>
        <w:t>III – emitir autorização para a importação de OGM e seus derivados para uso comercial;</w:t>
      </w:r>
    </w:p>
    <w:p w14:paraId="5C6E6AE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manter</w:t>
      </w:r>
      <w:proofErr w:type="gramEnd"/>
      <w:r w:rsidRPr="00741250">
        <w:rPr>
          <w:rFonts w:ascii="Book Antiqua" w:eastAsia="Times New Roman" w:hAnsi="Book Antiqua" w:cs="Times New Roman"/>
          <w:sz w:val="19"/>
          <w:szCs w:val="19"/>
          <w:lang w:eastAsia="pt-BR"/>
        </w:rPr>
        <w:t xml:space="preserve"> atualizado no SIB o cadastro das instituições e responsáveis técnicos que realizam atividades e projetos relacionados a OGM e seus derivados;</w:t>
      </w:r>
    </w:p>
    <w:p w14:paraId="13087E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tornar</w:t>
      </w:r>
      <w:proofErr w:type="gramEnd"/>
      <w:r w:rsidRPr="00741250">
        <w:rPr>
          <w:rFonts w:ascii="Book Antiqua" w:eastAsia="Times New Roman" w:hAnsi="Book Antiqua" w:cs="Times New Roman"/>
          <w:sz w:val="19"/>
          <w:szCs w:val="19"/>
          <w:lang w:eastAsia="pt-BR"/>
        </w:rPr>
        <w:t xml:space="preserve"> públicos, inclusive no SIB, os registros e autorizações concedidas;</w:t>
      </w:r>
    </w:p>
    <w:p w14:paraId="47E534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aplicar</w:t>
      </w:r>
      <w:proofErr w:type="gramEnd"/>
      <w:r w:rsidRPr="00741250">
        <w:rPr>
          <w:rFonts w:ascii="Book Antiqua" w:eastAsia="Times New Roman" w:hAnsi="Book Antiqua" w:cs="Times New Roman"/>
          <w:sz w:val="19"/>
          <w:szCs w:val="19"/>
          <w:lang w:eastAsia="pt-BR"/>
        </w:rPr>
        <w:t xml:space="preserve"> as penalidades de que trata esta Lei;</w:t>
      </w:r>
    </w:p>
    <w:p w14:paraId="3F1202A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VII – subsidiar a CTNBio na definição de quesitos de avaliação de biossegurança de OGM e seus derivados. </w:t>
      </w:r>
    </w:p>
    <w:p w14:paraId="30FD3349" w14:textId="60BDF933"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 1</w:t>
      </w:r>
      <w:r w:rsidRPr="004C1896">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Após manifestação favorável da CTNBio, ou do CNBS, em caso de avocação ou recurso, caberá, em decorrência de análise específica e decisão pertinente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7CA5573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ao</w:t>
      </w:r>
      <w:proofErr w:type="gramEnd"/>
      <w:r w:rsidRPr="00741250">
        <w:rPr>
          <w:rFonts w:ascii="Book Antiqua" w:eastAsia="Times New Roman" w:hAnsi="Book Antiqua" w:cs="Times New Roman"/>
          <w:sz w:val="19"/>
          <w:szCs w:val="19"/>
          <w:lang w:eastAsia="pt-BR"/>
        </w:rPr>
        <w:t xml:space="preserve"> Ministério da Agricultura, Pecuária e Abastecimento emitir as autorizações e registros e fiscalizar produtos e atividades que utilizem OGM e seus derivados destinados a uso animal, na </w:t>
      </w:r>
      <w:r w:rsidRPr="00741250">
        <w:rPr>
          <w:rFonts w:ascii="Book Antiqua" w:eastAsia="Times New Roman" w:hAnsi="Book Antiqua" w:cs="Times New Roman"/>
          <w:sz w:val="19"/>
          <w:szCs w:val="19"/>
          <w:lang w:eastAsia="pt-BR"/>
        </w:rPr>
        <w:lastRenderedPageBreak/>
        <w:t>agricultura, pecuária, agroindústria e áreas afins, de acordo com a legislação em vigor e segundo o regulamento desta Lei;</w:t>
      </w:r>
    </w:p>
    <w:p w14:paraId="6E0F3E0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ao</w:t>
      </w:r>
      <w:proofErr w:type="gramEnd"/>
      <w:r w:rsidRPr="00741250">
        <w:rPr>
          <w:rFonts w:ascii="Book Antiqua" w:eastAsia="Times New Roman" w:hAnsi="Book Antiqua" w:cs="Times New Roman"/>
          <w:sz w:val="19"/>
          <w:szCs w:val="19"/>
          <w:lang w:eastAsia="pt-BR"/>
        </w:rPr>
        <w:t xml:space="preserve"> órgão competente do Ministério da Saúde emitir as autorizações e registros e fiscalizar produtos e atividades com OGM e seus derivados destinados a uso humano, farmacológico, domissanitário e áreas afins, de acordo com a legislação em vigor e segundo o regulamento desta Lei;</w:t>
      </w:r>
    </w:p>
    <w:p w14:paraId="59CA9D94" w14:textId="7A6081C1"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III – ao órgão competente do Ministério do Meio Ambiente emitir as autorizações e registros e fiscalizar produtos e atividades que envolvam OGM e seus derivados a serem liberados nos ecossistemas naturais, de acordo com a legislação em vigor e segundo o regulamento desta Lei, bem como o licenciamento, nos casos em que a CTNBio deliberar, na forma desta Lei, que o OGM é potencialmente causador de significativa degradação do meio ambiente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4D0C224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à</w:t>
      </w:r>
      <w:proofErr w:type="gramEnd"/>
      <w:r w:rsidRPr="00741250">
        <w:rPr>
          <w:rFonts w:ascii="Book Antiqua" w:eastAsia="Times New Roman" w:hAnsi="Book Antiqua" w:cs="Times New Roman"/>
          <w:sz w:val="19"/>
          <w:szCs w:val="19"/>
          <w:lang w:eastAsia="pt-BR"/>
        </w:rPr>
        <w:t xml:space="preserve"> Secretaria Especial de Aqüicultura e Pesca </w:t>
      </w:r>
      <w:proofErr w:type="gramStart"/>
      <w:r w:rsidRPr="00741250">
        <w:rPr>
          <w:rFonts w:ascii="Book Antiqua" w:eastAsia="Times New Roman" w:hAnsi="Book Antiqua" w:cs="Times New Roman"/>
          <w:sz w:val="19"/>
          <w:szCs w:val="19"/>
          <w:lang w:eastAsia="pt-BR"/>
        </w:rPr>
        <w:t>da</w:t>
      </w:r>
      <w:proofErr w:type="gramEnd"/>
      <w:r w:rsidRPr="00741250">
        <w:rPr>
          <w:rFonts w:ascii="Book Antiqua" w:eastAsia="Times New Roman" w:hAnsi="Book Antiqua" w:cs="Times New Roman"/>
          <w:sz w:val="19"/>
          <w:szCs w:val="19"/>
          <w:lang w:eastAsia="pt-BR"/>
        </w:rPr>
        <w:t xml:space="preserve"> Presidência da República emitir as autorizações e registros de produtos e atividades com OGM e seus derivados destinados ao uso na pesca e aqüicultura, de acordo com a legislação em vigor e segundo esta Lei e seu regulamento. </w:t>
      </w:r>
    </w:p>
    <w:p w14:paraId="658C3D7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Somente se aplicam as disposições dos incisos I e II do art. 8</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do art. 10 da Lei n</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6.938, de 31 de agosto de 1981, nos casos em que a CTNBio deliberar que o OGM é potencialmente causador de significativa degradação do meio ambiente.</w:t>
      </w:r>
    </w:p>
    <w:p w14:paraId="501EA3C5" w14:textId="68D2A416"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 3</w:t>
      </w:r>
      <w:r w:rsidRPr="00741250">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A </w:t>
      </w:r>
      <w:r w:rsidRPr="005A7856">
        <w:rPr>
          <w:rFonts w:ascii="Book Antiqua" w:eastAsia="Times New Roman" w:hAnsi="Book Antiqua" w:cs="Times New Roman"/>
          <w:b/>
          <w:bCs/>
          <w:sz w:val="19"/>
          <w:szCs w:val="19"/>
          <w:highlight w:val="yellow"/>
          <w:lang w:eastAsia="pt-BR"/>
        </w:rPr>
        <w:t>CTNBio</w:t>
      </w:r>
      <w:r w:rsidRPr="005A7856">
        <w:rPr>
          <w:rFonts w:ascii="Book Antiqua" w:eastAsia="Times New Roman" w:hAnsi="Book Antiqua" w:cs="Times New Roman"/>
          <w:b/>
          <w:bCs/>
          <w:sz w:val="19"/>
          <w:szCs w:val="19"/>
          <w:lang w:eastAsia="pt-BR"/>
        </w:rPr>
        <w:t xml:space="preserve"> </w:t>
      </w:r>
      <w:r w:rsidRPr="005A7856">
        <w:rPr>
          <w:rFonts w:ascii="Book Antiqua" w:eastAsia="Times New Roman" w:hAnsi="Book Antiqua" w:cs="Times New Roman"/>
          <w:b/>
          <w:bCs/>
          <w:caps/>
          <w:sz w:val="19"/>
          <w:szCs w:val="19"/>
          <w:highlight w:val="green"/>
          <w:lang w:eastAsia="pt-BR"/>
        </w:rPr>
        <w:t>delibera</w:t>
      </w:r>
      <w:r w:rsidRPr="005A7856">
        <w:rPr>
          <w:rFonts w:ascii="Book Antiqua" w:eastAsia="Times New Roman" w:hAnsi="Book Antiqua" w:cs="Times New Roman"/>
          <w:b/>
          <w:bCs/>
          <w:sz w:val="19"/>
          <w:szCs w:val="19"/>
          <w:lang w:eastAsia="pt-BR"/>
        </w:rPr>
        <w:t xml:space="preserve">, em última e definitiva instância, sobre os casos em que a atividade é potencial ou efetivamente causadora de degradação ambiental, bem como sobre a </w:t>
      </w:r>
      <w:r w:rsidRPr="005A7856">
        <w:rPr>
          <w:rFonts w:ascii="Book Antiqua" w:eastAsia="Times New Roman" w:hAnsi="Book Antiqua" w:cs="Times New Roman"/>
          <w:b/>
          <w:bCs/>
          <w:sz w:val="19"/>
          <w:szCs w:val="19"/>
          <w:highlight w:val="cyan"/>
          <w:lang w:eastAsia="pt-BR"/>
        </w:rPr>
        <w:t>necessidade do licenciamento ambiental</w:t>
      </w:r>
      <w:r w:rsidRPr="004B47A0">
        <w:rPr>
          <w:rFonts w:ascii="Book Antiqua" w:eastAsia="Times New Roman" w:hAnsi="Book Antiqua" w:cs="Times New Roman"/>
          <w:sz w:val="16"/>
          <w:szCs w:val="16"/>
          <w:lang w:eastAsia="pt-BR"/>
        </w:rPr>
        <w:t>.</w:t>
      </w:r>
      <w:r w:rsidR="005A7856" w:rsidRPr="004B47A0">
        <w:rPr>
          <w:rFonts w:ascii="Book Antiqua" w:eastAsia="Times New Roman" w:hAnsi="Book Antiqua" w:cs="Times New Roman"/>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(TRF4-2010)</w:t>
      </w:r>
      <w:r w:rsidR="00A90F3A"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tbl>
      <w:tblPr>
        <w:tblStyle w:val="Tabelacomgrade"/>
        <w:tblW w:w="0" w:type="auto"/>
        <w:tblLook w:val="04A0" w:firstRow="1" w:lastRow="0" w:firstColumn="1" w:lastColumn="0" w:noHBand="0" w:noVBand="1"/>
      </w:tblPr>
      <w:tblGrid>
        <w:gridCol w:w="8494"/>
      </w:tblGrid>
      <w:tr w:rsidR="00134144" w14:paraId="3862AB29" w14:textId="77777777" w:rsidTr="00134144">
        <w:tc>
          <w:tcPr>
            <w:tcW w:w="8494" w:type="dxa"/>
            <w:shd w:val="clear" w:color="auto" w:fill="CCFFFF"/>
          </w:tcPr>
          <w:p w14:paraId="6D823CC8" w14:textId="3AA07C6A" w:rsidR="00134144" w:rsidRPr="00134144" w:rsidRDefault="00134144"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34144">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4144">
              <w:rPr>
                <w:rFonts w:ascii="Book Antiqua" w:eastAsia="Times New Roman" w:hAnsi="Book Antiqua" w:cs="Times New Roman"/>
                <w:sz w:val="19"/>
                <w:szCs w:val="19"/>
                <w:lang w:eastAsia="pt-BR"/>
              </w:rPr>
              <w:t>Em se tratando de organismos geneticamente modificados, a Comissão Técnica Nacional de Biossegurança – CTNBio delibera, em última e definitiva instância, sobre os casos em que a atividade é potencial ou efetivamente causadora de degradação ambiental, bem como sobre a necessidade do licenciamento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§3º, Lei 11.105.</w:t>
            </w:r>
          </w:p>
        </w:tc>
      </w:tr>
    </w:tbl>
    <w:p w14:paraId="427D967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emissão dos registros, das autorizações e do licenciamento ambiental referidos nesta Lei deverá ocorrer no prazo máximo de 120 (cento e vinte) dias.</w:t>
      </w:r>
    </w:p>
    <w:p w14:paraId="6702C55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contagem do prazo previsto no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deste artigo será suspensa, por até 180 (cento e oitenta) dias, durante a elaboração, pelo requerente, dos estudos ou esclarecimentos necessários.</w:t>
      </w:r>
    </w:p>
    <w:p w14:paraId="7058D66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autorizações e registros de que trata este artigo estarão vinculados à decisão técnica da CTNBio correspondente, sendo vedadas exigências técnicas que extrapolem as condições estabelecidas naquela decisão, nos aspectos relacionados à biossegurança.</w:t>
      </w:r>
    </w:p>
    <w:p w14:paraId="1B26BBD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Em caso de divergência quanto à decisão técnica da CTNBio sobre a liberação comercial de OGM e derivados, os órgãos e entidades de registro e fiscalização, no âmbito de suas competências, poderão apresentar recurso ao CNBS, no prazo de até 30 (trinta) dias, a contar da data de publicação da decisão técnica da CTNBio.</w:t>
      </w:r>
    </w:p>
    <w:p w14:paraId="3800C90C"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w:t>
      </w:r>
    </w:p>
    <w:p w14:paraId="112DB611"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Da Comissão Interna de Biossegurança – CIBio</w:t>
      </w:r>
    </w:p>
    <w:p w14:paraId="21AE6273"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Art. 17</w:t>
      </w:r>
      <w:r w:rsidRPr="00741250">
        <w:rPr>
          <w:rFonts w:ascii="Book Antiqua" w:eastAsia="Times New Roman" w:hAnsi="Book Antiqua" w:cs="Times New Roman"/>
          <w:b/>
          <w:sz w:val="19"/>
          <w:szCs w:val="19"/>
          <w:lang w:eastAsia="pt-BR"/>
        </w:rPr>
        <w:t>. Toda instituição que utilizar técnicas e métodos de engenharia genética ou realizar pesquisas com OGM e seus derivados deverá criar uma Comissão Interna de Biossegurança - CIBio, além de indicar um técnico principal responsável para cada projeto específico</w:t>
      </w:r>
      <w:r w:rsidRPr="004B47A0">
        <w:rPr>
          <w:rFonts w:ascii="Book Antiqua" w:eastAsia="Times New Roman" w:hAnsi="Book Antiqua" w:cs="Times New Roman"/>
          <w:sz w:val="16"/>
          <w:szCs w:val="16"/>
          <w:lang w:eastAsia="pt-BR"/>
        </w:rPr>
        <w:t>.</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p>
    <w:p w14:paraId="3A039910"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18</w:t>
      </w:r>
      <w:r w:rsidRPr="00741250">
        <w:rPr>
          <w:rFonts w:ascii="Book Antiqua" w:eastAsia="Times New Roman" w:hAnsi="Book Antiqua" w:cs="Times New Roman"/>
          <w:b/>
          <w:sz w:val="19"/>
          <w:szCs w:val="19"/>
          <w:lang w:eastAsia="pt-BR"/>
        </w:rPr>
        <w:t xml:space="preserve">. </w:t>
      </w:r>
      <w:r w:rsidRPr="005A7856">
        <w:rPr>
          <w:rFonts w:ascii="Book Antiqua" w:eastAsia="Times New Roman" w:hAnsi="Book Antiqua" w:cs="Times New Roman"/>
          <w:b/>
          <w:sz w:val="19"/>
          <w:szCs w:val="19"/>
          <w:lang w:eastAsia="pt-BR"/>
        </w:rPr>
        <w:t>Compete à CIBio, no âmbito da instituição onde constituída</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3713D900"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 – </w:t>
      </w:r>
      <w:proofErr w:type="gramStart"/>
      <w:r w:rsidRPr="00741250">
        <w:rPr>
          <w:rFonts w:ascii="Book Antiqua" w:eastAsia="Times New Roman" w:hAnsi="Book Antiqua" w:cs="Times New Roman"/>
          <w:b/>
          <w:sz w:val="19"/>
          <w:szCs w:val="19"/>
          <w:lang w:eastAsia="pt-BR"/>
        </w:rPr>
        <w:t>manter</w:t>
      </w:r>
      <w:proofErr w:type="gramEnd"/>
      <w:r w:rsidRPr="00741250">
        <w:rPr>
          <w:rFonts w:ascii="Book Antiqua" w:eastAsia="Times New Roman" w:hAnsi="Book Antiqua" w:cs="Times New Roman"/>
          <w:b/>
          <w:sz w:val="19"/>
          <w:szCs w:val="19"/>
          <w:lang w:eastAsia="pt-BR"/>
        </w:rPr>
        <w:t xml:space="preserve"> informados os trabalhadores e demais membros da coletividade, quando suscetíveis de serem afetados pela atividade, sobre as questões relacionadas com a saúde e a segurança, bem como sobre os procedimentos em caso de acidentes</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0F7894D8"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lastRenderedPageBreak/>
        <w:t xml:space="preserve">        II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programas preventivos e de inspeção para garantir o funcionamento das instalações sob sua responsabilidade, dentro dos padrões e normas de biossegurança, definidos pela CTNBio na regulamentação desta Lei</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1FF2CCA8"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III – encaminhar à CTNBio os documentos cuja relação será estabelecida na regulamentação desta Lei, para efeito de análise, registro ou autorização do órgão competente, quando couber</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40A2069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IV – </w:t>
      </w:r>
      <w:proofErr w:type="gramStart"/>
      <w:r w:rsidRPr="00741250">
        <w:rPr>
          <w:rFonts w:ascii="Book Antiqua" w:eastAsia="Times New Roman" w:hAnsi="Book Antiqua" w:cs="Times New Roman"/>
          <w:b/>
          <w:sz w:val="19"/>
          <w:szCs w:val="19"/>
          <w:lang w:eastAsia="pt-BR"/>
        </w:rPr>
        <w:t>manter</w:t>
      </w:r>
      <w:proofErr w:type="gramEnd"/>
      <w:r w:rsidRPr="00741250">
        <w:rPr>
          <w:rFonts w:ascii="Book Antiqua" w:eastAsia="Times New Roman" w:hAnsi="Book Antiqua" w:cs="Times New Roman"/>
          <w:b/>
          <w:sz w:val="19"/>
          <w:szCs w:val="19"/>
          <w:lang w:eastAsia="pt-BR"/>
        </w:rPr>
        <w:t xml:space="preserve"> registro do acompanhamento individual de cada atividade ou projeto em desenvolvimento que envolvam OGM ou seus derivados</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22E4E771"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V – </w:t>
      </w:r>
      <w:proofErr w:type="gramStart"/>
      <w:r w:rsidRPr="00741250">
        <w:rPr>
          <w:rFonts w:ascii="Book Antiqua" w:eastAsia="Times New Roman" w:hAnsi="Book Antiqua" w:cs="Times New Roman"/>
          <w:b/>
          <w:sz w:val="19"/>
          <w:szCs w:val="19"/>
          <w:lang w:eastAsia="pt-BR"/>
        </w:rPr>
        <w:t>notificar</w:t>
      </w:r>
      <w:proofErr w:type="gramEnd"/>
      <w:r w:rsidRPr="00741250">
        <w:rPr>
          <w:rFonts w:ascii="Book Antiqua" w:eastAsia="Times New Roman" w:hAnsi="Book Antiqua" w:cs="Times New Roman"/>
          <w:b/>
          <w:sz w:val="19"/>
          <w:szCs w:val="19"/>
          <w:lang w:eastAsia="pt-BR"/>
        </w:rPr>
        <w:t xml:space="preserve"> à CTNBio, aos órgãos e entidades de registro e fiscalização, referidos no art. 16 desta Lei, e às entidades de trabalhadores o resultado de avaliações de risco a que estão submetidas as pessoas expostas, bem como qualquer acidente ou incidente que possa provocar a disseminação de agente biológico</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428FA02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VI – </w:t>
      </w:r>
      <w:proofErr w:type="gramStart"/>
      <w:r w:rsidRPr="00741250">
        <w:rPr>
          <w:rFonts w:ascii="Book Antiqua" w:eastAsia="Times New Roman" w:hAnsi="Book Antiqua" w:cs="Times New Roman"/>
          <w:b/>
          <w:sz w:val="19"/>
          <w:szCs w:val="19"/>
          <w:lang w:eastAsia="pt-BR"/>
        </w:rPr>
        <w:t>investigar</w:t>
      </w:r>
      <w:proofErr w:type="gramEnd"/>
      <w:r w:rsidRPr="00741250">
        <w:rPr>
          <w:rFonts w:ascii="Book Antiqua" w:eastAsia="Times New Roman" w:hAnsi="Book Antiqua" w:cs="Times New Roman"/>
          <w:b/>
          <w:sz w:val="19"/>
          <w:szCs w:val="19"/>
          <w:lang w:eastAsia="pt-BR"/>
        </w:rPr>
        <w:t xml:space="preserve"> a ocorrência de acidentes e as enfermidades possivelmente relacionados a OGM e seus derivados e notificar suas conclusões e providências à CTNBio</w:t>
      </w:r>
      <w:r w:rsidRPr="004B47A0">
        <w:rPr>
          <w:rFonts w:ascii="Book Antiqua" w:eastAsia="Times New Roman" w:hAnsi="Book Antiqua" w:cs="Times New Roman"/>
          <w:sz w:val="16"/>
          <w:szCs w:val="16"/>
          <w:lang w:eastAsia="pt-BR"/>
        </w:rPr>
        <w:t>.</w:t>
      </w:r>
      <w:r w:rsidR="00DA401D" w:rsidRPr="004B47A0">
        <w:rPr>
          <w:rFonts w:ascii="Book Antiqua" w:eastAsia="Times New Roman" w:hAnsi="Book Antiqua" w:cs="Times New Roman"/>
          <w:b/>
          <w:color w:val="FF0000"/>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1B01058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w:t>
      </w:r>
    </w:p>
    <w:p w14:paraId="113D55A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 Sistema de Informações em Biossegurança – SIB</w:t>
      </w:r>
    </w:p>
    <w:p w14:paraId="790B79B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19. Fica criado, no âmbito do Ministério da Ciência e Tecnologia, o Sistema de Informações em Biossegurança – SIB, destinado à gestão das informações decorrentes das atividades de análise, autorização, registro, monitoramento e acompanhamento das atividades que envolvam OGM e seus derivados.</w:t>
      </w:r>
    </w:p>
    <w:p w14:paraId="4849A5C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disposições dos atos legais, regulamentares e administrativos que alterem, complementem ou produzam efeitos sobre a legislação de biossegurança de OGM e seus derivados deverão ser divulgadas no SIB concomitantemente com a entrada em vigor desses atos. </w:t>
      </w:r>
    </w:p>
    <w:p w14:paraId="4C6A32B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órgãos e entidades de registro e fiscalização, referidos no art. 16 desta Lei, deverão alimentar o SIB com as informações relativas às atividades de que trata esta Lei, processadas no âmbito de sua competência. </w:t>
      </w:r>
    </w:p>
    <w:p w14:paraId="212770E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VII</w:t>
      </w:r>
    </w:p>
    <w:p w14:paraId="0122A45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Da Responsabilidade Civil e Administrativa</w:t>
      </w:r>
    </w:p>
    <w:p w14:paraId="290731FD" w14:textId="1CA827FA"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t xml:space="preserve">        </w:t>
      </w:r>
      <w:r w:rsidRPr="00987258">
        <w:rPr>
          <w:rFonts w:ascii="Book Antiqua" w:eastAsia="Times New Roman" w:hAnsi="Book Antiqua" w:cs="Times New Roman"/>
          <w:b/>
          <w:bCs/>
          <w:sz w:val="19"/>
          <w:szCs w:val="19"/>
          <w:highlight w:val="magenta"/>
          <w:lang w:eastAsia="pt-BR"/>
        </w:rPr>
        <w:t>Art. 20</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Sem prejuízo da aplicação das penas previstas nesta Lei, os responsáveis pelos danos ao meio ambiente e a terceiros responderão, solidariamente, por sua indenização ou reparação integral, independentemente da existência de culpa</w:t>
      </w:r>
      <w:r w:rsidRPr="004B47A0">
        <w:rPr>
          <w:rFonts w:ascii="Book Antiqua" w:eastAsia="Times New Roman" w:hAnsi="Book Antiqua" w:cs="Times New Roman"/>
          <w:sz w:val="16"/>
          <w:szCs w:val="16"/>
          <w:lang w:eastAsia="pt-BR"/>
        </w:rPr>
        <w:t>.</w:t>
      </w:r>
      <w:r w:rsidR="00987258" w:rsidRPr="004B47A0">
        <w:rPr>
          <w:rFonts w:ascii="Book Antiqua" w:eastAsia="Times New Roman" w:hAnsi="Book Antiqua" w:cs="Times New Roman"/>
          <w:sz w:val="16"/>
          <w:szCs w:val="16"/>
          <w:lang w:eastAsia="pt-BR"/>
        </w:rPr>
        <w:t xml:space="preserve"> </w:t>
      </w:r>
      <w:bookmarkStart w:id="11" w:name="_Hlk59019884"/>
      <w:r w:rsidR="00987258" w:rsidRPr="004B47A0">
        <w:rPr>
          <w:rFonts w:ascii="Book Antiqua" w:eastAsia="Times New Roman" w:hAnsi="Book Antiqua" w:cs="Times New Roman"/>
          <w:b/>
          <w:bCs/>
          <w:color w:val="FF0000"/>
          <w:sz w:val="16"/>
          <w:szCs w:val="16"/>
          <w:u w:val="single"/>
          <w:lang w:eastAsia="pt-BR"/>
        </w:rPr>
        <w:t>(TRF5-2009)</w:t>
      </w:r>
      <w:bookmarkEnd w:id="11"/>
      <w:r w:rsidR="00595623" w:rsidRPr="004B47A0">
        <w:rPr>
          <w:rFonts w:ascii="Book Antiqua" w:eastAsia="Times New Roman" w:hAnsi="Book Antiqua" w:cs="Times New Roman"/>
          <w:b/>
          <w:bCs/>
          <w:color w:val="FF0000"/>
          <w:sz w:val="16"/>
          <w:szCs w:val="16"/>
          <w:lang w:eastAsia="pt-BR"/>
        </w:rPr>
        <w:t xml:space="preserve"> </w:t>
      </w:r>
      <w:r w:rsidR="00595623" w:rsidRPr="004B47A0">
        <w:rPr>
          <w:rFonts w:ascii="Book Antiqua" w:hAnsi="Book Antiqua"/>
          <w:b/>
          <w:bCs/>
          <w:color w:val="FF0000"/>
          <w:sz w:val="16"/>
          <w:szCs w:val="16"/>
          <w:u w:val="single"/>
        </w:rPr>
        <w:t>(TRF3-2013</w:t>
      </w:r>
      <w:r w:rsidR="000476B1">
        <w:rPr>
          <w:rFonts w:ascii="Book Antiqua" w:hAnsi="Book Antiqua"/>
          <w:b/>
          <w:bCs/>
          <w:color w:val="FF0000"/>
          <w:sz w:val="16"/>
          <w:szCs w:val="16"/>
          <w:u w:val="single"/>
        </w:rPr>
        <w:t>/2022</w:t>
      </w:r>
      <w:r w:rsidR="00595623" w:rsidRPr="004B47A0">
        <w:rPr>
          <w:rFonts w:ascii="Book Antiqua" w:hAnsi="Book Antiqua"/>
          <w:b/>
          <w:bCs/>
          <w:color w:val="FF0000"/>
          <w:sz w:val="16"/>
          <w:szCs w:val="16"/>
          <w:u w:val="single"/>
        </w:rPr>
        <w:t>)</w:t>
      </w:r>
    </w:p>
    <w:p w14:paraId="141579FA" w14:textId="44C817DD"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highlight w:val="magenta"/>
          <w:lang w:eastAsia="pt-BR"/>
        </w:rPr>
        <w:t>Art. 21</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Considera-se infração administrativa toda ação ou omissão que viole as normas previstas nesta Lei e demais disposições legais pertinentes</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p>
    <w:p w14:paraId="16F51A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As infrações administrativas serão punidas na forma estabelecida no regulamento desta Lei, independentemente das medidas cautelares de apreensão de produtos, suspensão de venda de produto e embargos de atividades, com as seguintes sanções:</w:t>
      </w:r>
    </w:p>
    <w:p w14:paraId="53FC710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advertência</w:t>
      </w:r>
      <w:proofErr w:type="gramEnd"/>
      <w:r w:rsidRPr="00741250">
        <w:rPr>
          <w:rFonts w:ascii="Book Antiqua" w:eastAsia="Times New Roman" w:hAnsi="Book Antiqua" w:cs="Times New Roman"/>
          <w:sz w:val="19"/>
          <w:szCs w:val="19"/>
          <w:lang w:eastAsia="pt-BR"/>
        </w:rPr>
        <w:t>;</w:t>
      </w:r>
    </w:p>
    <w:p w14:paraId="16884F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multa</w:t>
      </w:r>
      <w:proofErr w:type="gramEnd"/>
      <w:r w:rsidRPr="00741250">
        <w:rPr>
          <w:rFonts w:ascii="Book Antiqua" w:eastAsia="Times New Roman" w:hAnsi="Book Antiqua" w:cs="Times New Roman"/>
          <w:sz w:val="19"/>
          <w:szCs w:val="19"/>
          <w:lang w:eastAsia="pt-BR"/>
        </w:rPr>
        <w:t>;</w:t>
      </w:r>
    </w:p>
    <w:p w14:paraId="066F125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apreensão de OGM e seus derivados;</w:t>
      </w:r>
    </w:p>
    <w:p w14:paraId="6E20366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suspensão</w:t>
      </w:r>
      <w:proofErr w:type="gramEnd"/>
      <w:r w:rsidRPr="00741250">
        <w:rPr>
          <w:rFonts w:ascii="Book Antiqua" w:eastAsia="Times New Roman" w:hAnsi="Book Antiqua" w:cs="Times New Roman"/>
          <w:sz w:val="19"/>
          <w:szCs w:val="19"/>
          <w:lang w:eastAsia="pt-BR"/>
        </w:rPr>
        <w:t xml:space="preserve"> da venda de OGM e seus derivados;</w:t>
      </w:r>
    </w:p>
    <w:p w14:paraId="64D3E53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embargo</w:t>
      </w:r>
      <w:proofErr w:type="gramEnd"/>
      <w:r w:rsidRPr="00741250">
        <w:rPr>
          <w:rFonts w:ascii="Book Antiqua" w:eastAsia="Times New Roman" w:hAnsi="Book Antiqua" w:cs="Times New Roman"/>
          <w:sz w:val="19"/>
          <w:szCs w:val="19"/>
          <w:lang w:eastAsia="pt-BR"/>
        </w:rPr>
        <w:t xml:space="preserve"> da atividade;</w:t>
      </w:r>
    </w:p>
    <w:p w14:paraId="300E042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ml:space="preserve">        VI – </w:t>
      </w:r>
      <w:proofErr w:type="gramStart"/>
      <w:r w:rsidRPr="00741250">
        <w:rPr>
          <w:rFonts w:ascii="Book Antiqua" w:eastAsia="Times New Roman" w:hAnsi="Book Antiqua" w:cs="Times New Roman"/>
          <w:sz w:val="19"/>
          <w:szCs w:val="19"/>
          <w:lang w:eastAsia="pt-BR"/>
        </w:rPr>
        <w:t>interdição</w:t>
      </w:r>
      <w:proofErr w:type="gramEnd"/>
      <w:r w:rsidRPr="00741250">
        <w:rPr>
          <w:rFonts w:ascii="Book Antiqua" w:eastAsia="Times New Roman" w:hAnsi="Book Antiqua" w:cs="Times New Roman"/>
          <w:sz w:val="19"/>
          <w:szCs w:val="19"/>
          <w:lang w:eastAsia="pt-BR"/>
        </w:rPr>
        <w:t xml:space="preserve"> parcial ou total do estabelecimento, atividade ou empreendimento;</w:t>
      </w:r>
    </w:p>
    <w:p w14:paraId="24C1AEA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suspensão de registro, licença ou autorização;</w:t>
      </w:r>
    </w:p>
    <w:p w14:paraId="3555DA6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cancelamento de registro, licença ou autorização;</w:t>
      </w:r>
    </w:p>
    <w:p w14:paraId="39A8F29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IX – </w:t>
      </w:r>
      <w:proofErr w:type="gramStart"/>
      <w:r w:rsidRPr="00741250">
        <w:rPr>
          <w:rFonts w:ascii="Book Antiqua" w:eastAsia="Times New Roman" w:hAnsi="Book Antiqua" w:cs="Times New Roman"/>
          <w:sz w:val="19"/>
          <w:szCs w:val="19"/>
          <w:lang w:eastAsia="pt-BR"/>
        </w:rPr>
        <w:t>perda ou restrição</w:t>
      </w:r>
      <w:proofErr w:type="gramEnd"/>
      <w:r w:rsidRPr="00741250">
        <w:rPr>
          <w:rFonts w:ascii="Book Antiqua" w:eastAsia="Times New Roman" w:hAnsi="Book Antiqua" w:cs="Times New Roman"/>
          <w:sz w:val="19"/>
          <w:szCs w:val="19"/>
          <w:lang w:eastAsia="pt-BR"/>
        </w:rPr>
        <w:t xml:space="preserve"> de incentivo e benefício fiscal concedidos pelo governo;</w:t>
      </w:r>
    </w:p>
    <w:p w14:paraId="217076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perda ou suspensão</w:t>
      </w:r>
      <w:proofErr w:type="gramEnd"/>
      <w:r w:rsidRPr="00741250">
        <w:rPr>
          <w:rFonts w:ascii="Book Antiqua" w:eastAsia="Times New Roman" w:hAnsi="Book Antiqua" w:cs="Times New Roman"/>
          <w:sz w:val="19"/>
          <w:szCs w:val="19"/>
          <w:lang w:eastAsia="pt-BR"/>
        </w:rPr>
        <w:t xml:space="preserve"> da participação em linha de financiamento em estabelecimento oficial de crédito;</w:t>
      </w:r>
    </w:p>
    <w:p w14:paraId="7283F98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intervenção no estabelecimento;</w:t>
      </w:r>
    </w:p>
    <w:p w14:paraId="4C0846E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XII – proibição de contratar com a administração pública, por período de até 5 (cinco) anos. </w:t>
      </w:r>
    </w:p>
    <w:p w14:paraId="7494A87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22. Compete aos órgãos e entidades de registro e fiscalização, referidos no art. 16 desta Lei, definir critérios, valores e aplicar multas de R$ 2.000,00 (dois mil reais) a R$ 1.500.000,00 (um milhão e quinhentos mil reais), proporcionalmente à gravidade da infração.</w:t>
      </w:r>
    </w:p>
    <w:p w14:paraId="060FBEF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multas poderão ser aplicadas cumulativamente com as demais sanções previstas neste artigo. </w:t>
      </w:r>
    </w:p>
    <w:p w14:paraId="251CD1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 caso de reincidência, a multa será aplicada em dobro. </w:t>
      </w:r>
    </w:p>
    <w:p w14:paraId="5DA3028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 caso de infração continuada, caracterizada pela permanência da ação ou omissão inicialmente punida, será a respectiva penalidade aplicada diariamente até cessar sua causa, sem prejuízo da paralisação imediata da atividade ou da interdição do laboratório ou da instituição ou empresa responsável. </w:t>
      </w:r>
    </w:p>
    <w:p w14:paraId="51A4C4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Art. 23</w:t>
      </w:r>
      <w:r w:rsidRPr="00741250">
        <w:rPr>
          <w:rFonts w:ascii="Book Antiqua" w:eastAsia="Times New Roman" w:hAnsi="Book Antiqua" w:cs="Times New Roman"/>
          <w:sz w:val="19"/>
          <w:szCs w:val="19"/>
          <w:lang w:eastAsia="pt-BR"/>
        </w:rPr>
        <w:t>. As multas previstas nesta Lei serão aplicadas pelos órgãos e entidades de registro e fiscalização dos Ministérios da Agricultura, Pecuária e Abastecimento, da Saúde, do Meio Ambiente e da Secretaria Especial de Aqüicultura e Pesca da Presidência da República, referidos no art. 16 desta Lei, de acordo com suas respectivas competências.</w:t>
      </w:r>
    </w:p>
    <w:p w14:paraId="390958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recursos arrecadados com a aplicação de multas serão destinados aos órgãos e entidades de registro e fiscalização, referidos no art. 16 desta Lei, que aplicarem a multa.</w:t>
      </w:r>
    </w:p>
    <w:p w14:paraId="368719D9" w14:textId="54BF2950"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 xml:space="preserve">§ </w:t>
      </w:r>
      <w:r w:rsidRPr="005A7856">
        <w:rPr>
          <w:rFonts w:ascii="Book Antiqua" w:eastAsia="Times New Roman" w:hAnsi="Book Antiqua" w:cs="Times New Roman"/>
          <w:b/>
          <w:bCs/>
          <w:sz w:val="19"/>
          <w:szCs w:val="19"/>
          <w:highlight w:val="magenta"/>
          <w:lang w:eastAsia="pt-BR"/>
        </w:rPr>
        <w:t>2</w:t>
      </w:r>
      <w:r w:rsidRPr="005A7856">
        <w:rPr>
          <w:rFonts w:ascii="Book Antiqua" w:eastAsia="Times New Roman" w:hAnsi="Book Antiqua" w:cs="Times New Roman"/>
          <w:b/>
          <w:bCs/>
          <w:sz w:val="19"/>
          <w:szCs w:val="19"/>
          <w:highlight w:val="magenta"/>
          <w:u w:val="single"/>
          <w:vertAlign w:val="superscript"/>
          <w:lang w:eastAsia="pt-BR"/>
        </w:rPr>
        <w:t>o</w:t>
      </w:r>
      <w:r w:rsidRPr="005A7856">
        <w:rPr>
          <w:rFonts w:ascii="Book Antiqua" w:eastAsia="Times New Roman" w:hAnsi="Book Antiqua" w:cs="Times New Roman"/>
          <w:b/>
          <w:bCs/>
          <w:sz w:val="19"/>
          <w:szCs w:val="19"/>
          <w:lang w:eastAsia="pt-BR"/>
        </w:rPr>
        <w:t xml:space="preserve"> Os órgãos e entidades fiscalizadores da administração pública federal </w:t>
      </w:r>
      <w:r w:rsidRPr="005A7856">
        <w:rPr>
          <w:rFonts w:ascii="Book Antiqua" w:eastAsia="Times New Roman" w:hAnsi="Book Antiqua" w:cs="Times New Roman"/>
          <w:b/>
          <w:bCs/>
          <w:caps/>
          <w:sz w:val="19"/>
          <w:szCs w:val="19"/>
          <w:highlight w:val="green"/>
          <w:lang w:eastAsia="pt-BR"/>
        </w:rPr>
        <w:t>poderão celebrar</w:t>
      </w:r>
      <w:r w:rsidRPr="005A7856">
        <w:rPr>
          <w:rFonts w:ascii="Book Antiqua" w:eastAsia="Times New Roman" w:hAnsi="Book Antiqua" w:cs="Times New Roman"/>
          <w:b/>
          <w:bCs/>
          <w:sz w:val="19"/>
          <w:szCs w:val="19"/>
          <w:lang w:eastAsia="pt-BR"/>
        </w:rPr>
        <w:t xml:space="preserve"> </w:t>
      </w:r>
      <w:r w:rsidRPr="005A7856">
        <w:rPr>
          <w:rFonts w:ascii="Book Antiqua" w:eastAsia="Times New Roman" w:hAnsi="Book Antiqua" w:cs="Times New Roman"/>
          <w:b/>
          <w:bCs/>
          <w:caps/>
          <w:sz w:val="19"/>
          <w:szCs w:val="19"/>
          <w:shd w:val="clear" w:color="auto" w:fill="F7CAAC" w:themeFill="accent2" w:themeFillTint="66"/>
          <w:lang w:eastAsia="pt-BR"/>
        </w:rPr>
        <w:t>convênios</w:t>
      </w:r>
      <w:r w:rsidRPr="005A7856">
        <w:rPr>
          <w:rFonts w:ascii="Book Antiqua" w:eastAsia="Times New Roman" w:hAnsi="Book Antiqua" w:cs="Times New Roman"/>
          <w:b/>
          <w:bCs/>
          <w:sz w:val="19"/>
          <w:szCs w:val="19"/>
          <w:lang w:eastAsia="pt-BR"/>
        </w:rPr>
        <w:t xml:space="preserve"> com os Estados, Distrito Federal e Municípios, para a execução de serviços relacionados à atividade de fiscalização prevista nesta Lei e poderão repassar-lhes parcela da receita obtida com a aplicação de multas</w:t>
      </w:r>
      <w:r w:rsidRPr="004B47A0">
        <w:rPr>
          <w:rFonts w:ascii="Book Antiqua" w:eastAsia="Times New Roman" w:hAnsi="Book Antiqua" w:cs="Times New Roman"/>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p>
    <w:p w14:paraId="77F7593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autoridade fiscalizadora encaminhará cópia do auto de infração à CTNBio.</w:t>
      </w:r>
    </w:p>
    <w:p w14:paraId="6726ACC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Quando a infração constituir crime ou contravenção, ou lesão à Fazenda Pública ou ao consumidor, a autoridade fiscalizadora representará junto ao órgão competente para apuração das responsabilidades administrativa e penal. </w:t>
      </w:r>
    </w:p>
    <w:p w14:paraId="51C05797"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VIII</w:t>
      </w:r>
    </w:p>
    <w:p w14:paraId="5AED2641" w14:textId="18B38754" w:rsidR="00A301F0" w:rsidRDefault="00A301F0" w:rsidP="00A301F0">
      <w:pPr>
        <w:spacing w:before="100" w:beforeAutospacing="1" w:after="100" w:afterAutospacing="1" w:line="240" w:lineRule="auto"/>
        <w:jc w:val="center"/>
        <w:rPr>
          <w:rFonts w:ascii="Book Antiqua" w:eastAsia="Times New Roman" w:hAnsi="Book Antiqua" w:cs="Times New Roman"/>
          <w:sz w:val="19"/>
          <w:szCs w:val="19"/>
          <w:u w:val="single"/>
          <w:lang w:eastAsia="pt-BR"/>
        </w:rPr>
      </w:pPr>
      <w:r w:rsidRPr="00741250">
        <w:rPr>
          <w:rFonts w:ascii="Book Antiqua" w:eastAsia="Times New Roman" w:hAnsi="Book Antiqua" w:cs="Times New Roman"/>
          <w:sz w:val="19"/>
          <w:szCs w:val="19"/>
          <w:highlight w:val="green"/>
          <w:lang w:eastAsia="pt-BR"/>
        </w:rPr>
        <w:t>Dos Crimes e das Penas</w:t>
      </w:r>
    </w:p>
    <w:tbl>
      <w:tblPr>
        <w:tblStyle w:val="Tabelacomgrade"/>
        <w:tblW w:w="0" w:type="auto"/>
        <w:tblLook w:val="04A0" w:firstRow="1" w:lastRow="0" w:firstColumn="1" w:lastColumn="0" w:noHBand="0" w:noVBand="1"/>
      </w:tblPr>
      <w:tblGrid>
        <w:gridCol w:w="8494"/>
      </w:tblGrid>
      <w:tr w:rsidR="00641FD2" w:rsidRPr="00741250" w14:paraId="749ABDC4" w14:textId="77777777" w:rsidTr="007C70FC">
        <w:tc>
          <w:tcPr>
            <w:tcW w:w="8494" w:type="dxa"/>
            <w:shd w:val="clear" w:color="auto" w:fill="CCFFFF"/>
          </w:tcPr>
          <w:p w14:paraId="43462232" w14:textId="308B926F" w:rsidR="00641FD2" w:rsidRPr="00641FD2" w:rsidRDefault="00641FD2" w:rsidP="007C70FC">
            <w:pPr>
              <w:pStyle w:val="indent"/>
              <w:spacing w:before="0" w:beforeAutospacing="0" w:after="0" w:afterAutospacing="0"/>
              <w:jc w:val="both"/>
              <w:rPr>
                <w:rFonts w:ascii="Book Antiqua" w:hAnsi="Book Antiqua"/>
                <w:color w:val="000000"/>
                <w:sz w:val="19"/>
                <w:szCs w:val="19"/>
              </w:rPr>
            </w:pPr>
            <w:r w:rsidRPr="002E195E">
              <w:rPr>
                <w:rFonts w:ascii="Book Antiqua" w:hAnsi="Book Antiqua"/>
                <w:b/>
                <w:bCs/>
                <w:i/>
                <w:color w:val="FF0000"/>
                <w:sz w:val="19"/>
                <w:szCs w:val="19"/>
              </w:rPr>
              <w:t>#</w:t>
            </w:r>
            <w:r w:rsidRPr="002E195E">
              <w:rPr>
                <w:rFonts w:ascii="Book Antiqua" w:hAnsi="Book Antiqua"/>
                <w:b/>
                <w:bCs/>
                <w:i/>
                <w:color w:val="FF0000"/>
                <w:sz w:val="19"/>
                <w:szCs w:val="19"/>
                <w:highlight w:val="green"/>
              </w:rPr>
              <w:t>Atenção</w:t>
            </w:r>
            <w:r>
              <w:rPr>
                <w:rFonts w:ascii="Book Antiqua" w:hAnsi="Book Antiqua"/>
                <w:b/>
                <w:bCs/>
                <w:i/>
                <w:color w:val="FF0000"/>
                <w:sz w:val="19"/>
                <w:szCs w:val="19"/>
              </w:rPr>
              <w:t>: #</w:t>
            </w:r>
            <w:r w:rsidRPr="00641FD2">
              <w:rPr>
                <w:rFonts w:ascii="Book Antiqua" w:hAnsi="Book Antiqua"/>
                <w:b/>
                <w:bCs/>
                <w:i/>
                <w:color w:val="FF0000"/>
                <w:sz w:val="19"/>
                <w:szCs w:val="19"/>
                <w:highlight w:val="green"/>
              </w:rPr>
              <w:t>TRF5-2011</w:t>
            </w:r>
            <w:r>
              <w:rPr>
                <w:rFonts w:ascii="Book Antiqua" w:hAnsi="Book Antiqua"/>
                <w:b/>
                <w:bCs/>
                <w:i/>
                <w:color w:val="FF0000"/>
                <w:sz w:val="19"/>
                <w:szCs w:val="19"/>
              </w:rPr>
              <w:t>: #</w:t>
            </w:r>
            <w:r w:rsidRPr="00641FD2">
              <w:rPr>
                <w:rFonts w:ascii="Book Antiqua" w:hAnsi="Book Antiqua"/>
                <w:b/>
                <w:bCs/>
                <w:i/>
                <w:color w:val="FF0000"/>
                <w:sz w:val="19"/>
                <w:szCs w:val="19"/>
                <w:highlight w:val="green"/>
              </w:rPr>
              <w:t>CESPE</w:t>
            </w:r>
            <w:r w:rsidRPr="00741250">
              <w:rPr>
                <w:rFonts w:ascii="Book Antiqua" w:hAnsi="Book Antiqua"/>
                <w:color w:val="000000"/>
                <w:sz w:val="19"/>
                <w:szCs w:val="19"/>
              </w:rPr>
              <w:t xml:space="preserve">: </w:t>
            </w:r>
            <w:r>
              <w:rPr>
                <w:rFonts w:ascii="Book Antiqua" w:hAnsi="Book Antiqua"/>
                <w:color w:val="000000"/>
                <w:sz w:val="19"/>
                <w:szCs w:val="19"/>
              </w:rPr>
              <w:t>A</w:t>
            </w:r>
            <w:r w:rsidRPr="00641FD2">
              <w:rPr>
                <w:rFonts w:ascii="Book Antiqua" w:hAnsi="Book Antiqua"/>
                <w:color w:val="000000"/>
                <w:sz w:val="19"/>
                <w:szCs w:val="19"/>
              </w:rPr>
              <w:t xml:space="preserve"> Lei 11.105/2005</w:t>
            </w:r>
            <w:r>
              <w:rPr>
                <w:rFonts w:ascii="Book Antiqua" w:hAnsi="Book Antiqua"/>
                <w:color w:val="000000"/>
                <w:sz w:val="19"/>
                <w:szCs w:val="19"/>
              </w:rPr>
              <w:t xml:space="preserve"> traz um rol de seis tipos penais entre os artigos 24 a 29.</w:t>
            </w:r>
          </w:p>
        </w:tc>
      </w:tr>
    </w:tbl>
    <w:p w14:paraId="56E162C1" w14:textId="189AABA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highlight w:val="magenta"/>
          <w:lang w:eastAsia="pt-BR"/>
        </w:rPr>
        <w:t>Art. 24</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Utilizar embrião humano em desacordo com o que dispõe o art. 5</w:t>
      </w:r>
      <w:r w:rsidRPr="005A7856">
        <w:rPr>
          <w:rFonts w:ascii="Book Antiqua" w:eastAsia="Times New Roman" w:hAnsi="Book Antiqua" w:cs="Times New Roman"/>
          <w:b/>
          <w:bCs/>
          <w:sz w:val="19"/>
          <w:szCs w:val="19"/>
          <w:u w:val="single"/>
          <w:vertAlign w:val="superscript"/>
          <w:lang w:eastAsia="pt-BR"/>
        </w:rPr>
        <w:t>o</w:t>
      </w:r>
      <w:r w:rsidRPr="005A7856">
        <w:rPr>
          <w:rFonts w:ascii="Book Antiqua" w:eastAsia="Times New Roman" w:hAnsi="Book Antiqua" w:cs="Times New Roman"/>
          <w:b/>
          <w:bCs/>
          <w:sz w:val="19"/>
          <w:szCs w:val="19"/>
          <w:lang w:eastAsia="pt-BR"/>
        </w:rPr>
        <w:t xml:space="preserve"> desta Lei</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p>
    <w:p w14:paraId="1F96697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detenção, de 1 (um) a 3 (três) anos, e multa.</w:t>
      </w:r>
    </w:p>
    <w:p w14:paraId="6858F4E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Art. 25. Praticar engenharia genética em célula germinal humana, zigoto humano ou embrião humano:</w:t>
      </w:r>
    </w:p>
    <w:p w14:paraId="37B78F9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4 (quatro) anos, e multa.</w:t>
      </w:r>
    </w:p>
    <w:p w14:paraId="180B851F" w14:textId="395CBA6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26</w:t>
      </w:r>
      <w:r w:rsidRPr="00741250">
        <w:rPr>
          <w:rFonts w:ascii="Book Antiqua" w:eastAsia="Times New Roman" w:hAnsi="Book Antiqua" w:cs="Times New Roman"/>
          <w:b/>
          <w:sz w:val="19"/>
          <w:szCs w:val="19"/>
          <w:lang w:eastAsia="pt-BR"/>
        </w:rPr>
        <w:t>. Realizar clonagem humana</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0CFEA8C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2 (dois) a 5 (cinco) anos, e multa.</w:t>
      </w:r>
    </w:p>
    <w:tbl>
      <w:tblPr>
        <w:tblStyle w:val="Tabelacomgrade"/>
        <w:tblW w:w="0" w:type="auto"/>
        <w:shd w:val="clear" w:color="auto" w:fill="CCFFFF"/>
        <w:tblLook w:val="04A0" w:firstRow="1" w:lastRow="0" w:firstColumn="1" w:lastColumn="0" w:noHBand="0" w:noVBand="1"/>
      </w:tblPr>
      <w:tblGrid>
        <w:gridCol w:w="8494"/>
      </w:tblGrid>
      <w:tr w:rsidR="00167845" w:rsidRPr="00741250" w14:paraId="4887FAB1" w14:textId="77777777" w:rsidTr="00167845">
        <w:tc>
          <w:tcPr>
            <w:tcW w:w="8494" w:type="dxa"/>
            <w:shd w:val="clear" w:color="auto" w:fill="CCFFFF"/>
          </w:tcPr>
          <w:p w14:paraId="209D2B04" w14:textId="77777777" w:rsidR="00167845" w:rsidRPr="00741250" w:rsidRDefault="00167845" w:rsidP="00167845">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Constitui crime, punível com reclusão de dois a cinco anos e multa, realizar clonagem humana, conforme o artigo 26 da Lei 11.105/05, que dispõe sobre a Política Nacional de Biossegurança. </w:t>
            </w:r>
            <w:r w:rsidRPr="00741250">
              <w:rPr>
                <w:rFonts w:ascii="Book Antiqua" w:eastAsia="Times New Roman" w:hAnsi="Book Antiqua" w:cs="Times New Roman"/>
                <w:b/>
                <w:sz w:val="19"/>
                <w:szCs w:val="19"/>
                <w:lang w:eastAsia="pt-BR"/>
              </w:rPr>
              <w:t>BL: art. 26 da Lei.</w:t>
            </w:r>
          </w:p>
        </w:tc>
      </w:tr>
    </w:tbl>
    <w:p w14:paraId="23A921A8" w14:textId="7E8A8EF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AB3EAF">
        <w:rPr>
          <w:rFonts w:ascii="Book Antiqua" w:eastAsia="Times New Roman" w:hAnsi="Book Antiqua" w:cs="Times New Roman"/>
          <w:b/>
          <w:bCs/>
          <w:sz w:val="19"/>
          <w:szCs w:val="19"/>
          <w:highlight w:val="magenta"/>
          <w:lang w:eastAsia="pt-BR"/>
        </w:rPr>
        <w:t>Art. 27</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Liberar ou descartar OGM no meio ambiente, em desacordo com as normas estabelecidas pela CTNBio e pelos órgãos e entidades de registro e fiscalização</w:t>
      </w:r>
      <w:r w:rsidRPr="004B47A0">
        <w:rPr>
          <w:rFonts w:ascii="Book Antiqua" w:eastAsia="Times New Roman" w:hAnsi="Book Antiqua" w:cs="Times New Roman"/>
          <w:sz w:val="16"/>
          <w:szCs w:val="16"/>
          <w:lang w:eastAsia="pt-BR"/>
        </w:rPr>
        <w:t>:</w:t>
      </w:r>
      <w:r w:rsidR="00AB3EAF" w:rsidRPr="004B47A0">
        <w:rPr>
          <w:rFonts w:ascii="Book Antiqua" w:eastAsia="Times New Roman" w:hAnsi="Book Antiqua" w:cs="Times New Roman"/>
          <w:sz w:val="16"/>
          <w:szCs w:val="16"/>
          <w:lang w:eastAsia="pt-BR"/>
        </w:rPr>
        <w:t xml:space="preserve"> </w:t>
      </w:r>
      <w:r w:rsidR="00AB3EAF" w:rsidRPr="004B47A0">
        <w:rPr>
          <w:rFonts w:ascii="Book Antiqua" w:hAnsi="Book Antiqua"/>
          <w:b/>
          <w:bCs/>
          <w:color w:val="FF0000"/>
          <w:sz w:val="16"/>
          <w:szCs w:val="16"/>
          <w:u w:val="single"/>
        </w:rPr>
        <w:t>(TRF5-2011)</w:t>
      </w:r>
      <w:r w:rsidR="004C5C7A" w:rsidRPr="004B47A0">
        <w:rPr>
          <w:rFonts w:ascii="Book Antiqua" w:hAnsi="Book Antiqua"/>
          <w:b/>
          <w:bCs/>
          <w:color w:val="FF0000"/>
          <w:sz w:val="16"/>
          <w:szCs w:val="16"/>
        </w:rPr>
        <w:t xml:space="preserve"> </w:t>
      </w:r>
      <w:r w:rsidR="004C5C7A" w:rsidRPr="004B47A0">
        <w:rPr>
          <w:rFonts w:ascii="Book Antiqua" w:eastAsia="Times New Roman" w:hAnsi="Book Antiqua" w:cs="Times New Roman"/>
          <w:b/>
          <w:bCs/>
          <w:color w:val="FF0000"/>
          <w:sz w:val="16"/>
          <w:szCs w:val="16"/>
          <w:u w:val="single"/>
          <w:lang w:eastAsia="pt-BR"/>
        </w:rPr>
        <w:t>(TRF3-2013)</w:t>
      </w:r>
    </w:p>
    <w:p w14:paraId="2A7CFD34" w14:textId="1306B189" w:rsidR="00A301F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4 (quatro) anos, e multa.</w:t>
      </w:r>
    </w:p>
    <w:tbl>
      <w:tblPr>
        <w:tblStyle w:val="Tabelacomgrade"/>
        <w:tblW w:w="0" w:type="auto"/>
        <w:shd w:val="clear" w:color="auto" w:fill="CCFFFF"/>
        <w:tblLook w:val="04A0" w:firstRow="1" w:lastRow="0" w:firstColumn="1" w:lastColumn="0" w:noHBand="0" w:noVBand="1"/>
      </w:tblPr>
      <w:tblGrid>
        <w:gridCol w:w="8494"/>
      </w:tblGrid>
      <w:tr w:rsidR="004C5C7A" w:rsidRPr="00741250" w14:paraId="08F20A7B" w14:textId="77777777" w:rsidTr="00A167FC">
        <w:tc>
          <w:tcPr>
            <w:tcW w:w="8494" w:type="dxa"/>
            <w:shd w:val="clear" w:color="auto" w:fill="CCFFFF"/>
          </w:tcPr>
          <w:p w14:paraId="0A9ECB83" w14:textId="67DF157A" w:rsidR="004C5C7A" w:rsidRPr="004C5C7A" w:rsidRDefault="004C5C7A" w:rsidP="00A167FC">
            <w:pPr>
              <w:spacing w:before="100" w:beforeAutospacing="1" w:after="100" w:afterAutospacing="1"/>
              <w:jc w:val="both"/>
              <w:rPr>
                <w:rFonts w:ascii="Book Antiqua" w:eastAsia="Times New Roman" w:hAnsi="Book Antiqua" w:cs="Times New Roman"/>
                <w:bCs/>
                <w:sz w:val="19"/>
                <w:szCs w:val="19"/>
                <w:lang w:eastAsia="pt-BR"/>
              </w:rPr>
            </w:pPr>
            <w:r w:rsidRPr="004C5C7A">
              <w:rPr>
                <w:rFonts w:ascii="Book Antiqua" w:eastAsia="Times New Roman" w:hAnsi="Book Antiqua" w:cs="Times New Roman"/>
                <w:b/>
                <w:i/>
                <w:iCs/>
                <w:color w:val="FF0000"/>
                <w:sz w:val="19"/>
                <w:szCs w:val="19"/>
                <w:lang w:eastAsia="pt-BR"/>
              </w:rPr>
              <w:t>#</w:t>
            </w:r>
            <w:r w:rsidRPr="004C5C7A">
              <w:rPr>
                <w:rFonts w:ascii="Book Antiqua" w:eastAsia="Times New Roman" w:hAnsi="Book Antiqua" w:cs="Times New Roman"/>
                <w:b/>
                <w:i/>
                <w:iCs/>
                <w:color w:val="FF0000"/>
                <w:sz w:val="19"/>
                <w:szCs w:val="19"/>
                <w:highlight w:val="green"/>
                <w:lang w:eastAsia="pt-BR"/>
              </w:rPr>
              <w:t>Atenção</w:t>
            </w:r>
            <w:r w:rsidRPr="004C5C7A">
              <w:rPr>
                <w:rFonts w:ascii="Book Antiqua" w:eastAsia="Times New Roman" w:hAnsi="Book Antiqua" w:cs="Times New Roman"/>
                <w:b/>
                <w:i/>
                <w:iCs/>
                <w:color w:val="FF0000"/>
                <w:sz w:val="19"/>
                <w:szCs w:val="19"/>
                <w:lang w:eastAsia="pt-BR"/>
              </w:rPr>
              <w:t>: #</w:t>
            </w:r>
            <w:r w:rsidRPr="004C5C7A">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Cs/>
                <w:sz w:val="19"/>
                <w:szCs w:val="19"/>
                <w:lang w:eastAsia="pt-BR"/>
              </w:rPr>
              <w:t xml:space="preserve">: </w:t>
            </w:r>
            <w:r w:rsidRPr="004C5C7A">
              <w:rPr>
                <w:rFonts w:ascii="Book Antiqua" w:eastAsia="Times New Roman" w:hAnsi="Book Antiqua" w:cs="Times New Roman"/>
                <w:bCs/>
                <w:sz w:val="19"/>
                <w:szCs w:val="19"/>
                <w:lang w:eastAsia="pt-BR"/>
              </w:rPr>
              <w:t>O tipo penal</w:t>
            </w:r>
            <w:r>
              <w:rPr>
                <w:rFonts w:ascii="Book Antiqua" w:eastAsia="Times New Roman" w:hAnsi="Book Antiqua" w:cs="Times New Roman"/>
                <w:bCs/>
                <w:sz w:val="19"/>
                <w:szCs w:val="19"/>
                <w:lang w:eastAsia="pt-BR"/>
              </w:rPr>
              <w:t xml:space="preserve"> previsto no art. 27 da Lei 11.105/05</w:t>
            </w:r>
            <w:r w:rsidRPr="004C5C7A">
              <w:rPr>
                <w:rFonts w:ascii="Book Antiqua" w:eastAsia="Times New Roman" w:hAnsi="Book Antiqua" w:cs="Times New Roman"/>
                <w:bCs/>
                <w:sz w:val="19"/>
                <w:szCs w:val="19"/>
                <w:lang w:eastAsia="pt-BR"/>
              </w:rPr>
              <w:t xml:space="preserve"> é </w:t>
            </w:r>
            <w:r w:rsidRPr="004C5C7A">
              <w:rPr>
                <w:rFonts w:ascii="Book Antiqua" w:eastAsia="Times New Roman" w:hAnsi="Book Antiqua" w:cs="Times New Roman"/>
                <w:b/>
                <w:sz w:val="19"/>
                <w:szCs w:val="19"/>
                <w:shd w:val="clear" w:color="auto" w:fill="F7CAAC" w:themeFill="accent2" w:themeFillTint="66"/>
                <w:lang w:eastAsia="pt-BR"/>
              </w:rPr>
              <w:t>de perigo abstrato</w:t>
            </w:r>
            <w:r>
              <w:rPr>
                <w:rFonts w:ascii="Book Antiqua" w:eastAsia="Times New Roman" w:hAnsi="Book Antiqua" w:cs="Times New Roman"/>
                <w:bCs/>
                <w:sz w:val="19"/>
                <w:szCs w:val="19"/>
                <w:lang w:eastAsia="pt-BR"/>
              </w:rPr>
              <w:t>,</w:t>
            </w:r>
            <w:r w:rsidRPr="004C5C7A">
              <w:rPr>
                <w:rFonts w:ascii="Book Antiqua" w:eastAsia="Times New Roman" w:hAnsi="Book Antiqua" w:cs="Times New Roman"/>
                <w:bCs/>
                <w:sz w:val="19"/>
                <w:szCs w:val="19"/>
                <w:lang w:eastAsia="pt-BR"/>
              </w:rPr>
              <w:t xml:space="preserve"> de forma que a conduta, por si só, é tida como perigosa, independentemente de sua aptidão para a produção de resultados. A ocorrência de resultado, por seu turno, é hipótese de aumento de pena, consoante estabelecem os incisos do </w:t>
            </w:r>
            <w:r>
              <w:rPr>
                <w:rFonts w:ascii="Book Antiqua" w:eastAsia="Times New Roman" w:hAnsi="Book Antiqua" w:cs="Times New Roman"/>
                <w:bCs/>
                <w:sz w:val="19"/>
                <w:szCs w:val="19"/>
                <w:lang w:eastAsia="pt-BR"/>
              </w:rPr>
              <w:t xml:space="preserve">§2º </w:t>
            </w:r>
            <w:r w:rsidRPr="004C5C7A">
              <w:rPr>
                <w:rFonts w:ascii="Book Antiqua" w:eastAsia="Times New Roman" w:hAnsi="Book Antiqua" w:cs="Times New Roman"/>
                <w:bCs/>
                <w:sz w:val="19"/>
                <w:szCs w:val="19"/>
                <w:lang w:eastAsia="pt-BR"/>
              </w:rPr>
              <w:t>do art</w:t>
            </w:r>
            <w:r>
              <w:rPr>
                <w:rFonts w:ascii="Book Antiqua" w:eastAsia="Times New Roman" w:hAnsi="Book Antiqua" w:cs="Times New Roman"/>
                <w:bCs/>
                <w:sz w:val="19"/>
                <w:szCs w:val="19"/>
                <w:lang w:eastAsia="pt-BR"/>
              </w:rPr>
              <w:t>.</w:t>
            </w:r>
            <w:r w:rsidRPr="004C5C7A">
              <w:rPr>
                <w:rFonts w:ascii="Book Antiqua" w:eastAsia="Times New Roman" w:hAnsi="Book Antiqua" w:cs="Times New Roman"/>
                <w:bCs/>
                <w:sz w:val="19"/>
                <w:szCs w:val="19"/>
                <w:lang w:eastAsia="pt-BR"/>
              </w:rPr>
              <w:t xml:space="preserve"> 27 da Lei 11.105/05.</w:t>
            </w:r>
          </w:p>
        </w:tc>
      </w:tr>
    </w:tbl>
    <w:p w14:paraId="180A7F32"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6" w:anchor="art27§1" w:history="1">
        <w:r w:rsidRPr="004B47A0">
          <w:rPr>
            <w:rFonts w:ascii="Book Antiqua" w:eastAsia="Times New Roman" w:hAnsi="Book Antiqua" w:cs="Times New Roman"/>
            <w:color w:val="0000FF"/>
            <w:sz w:val="16"/>
            <w:szCs w:val="16"/>
            <w:u w:val="single"/>
            <w:lang w:eastAsia="pt-BR"/>
          </w:rPr>
          <w:t>§ 1</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65BE69B1" w14:textId="77777777" w:rsidR="00A301F0" w:rsidRPr="005A7856" w:rsidRDefault="00A301F0" w:rsidP="00F0541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41250">
        <w:rPr>
          <w:rFonts w:ascii="Book Antiqua" w:eastAsia="Times New Roman" w:hAnsi="Book Antiqua" w:cs="Times New Roman"/>
          <w:sz w:val="19"/>
          <w:szCs w:val="19"/>
          <w:lang w:eastAsia="pt-BR"/>
        </w:rPr>
        <w:t xml:space="preserve">        </w:t>
      </w:r>
      <w:r w:rsidRPr="00AB3EAF">
        <w:rPr>
          <w:rFonts w:ascii="Book Antiqua" w:eastAsia="Times New Roman" w:hAnsi="Book Antiqua" w:cs="Times New Roman"/>
          <w:b/>
          <w:bCs/>
          <w:sz w:val="19"/>
          <w:szCs w:val="19"/>
          <w:highlight w:val="magenta"/>
          <w:lang w:eastAsia="pt-BR"/>
        </w:rPr>
        <w:t>§ 2</w:t>
      </w:r>
      <w:r w:rsidRPr="00AB3EAF">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Agrava-se a pena:</w:t>
      </w:r>
    </w:p>
    <w:p w14:paraId="54E9A4E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de</w:t>
      </w:r>
      <w:proofErr w:type="gramEnd"/>
      <w:r w:rsidRPr="00741250">
        <w:rPr>
          <w:rFonts w:ascii="Book Antiqua" w:eastAsia="Times New Roman" w:hAnsi="Book Antiqua" w:cs="Times New Roman"/>
          <w:sz w:val="19"/>
          <w:szCs w:val="19"/>
          <w:lang w:eastAsia="pt-BR"/>
        </w:rPr>
        <w:t xml:space="preserve"> 1/6 (um sexto) a 1/3 (um terço), se resultar dano à propriedade alheia;</w:t>
      </w:r>
    </w:p>
    <w:p w14:paraId="226850EB" w14:textId="45B28A0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xml:space="preserve">        II – </w:t>
      </w:r>
      <w:proofErr w:type="gramStart"/>
      <w:r w:rsidRPr="005A7856">
        <w:rPr>
          <w:rFonts w:ascii="Book Antiqua" w:eastAsia="Times New Roman" w:hAnsi="Book Antiqua" w:cs="Times New Roman"/>
          <w:b/>
          <w:bCs/>
          <w:sz w:val="19"/>
          <w:szCs w:val="19"/>
          <w:lang w:eastAsia="pt-BR"/>
        </w:rPr>
        <w:t>de</w:t>
      </w:r>
      <w:proofErr w:type="gramEnd"/>
      <w:r w:rsidRPr="005A7856">
        <w:rPr>
          <w:rFonts w:ascii="Book Antiqua" w:eastAsia="Times New Roman" w:hAnsi="Book Antiqua" w:cs="Times New Roman"/>
          <w:b/>
          <w:bCs/>
          <w:sz w:val="19"/>
          <w:szCs w:val="19"/>
          <w:lang w:eastAsia="pt-BR"/>
        </w:rPr>
        <w:t xml:space="preserve"> 1/3 (um terço) até a metade, se resultar dano ao meio ambiente</w:t>
      </w:r>
      <w:r w:rsidRPr="004B47A0">
        <w:rPr>
          <w:rFonts w:ascii="Book Antiqua" w:eastAsia="Times New Roman" w:hAnsi="Book Antiqua" w:cs="Times New Roman"/>
          <w:b/>
          <w:bCs/>
          <w:sz w:val="16"/>
          <w:szCs w:val="16"/>
          <w:lang w:eastAsia="pt-BR"/>
        </w:rPr>
        <w:t>;</w:t>
      </w:r>
      <w:r w:rsidR="00AB3EAF" w:rsidRPr="004B47A0">
        <w:rPr>
          <w:rFonts w:ascii="Book Antiqua" w:eastAsia="Times New Roman" w:hAnsi="Book Antiqua" w:cs="Times New Roman"/>
          <w:sz w:val="16"/>
          <w:szCs w:val="16"/>
          <w:lang w:eastAsia="pt-BR"/>
        </w:rPr>
        <w:t xml:space="preserve"> </w:t>
      </w:r>
      <w:r w:rsidR="00AB3EAF" w:rsidRPr="004B47A0">
        <w:rPr>
          <w:rFonts w:ascii="Book Antiqua" w:hAnsi="Book Antiqua"/>
          <w:b/>
          <w:bCs/>
          <w:color w:val="FF0000"/>
          <w:sz w:val="16"/>
          <w:szCs w:val="16"/>
          <w:u w:val="single"/>
        </w:rPr>
        <w:t>(TRF5-2011)</w:t>
      </w:r>
    </w:p>
    <w:p w14:paraId="16F50BC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da metade até 2/3 (dois terços), se resultar lesão corporal de natureza grave em outrem;</w:t>
      </w:r>
    </w:p>
    <w:p w14:paraId="51D1CB4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de</w:t>
      </w:r>
      <w:proofErr w:type="gramEnd"/>
      <w:r w:rsidRPr="00741250">
        <w:rPr>
          <w:rFonts w:ascii="Book Antiqua" w:eastAsia="Times New Roman" w:hAnsi="Book Antiqua" w:cs="Times New Roman"/>
          <w:sz w:val="19"/>
          <w:szCs w:val="19"/>
          <w:lang w:eastAsia="pt-BR"/>
        </w:rPr>
        <w:t xml:space="preserve"> 2/3 (dois terços) até o dobro, se resultar a morte de outrem.</w:t>
      </w:r>
    </w:p>
    <w:p w14:paraId="7870318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28. Utilizar, comercializar, registrar, patentear e licenciar tecnologias genéticas de restrição do uso:</w:t>
      </w:r>
    </w:p>
    <w:p w14:paraId="032977A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2 (dois) a 5 (cinco) anos, e multa.</w:t>
      </w:r>
    </w:p>
    <w:p w14:paraId="68E08A6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2" w:name="art29"/>
      <w:bookmarkEnd w:id="12"/>
      <w:r w:rsidRPr="00741250">
        <w:rPr>
          <w:rFonts w:ascii="Book Antiqua" w:eastAsia="Times New Roman" w:hAnsi="Book Antiqua" w:cs="Times New Roman"/>
          <w:sz w:val="19"/>
          <w:szCs w:val="19"/>
          <w:lang w:eastAsia="pt-BR"/>
        </w:rPr>
        <w:t>Art. 29. Produzir, armazenar, transportar, comercializar, importar ou exportar OGM ou seus derivados, sem autorização ou em desacordo com as normas estabelecidas pela CTNBio e pelos órgãos e entidades de registro e fiscalização:</w:t>
      </w:r>
    </w:p>
    <w:p w14:paraId="092A5C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2 (dois) anos, e multa.</w:t>
      </w:r>
    </w:p>
    <w:p w14:paraId="392B6521"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IX</w:t>
      </w:r>
    </w:p>
    <w:p w14:paraId="50D37988"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Disposições Finais e Transitórias</w:t>
      </w:r>
    </w:p>
    <w:p w14:paraId="5BEA286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30. Os OGM que tenham obtido decisão técnica da CTNBio favorável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sua liberação comercial até a entrada em vigor desta Lei poderão ser registrados e comercializados, salvo manifestação contrária do CNBS, no prazo de 60 (sessenta) dias, a contar da data da publicação desta Lei.</w:t>
      </w:r>
    </w:p>
    <w:p w14:paraId="411BE0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31. A CTNBio e os órgãos e entidades de registro e fiscalização, referidos no art. 16 desta Lei, deverão rever suas deliberações de caráter normativo, no prazo de 120 (cento e vinte) dias, a fim de promover sua adequação às disposições desta Lei.</w:t>
      </w:r>
    </w:p>
    <w:p w14:paraId="657282D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ml:space="preserve">        Art. 32. Permanecem em vigor os Certificados de Qualidade em Biossegurança, comunicados e decisões técnicas já emitidos pela CTNBio, bem como, no que não contrariarem o disposto nesta Lei, os atos normativos emitidos ao amparo da </w:t>
      </w:r>
      <w:hyperlink r:id="rId17"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8.974, de 5 de janeiro de 1995.</w:t>
        </w:r>
      </w:hyperlink>
    </w:p>
    <w:p w14:paraId="75117F8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33. As instituições que desenvolverem atividades reguladas por esta Lei na data de sua publicação deverão adequar-se as suas disposições no prazo de 120 (cento e vinte) dias, contado da publicação do decreto que a regulamentar.</w:t>
      </w:r>
    </w:p>
    <w:p w14:paraId="3B56B56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34. Ficam convalidados e tornam-se permanentes os registros provisórios concedidos sob a égide da </w:t>
      </w:r>
      <w:hyperlink r:id="rId18"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10.814, de 15 de dezembro de 2003.</w:t>
        </w:r>
      </w:hyperlink>
    </w:p>
    <w:p w14:paraId="0879724E" w14:textId="6F27CC13"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Art. 35</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Ficam autorizadas a produção e a comercialização de sementes de cultivares de soja geneticamente modificadas tolerantes a </w:t>
      </w:r>
      <w:proofErr w:type="gramStart"/>
      <w:r w:rsidRPr="005A7856">
        <w:rPr>
          <w:rFonts w:ascii="Book Antiqua" w:eastAsia="Times New Roman" w:hAnsi="Book Antiqua" w:cs="Times New Roman"/>
          <w:b/>
          <w:bCs/>
          <w:sz w:val="19"/>
          <w:szCs w:val="19"/>
          <w:lang w:eastAsia="pt-BR"/>
        </w:rPr>
        <w:t>glifosato registradas</w:t>
      </w:r>
      <w:proofErr w:type="gramEnd"/>
      <w:r w:rsidRPr="005A7856">
        <w:rPr>
          <w:rFonts w:ascii="Book Antiqua" w:eastAsia="Times New Roman" w:hAnsi="Book Antiqua" w:cs="Times New Roman"/>
          <w:b/>
          <w:bCs/>
          <w:sz w:val="19"/>
          <w:szCs w:val="19"/>
          <w:lang w:eastAsia="pt-BR"/>
        </w:rPr>
        <w:t xml:space="preserve"> no Registro Nacional de Cultivares - RNC do Ministério da Agricultura, Pecuária e Abastecimento</w:t>
      </w:r>
      <w:r w:rsidRPr="004B47A0">
        <w:rPr>
          <w:rFonts w:ascii="Book Antiqua" w:eastAsia="Times New Roman" w:hAnsi="Book Antiqua" w:cs="Times New Roman"/>
          <w:b/>
          <w:bCs/>
          <w:sz w:val="16"/>
          <w:szCs w:val="16"/>
          <w:lang w:eastAsia="pt-BR"/>
        </w:rPr>
        <w:t>.</w:t>
      </w:r>
      <w:r w:rsidR="00651C66" w:rsidRPr="004B47A0">
        <w:rPr>
          <w:rFonts w:ascii="Book Antiqua" w:eastAsia="Times New Roman" w:hAnsi="Book Antiqua" w:cs="Times New Roman"/>
          <w:b/>
          <w:bCs/>
          <w:sz w:val="16"/>
          <w:szCs w:val="16"/>
          <w:lang w:eastAsia="pt-BR"/>
        </w:rPr>
        <w:t xml:space="preserve"> </w:t>
      </w:r>
      <w:r w:rsidR="00651C66" w:rsidRPr="004B47A0">
        <w:rPr>
          <w:rFonts w:ascii="Book Antiqua" w:hAnsi="Book Antiqua"/>
          <w:b/>
          <w:bCs/>
          <w:color w:val="FF0000"/>
          <w:sz w:val="16"/>
          <w:szCs w:val="16"/>
          <w:u w:val="single"/>
        </w:rPr>
        <w:t>(TJMA-2013)</w:t>
      </w:r>
    </w:p>
    <w:p w14:paraId="3622DDEC" w14:textId="021E48F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xml:space="preserve">        </w:t>
      </w:r>
      <w:bookmarkStart w:id="13" w:name="art36"/>
      <w:bookmarkEnd w:id="13"/>
      <w:r w:rsidRPr="005A7856">
        <w:rPr>
          <w:rFonts w:ascii="Book Antiqua" w:eastAsia="Times New Roman" w:hAnsi="Book Antiqua" w:cs="Times New Roman"/>
          <w:b/>
          <w:bCs/>
          <w:sz w:val="19"/>
          <w:szCs w:val="19"/>
          <w:highlight w:val="magenta"/>
          <w:lang w:eastAsia="pt-BR"/>
        </w:rPr>
        <w:t>Art. 36</w:t>
      </w:r>
      <w:r w:rsidRPr="005A7856">
        <w:rPr>
          <w:rFonts w:ascii="Book Antiqua" w:eastAsia="Times New Roman" w:hAnsi="Book Antiqua" w:cs="Times New Roman"/>
          <w:b/>
          <w:bCs/>
          <w:sz w:val="19"/>
          <w:szCs w:val="19"/>
          <w:lang w:eastAsia="pt-BR"/>
        </w:rPr>
        <w:t>. Fica autorizado o plantio de grãos de soja geneticamente modificada tolerante a glifosato, reservados pelos produtores rurais para uso próprio, na safra 2004/2005, sendo vedada a comercialização da produção como semente</w:t>
      </w:r>
      <w:r w:rsidRPr="004B47A0">
        <w:rPr>
          <w:rFonts w:ascii="Book Antiqua" w:eastAsia="Times New Roman" w:hAnsi="Book Antiqua" w:cs="Times New Roman"/>
          <w:sz w:val="16"/>
          <w:szCs w:val="16"/>
          <w:lang w:eastAsia="pt-BR"/>
        </w:rPr>
        <w:t xml:space="preserve">. </w:t>
      </w:r>
      <w:hyperlink r:id="rId19" w:anchor="art1" w:history="1">
        <w:r w:rsidRPr="004B47A0">
          <w:rPr>
            <w:rFonts w:ascii="Book Antiqua" w:eastAsia="Times New Roman" w:hAnsi="Book Antiqua" w:cs="Times New Roman"/>
            <w:color w:val="0000FF"/>
            <w:sz w:val="16"/>
            <w:szCs w:val="16"/>
            <w:u w:val="single"/>
            <w:lang w:eastAsia="pt-BR"/>
          </w:rPr>
          <w:t>(Vide Decreto nº 5.534, de 2005)</w:t>
        </w:r>
      </w:hyperlink>
      <w:r w:rsidR="00651C66" w:rsidRPr="004B47A0">
        <w:rPr>
          <w:rFonts w:ascii="Book Antiqua" w:eastAsia="Times New Roman" w:hAnsi="Book Antiqua" w:cs="Times New Roman"/>
          <w:color w:val="0000FF"/>
          <w:sz w:val="16"/>
          <w:szCs w:val="16"/>
          <w:lang w:eastAsia="pt-BR"/>
        </w:rPr>
        <w:t xml:space="preserve"> </w:t>
      </w:r>
      <w:r w:rsidR="00651C66" w:rsidRPr="004B47A0">
        <w:rPr>
          <w:rFonts w:ascii="Book Antiqua" w:hAnsi="Book Antiqua"/>
          <w:b/>
          <w:color w:val="FF0000"/>
          <w:sz w:val="16"/>
          <w:szCs w:val="16"/>
          <w:u w:val="single"/>
        </w:rPr>
        <w:t>(TJMA-2013)</w:t>
      </w:r>
    </w:p>
    <w:p w14:paraId="72A87A6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Parágrafo único. O Poder Executivo poderá prorrogar a autorização de que trata 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w:t>
      </w:r>
    </w:p>
    <w:p w14:paraId="446DA3A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4" w:name="art37"/>
      <w:bookmarkEnd w:id="14"/>
      <w:r w:rsidRPr="00741250">
        <w:rPr>
          <w:rFonts w:ascii="Book Antiqua" w:eastAsia="Times New Roman" w:hAnsi="Book Antiqua" w:cs="Times New Roman"/>
          <w:sz w:val="19"/>
          <w:szCs w:val="19"/>
          <w:lang w:eastAsia="pt-BR"/>
        </w:rPr>
        <w:t xml:space="preserve">Art. 37. A descrição do Código 20 do </w:t>
      </w:r>
      <w:hyperlink r:id="rId20" w:anchor="anexoviii." w:history="1">
        <w:r w:rsidRPr="00741250">
          <w:rPr>
            <w:rFonts w:ascii="Book Antiqua" w:eastAsia="Times New Roman" w:hAnsi="Book Antiqua" w:cs="Times New Roman"/>
            <w:color w:val="0000FF"/>
            <w:sz w:val="19"/>
            <w:szCs w:val="19"/>
            <w:u w:val="single"/>
            <w:lang w:eastAsia="pt-BR"/>
          </w:rPr>
          <w:t>Anexo VIII da 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6.938, de 31 de agosto de 1981</w:t>
        </w:r>
      </w:hyperlink>
      <w:r w:rsidRPr="00741250">
        <w:rPr>
          <w:rFonts w:ascii="Book Antiqua" w:eastAsia="Times New Roman" w:hAnsi="Book Antiqua" w:cs="Times New Roman"/>
          <w:sz w:val="19"/>
          <w:szCs w:val="19"/>
          <w:lang w:eastAsia="pt-BR"/>
        </w:rPr>
        <w:t>, acrescido pela Lei n</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10.165, de 27 de dezembro de 2000, passa a vigorar com a seguinte redação:</w:t>
      </w:r>
    </w:p>
    <w:p w14:paraId="3D2D1C42" w14:textId="77777777" w:rsidR="00A301F0" w:rsidRPr="00741250" w:rsidRDefault="00A301F0" w:rsidP="00A301F0">
      <w:pPr>
        <w:spacing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"ANEXO VIII</w:t>
      </w:r>
    </w:p>
    <w:tbl>
      <w:tblPr>
        <w:tblW w:w="759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38"/>
        <w:gridCol w:w="901"/>
        <w:gridCol w:w="5200"/>
        <w:gridCol w:w="751"/>
      </w:tblGrid>
      <w:tr w:rsidR="00A301F0" w:rsidRPr="00A90F3A" w14:paraId="0AEAB2C6" w14:textId="77777777" w:rsidTr="00A301F0">
        <w:trPr>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06A1E5D9"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Código</w:t>
            </w:r>
          </w:p>
        </w:tc>
        <w:tc>
          <w:tcPr>
            <w:tcW w:w="960" w:type="dxa"/>
            <w:tcBorders>
              <w:top w:val="outset" w:sz="6" w:space="0" w:color="auto"/>
              <w:left w:val="outset" w:sz="6" w:space="0" w:color="auto"/>
              <w:bottom w:val="outset" w:sz="6" w:space="0" w:color="auto"/>
              <w:right w:val="outset" w:sz="6" w:space="0" w:color="auto"/>
            </w:tcBorders>
            <w:hideMark/>
          </w:tcPr>
          <w:p w14:paraId="0BFB6F75"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Categoria</w:t>
            </w:r>
          </w:p>
        </w:tc>
        <w:tc>
          <w:tcPr>
            <w:tcW w:w="6720" w:type="dxa"/>
            <w:tcBorders>
              <w:top w:val="outset" w:sz="6" w:space="0" w:color="auto"/>
              <w:left w:val="outset" w:sz="6" w:space="0" w:color="auto"/>
              <w:bottom w:val="outset" w:sz="6" w:space="0" w:color="auto"/>
              <w:right w:val="outset" w:sz="6" w:space="0" w:color="auto"/>
            </w:tcBorders>
            <w:hideMark/>
          </w:tcPr>
          <w:p w14:paraId="47EF82C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Descrição</w:t>
            </w:r>
          </w:p>
        </w:tc>
        <w:tc>
          <w:tcPr>
            <w:tcW w:w="960" w:type="dxa"/>
            <w:tcBorders>
              <w:top w:val="outset" w:sz="6" w:space="0" w:color="auto"/>
              <w:left w:val="outset" w:sz="6" w:space="0" w:color="auto"/>
              <w:bottom w:val="outset" w:sz="6" w:space="0" w:color="auto"/>
              <w:right w:val="outset" w:sz="6" w:space="0" w:color="auto"/>
            </w:tcBorders>
            <w:hideMark/>
          </w:tcPr>
          <w:p w14:paraId="4A7879EF"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Pp/gu</w:t>
            </w:r>
          </w:p>
        </w:tc>
      </w:tr>
      <w:tr w:rsidR="00A301F0" w:rsidRPr="00A90F3A" w14:paraId="133B4288" w14:textId="77777777" w:rsidTr="00A301F0">
        <w:trPr>
          <w:trHeight w:val="255"/>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68D90D73"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69E5E578"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6720" w:type="dxa"/>
            <w:tcBorders>
              <w:top w:val="outset" w:sz="6" w:space="0" w:color="auto"/>
              <w:left w:val="outset" w:sz="6" w:space="0" w:color="auto"/>
              <w:bottom w:val="outset" w:sz="6" w:space="0" w:color="auto"/>
              <w:right w:val="outset" w:sz="6" w:space="0" w:color="auto"/>
            </w:tcBorders>
            <w:hideMark/>
          </w:tcPr>
          <w:p w14:paraId="33A10DA1"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44949595"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r>
      <w:tr w:rsidR="00A301F0" w:rsidRPr="00A90F3A" w14:paraId="6B888DDE" w14:textId="77777777" w:rsidTr="00A301F0">
        <w:trPr>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6374273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20</w:t>
            </w:r>
          </w:p>
        </w:tc>
        <w:tc>
          <w:tcPr>
            <w:tcW w:w="960" w:type="dxa"/>
            <w:tcBorders>
              <w:top w:val="outset" w:sz="6" w:space="0" w:color="auto"/>
              <w:left w:val="outset" w:sz="6" w:space="0" w:color="auto"/>
              <w:bottom w:val="outset" w:sz="6" w:space="0" w:color="auto"/>
              <w:right w:val="outset" w:sz="6" w:space="0" w:color="auto"/>
            </w:tcBorders>
            <w:hideMark/>
          </w:tcPr>
          <w:p w14:paraId="7A11FBBD"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Uso de Recursos Naturais</w:t>
            </w:r>
          </w:p>
        </w:tc>
        <w:tc>
          <w:tcPr>
            <w:tcW w:w="6720" w:type="dxa"/>
            <w:tcBorders>
              <w:top w:val="outset" w:sz="6" w:space="0" w:color="auto"/>
              <w:left w:val="outset" w:sz="6" w:space="0" w:color="auto"/>
              <w:bottom w:val="outset" w:sz="6" w:space="0" w:color="auto"/>
              <w:right w:val="outset" w:sz="6" w:space="0" w:color="auto"/>
            </w:tcBorders>
            <w:hideMark/>
          </w:tcPr>
          <w:p w14:paraId="1EF384C9"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Silvicultura; exploração econômica da madeira ou lenha e subprodutos florestais; importação ou exportação da fauna e flora nativas brasileiras; atividade de criação e exploração econômica de fauna exótica e de fauna silvestre; utilização do patrimônio genético natural; exploração de recursos aquáticos vivos; introdução de espécies exóticas, exceto para melhoramento genético vegetal e uso na agricultura; introdução de espécies geneticamente modificadas previamente identificadas pela CTNBio como potencialmente causadoras de significativa degradação do meio ambiente; uso da diversidade biológica pela biotecnologia em atividades previamente identificadas pela CTNBio como potencialmente causadoras de significativa degradação do meio ambiente.</w:t>
            </w:r>
          </w:p>
        </w:tc>
        <w:tc>
          <w:tcPr>
            <w:tcW w:w="960" w:type="dxa"/>
            <w:tcBorders>
              <w:top w:val="outset" w:sz="6" w:space="0" w:color="auto"/>
              <w:left w:val="outset" w:sz="6" w:space="0" w:color="auto"/>
              <w:bottom w:val="outset" w:sz="6" w:space="0" w:color="auto"/>
              <w:right w:val="outset" w:sz="6" w:space="0" w:color="auto"/>
            </w:tcBorders>
            <w:hideMark/>
          </w:tcPr>
          <w:p w14:paraId="7F39E80F"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Médio</w:t>
            </w:r>
          </w:p>
        </w:tc>
      </w:tr>
      <w:tr w:rsidR="00A301F0" w:rsidRPr="00A90F3A" w14:paraId="40DE48AD" w14:textId="77777777" w:rsidTr="00A301F0">
        <w:trPr>
          <w:trHeight w:val="240"/>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70B778C1"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49A06EBC"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6720" w:type="dxa"/>
            <w:tcBorders>
              <w:top w:val="outset" w:sz="6" w:space="0" w:color="auto"/>
              <w:left w:val="outset" w:sz="6" w:space="0" w:color="auto"/>
              <w:bottom w:val="outset" w:sz="6" w:space="0" w:color="auto"/>
              <w:right w:val="outset" w:sz="6" w:space="0" w:color="auto"/>
            </w:tcBorders>
            <w:hideMark/>
          </w:tcPr>
          <w:p w14:paraId="2AC50E6C"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64C6FCD4"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r>
    </w:tbl>
    <w:p w14:paraId="2A96F1C3" w14:textId="77777777" w:rsidR="00A301F0" w:rsidRPr="004B47A0" w:rsidRDefault="00A301F0" w:rsidP="004B47A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21" w:anchor="art38" w:history="1">
        <w:r w:rsidRPr="004B47A0">
          <w:rPr>
            <w:rFonts w:ascii="Book Antiqua" w:eastAsia="Times New Roman" w:hAnsi="Book Antiqua" w:cs="Times New Roman"/>
            <w:color w:val="0000FF"/>
            <w:sz w:val="16"/>
            <w:szCs w:val="16"/>
            <w:u w:val="single"/>
            <w:lang w:eastAsia="pt-BR"/>
          </w:rPr>
          <w:t>Art. 38. (VETADO)</w:t>
        </w:r>
      </w:hyperlink>
    </w:p>
    <w:p w14:paraId="7BC5824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39. Não se aplica aos OGM e seus derivados o disposto na </w:t>
      </w:r>
      <w:hyperlink r:id="rId22"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7.802, de 11 de julho de 1989</w:t>
        </w:r>
      </w:hyperlink>
      <w:r w:rsidRPr="00741250">
        <w:rPr>
          <w:rFonts w:ascii="Book Antiqua" w:eastAsia="Times New Roman" w:hAnsi="Book Antiqua" w:cs="Times New Roman"/>
          <w:sz w:val="19"/>
          <w:szCs w:val="19"/>
          <w:lang w:eastAsia="pt-BR"/>
        </w:rPr>
        <w:t>, e suas alterações, exceto para os casos em que eles sejam desenvolvidos para servir de matéria-prima para a produção de agrotóxicos.</w:t>
      </w:r>
    </w:p>
    <w:p w14:paraId="6324DA94" w14:textId="6625955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F66F56">
        <w:rPr>
          <w:rFonts w:ascii="Book Antiqua" w:eastAsia="Times New Roman" w:hAnsi="Book Antiqua" w:cs="Times New Roman"/>
          <w:b/>
          <w:bCs/>
          <w:sz w:val="19"/>
          <w:szCs w:val="19"/>
          <w:highlight w:val="magenta"/>
          <w:lang w:eastAsia="pt-BR"/>
        </w:rPr>
        <w:t>Art. 40</w:t>
      </w:r>
      <w:r w:rsidRPr="00741250">
        <w:rPr>
          <w:rFonts w:ascii="Book Antiqua" w:eastAsia="Times New Roman" w:hAnsi="Book Antiqua" w:cs="Times New Roman"/>
          <w:sz w:val="19"/>
          <w:szCs w:val="19"/>
          <w:lang w:eastAsia="pt-BR"/>
        </w:rPr>
        <w:t xml:space="preserve">. </w:t>
      </w:r>
      <w:r w:rsidRPr="00F66F56">
        <w:rPr>
          <w:rFonts w:ascii="Book Antiqua" w:eastAsia="Times New Roman" w:hAnsi="Book Antiqua" w:cs="Times New Roman"/>
          <w:b/>
          <w:bCs/>
          <w:sz w:val="19"/>
          <w:szCs w:val="19"/>
          <w:lang w:eastAsia="pt-BR"/>
        </w:rPr>
        <w:t>Os alimentos e ingredientes alimentares destinados ao consumo humano ou animal que contenham ou sejam produzidos a partir de OGM ou derivados deverão conter informação nesse sentido em seus rótulos, conforme regulamento</w:t>
      </w:r>
      <w:r w:rsidRPr="004B47A0">
        <w:rPr>
          <w:rFonts w:ascii="Book Antiqua" w:eastAsia="Times New Roman" w:hAnsi="Book Antiqua" w:cs="Times New Roman"/>
          <w:sz w:val="18"/>
          <w:szCs w:val="18"/>
          <w:lang w:eastAsia="pt-BR"/>
        </w:rPr>
        <w:t>.</w:t>
      </w:r>
      <w:r w:rsidR="00F66F56" w:rsidRPr="004B47A0">
        <w:rPr>
          <w:rFonts w:ascii="Book Antiqua" w:eastAsia="Times New Roman" w:hAnsi="Book Antiqua" w:cs="Times New Roman"/>
          <w:sz w:val="18"/>
          <w:szCs w:val="18"/>
          <w:lang w:eastAsia="pt-BR"/>
        </w:rPr>
        <w:t xml:space="preserve"> </w:t>
      </w:r>
      <w:r w:rsidR="00F66F56" w:rsidRPr="004B47A0">
        <w:rPr>
          <w:rFonts w:ascii="Book Antiqua" w:hAnsi="Book Antiqua"/>
          <w:b/>
          <w:color w:val="FF0000"/>
          <w:sz w:val="16"/>
          <w:szCs w:val="16"/>
          <w:u w:val="single"/>
        </w:rPr>
        <w:t>(PGEPE-2009)</w:t>
      </w:r>
    </w:p>
    <w:p w14:paraId="17E23D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41. Esta Lei entra em vigor na data de sua publicação.</w:t>
      </w:r>
    </w:p>
    <w:p w14:paraId="5D5E3A4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5" w:name="art42"/>
      <w:bookmarkEnd w:id="15"/>
      <w:r w:rsidRPr="00741250">
        <w:rPr>
          <w:rFonts w:ascii="Book Antiqua" w:eastAsia="Times New Roman" w:hAnsi="Book Antiqua" w:cs="Times New Roman"/>
          <w:sz w:val="19"/>
          <w:szCs w:val="19"/>
          <w:lang w:eastAsia="pt-BR"/>
        </w:rPr>
        <w:t xml:space="preserve">Art. 42. Revogam-se a </w:t>
      </w:r>
      <w:hyperlink r:id="rId23"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8.974, de 5 de janeiro de 1995</w:t>
        </w:r>
      </w:hyperlink>
      <w:r w:rsidRPr="00741250">
        <w:rPr>
          <w:rFonts w:ascii="Book Antiqua" w:eastAsia="Times New Roman" w:hAnsi="Book Antiqua" w:cs="Times New Roman"/>
          <w:sz w:val="19"/>
          <w:szCs w:val="19"/>
          <w:lang w:eastAsia="pt-BR"/>
        </w:rPr>
        <w:t xml:space="preserve">, a </w:t>
      </w:r>
      <w:hyperlink r:id="rId24" w:history="1">
        <w:r w:rsidRPr="00741250">
          <w:rPr>
            <w:rFonts w:ascii="Book Antiqua" w:eastAsia="Times New Roman" w:hAnsi="Book Antiqua" w:cs="Times New Roman"/>
            <w:color w:val="0000FF"/>
            <w:sz w:val="19"/>
            <w:szCs w:val="19"/>
            <w:u w:val="single"/>
            <w:lang w:eastAsia="pt-BR"/>
          </w:rPr>
          <w:t>Medida Provisória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2.191-9, de 23 de agosto de 2001</w:t>
        </w:r>
      </w:hyperlink>
      <w:r w:rsidRPr="00741250">
        <w:rPr>
          <w:rFonts w:ascii="Book Antiqua" w:eastAsia="Times New Roman" w:hAnsi="Book Antiqua" w:cs="Times New Roman"/>
          <w:sz w:val="19"/>
          <w:szCs w:val="19"/>
          <w:lang w:eastAsia="pt-BR"/>
        </w:rPr>
        <w:t xml:space="preserve">, e os arts. </w:t>
      </w:r>
      <w:hyperlink r:id="rId25" w:anchor="art5" w:history="1">
        <w:r w:rsidRPr="00741250">
          <w:rPr>
            <w:rFonts w:ascii="Book Antiqua" w:eastAsia="Times New Roman" w:hAnsi="Book Antiqua" w:cs="Times New Roman"/>
            <w:color w:val="0000FF"/>
            <w:sz w:val="19"/>
            <w:szCs w:val="19"/>
            <w:u w:val="single"/>
            <w:lang w:eastAsia="pt-BR"/>
          </w:rPr>
          <w:t>5</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6</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7</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8</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9</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10</w:t>
        </w:r>
      </w:hyperlink>
      <w:r w:rsidRPr="00741250">
        <w:rPr>
          <w:rFonts w:ascii="Book Antiqua" w:eastAsia="Times New Roman" w:hAnsi="Book Antiqua" w:cs="Times New Roman"/>
          <w:sz w:val="19"/>
          <w:szCs w:val="19"/>
          <w:lang w:eastAsia="pt-BR"/>
        </w:rPr>
        <w:t xml:space="preserve"> e </w:t>
      </w:r>
      <w:hyperlink r:id="rId26" w:anchor="art16" w:history="1">
        <w:r w:rsidRPr="00741250">
          <w:rPr>
            <w:rFonts w:ascii="Book Antiqua" w:eastAsia="Times New Roman" w:hAnsi="Book Antiqua" w:cs="Times New Roman"/>
            <w:color w:val="0000FF"/>
            <w:sz w:val="19"/>
            <w:szCs w:val="19"/>
            <w:u w:val="single"/>
            <w:lang w:eastAsia="pt-BR"/>
          </w:rPr>
          <w:t>16 da 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10.814, de 15 de dezembro de 2003.</w:t>
        </w:r>
      </w:hyperlink>
    </w:p>
    <w:p w14:paraId="02EDB8E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Brasília, 24 de março de 2005; 184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da Independência e 117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da República.</w:t>
      </w:r>
    </w:p>
    <w:p w14:paraId="74DABE2B"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LUIZ INÁCIO LULA DA SILVA</w:t>
      </w:r>
      <w:r w:rsidRPr="00741250">
        <w:rPr>
          <w:rFonts w:ascii="Book Antiqua" w:eastAsia="Times New Roman" w:hAnsi="Book Antiqua" w:cs="Times New Roman"/>
          <w:sz w:val="19"/>
          <w:szCs w:val="19"/>
          <w:lang w:eastAsia="pt-BR"/>
        </w:rPr>
        <w:br/>
      </w:r>
      <w:r w:rsidRPr="00741250">
        <w:rPr>
          <w:rFonts w:ascii="Book Antiqua" w:eastAsia="Times New Roman" w:hAnsi="Book Antiqua" w:cs="Times New Roman"/>
          <w:i/>
          <w:iCs/>
          <w:sz w:val="19"/>
          <w:szCs w:val="19"/>
          <w:lang w:eastAsia="pt-BR"/>
        </w:rPr>
        <w:t>Márcio Thomaz Bastos</w:t>
      </w:r>
      <w:r w:rsidRPr="00741250">
        <w:rPr>
          <w:rFonts w:ascii="Book Antiqua" w:eastAsia="Times New Roman" w:hAnsi="Book Antiqua" w:cs="Times New Roman"/>
          <w:i/>
          <w:iCs/>
          <w:sz w:val="19"/>
          <w:szCs w:val="19"/>
          <w:lang w:eastAsia="pt-BR"/>
        </w:rPr>
        <w:br/>
        <w:t>Celso Luiz Nunes Amorim</w:t>
      </w:r>
      <w:r w:rsidRPr="00741250">
        <w:rPr>
          <w:rFonts w:ascii="Book Antiqua" w:eastAsia="Times New Roman" w:hAnsi="Book Antiqua" w:cs="Times New Roman"/>
          <w:i/>
          <w:iCs/>
          <w:sz w:val="19"/>
          <w:szCs w:val="19"/>
          <w:lang w:eastAsia="pt-BR"/>
        </w:rPr>
        <w:br/>
        <w:t>Roberto Rodrigues</w:t>
      </w:r>
      <w:r w:rsidRPr="00741250">
        <w:rPr>
          <w:rFonts w:ascii="Book Antiqua" w:eastAsia="Times New Roman" w:hAnsi="Book Antiqua" w:cs="Times New Roman"/>
          <w:i/>
          <w:iCs/>
          <w:sz w:val="19"/>
          <w:szCs w:val="19"/>
          <w:lang w:eastAsia="pt-BR"/>
        </w:rPr>
        <w:br/>
        <w:t>Humberto Sérgio Costa Lima</w:t>
      </w:r>
      <w:r w:rsidRPr="00741250">
        <w:rPr>
          <w:rFonts w:ascii="Book Antiqua" w:eastAsia="Times New Roman" w:hAnsi="Book Antiqua" w:cs="Times New Roman"/>
          <w:i/>
          <w:iCs/>
          <w:sz w:val="19"/>
          <w:szCs w:val="19"/>
          <w:lang w:eastAsia="pt-BR"/>
        </w:rPr>
        <w:br/>
        <w:t>Luiz Fernando Furlan</w:t>
      </w:r>
      <w:r w:rsidRPr="00741250">
        <w:rPr>
          <w:rFonts w:ascii="Book Antiqua" w:eastAsia="Times New Roman" w:hAnsi="Book Antiqua" w:cs="Times New Roman"/>
          <w:i/>
          <w:iCs/>
          <w:sz w:val="19"/>
          <w:szCs w:val="19"/>
          <w:lang w:eastAsia="pt-BR"/>
        </w:rPr>
        <w:br/>
        <w:t>Patrus Ananias</w:t>
      </w:r>
      <w:r w:rsidRPr="00741250">
        <w:rPr>
          <w:rFonts w:ascii="Book Antiqua" w:eastAsia="Times New Roman" w:hAnsi="Book Antiqua" w:cs="Times New Roman"/>
          <w:i/>
          <w:iCs/>
          <w:sz w:val="19"/>
          <w:szCs w:val="19"/>
          <w:lang w:eastAsia="pt-BR"/>
        </w:rPr>
        <w:br/>
        <w:t>Eduardo Campos</w:t>
      </w:r>
      <w:r w:rsidRPr="00741250">
        <w:rPr>
          <w:rFonts w:ascii="Book Antiqua" w:eastAsia="Times New Roman" w:hAnsi="Book Antiqua" w:cs="Times New Roman"/>
          <w:i/>
          <w:iCs/>
          <w:sz w:val="19"/>
          <w:szCs w:val="19"/>
          <w:lang w:eastAsia="pt-BR"/>
        </w:rPr>
        <w:br/>
        <w:t>Marina Silva</w:t>
      </w:r>
      <w:r w:rsidRPr="00741250">
        <w:rPr>
          <w:rFonts w:ascii="Book Antiqua" w:eastAsia="Times New Roman" w:hAnsi="Book Antiqua" w:cs="Times New Roman"/>
          <w:i/>
          <w:iCs/>
          <w:sz w:val="19"/>
          <w:szCs w:val="19"/>
          <w:lang w:eastAsia="pt-BR"/>
        </w:rPr>
        <w:br/>
        <w:t>Miguel Soldatelli Rossetto</w:t>
      </w:r>
      <w:r w:rsidRPr="00741250">
        <w:rPr>
          <w:rFonts w:ascii="Book Antiqua" w:eastAsia="Times New Roman" w:hAnsi="Book Antiqua" w:cs="Times New Roman"/>
          <w:i/>
          <w:iCs/>
          <w:sz w:val="19"/>
          <w:szCs w:val="19"/>
          <w:lang w:eastAsia="pt-BR"/>
        </w:rPr>
        <w:br/>
        <w:t>José Dirceu de Oliveira e Silva</w:t>
      </w:r>
    </w:p>
    <w:p w14:paraId="06BE726F" w14:textId="77777777" w:rsidR="00573657" w:rsidRPr="00741250" w:rsidRDefault="00A301F0" w:rsidP="00F05410">
      <w:pPr>
        <w:spacing w:before="100" w:beforeAutospacing="1" w:after="100" w:afterAutospacing="1" w:line="240" w:lineRule="auto"/>
        <w:rPr>
          <w:rFonts w:ascii="Book Antiqua" w:eastAsia="Times New Roman" w:hAnsi="Book Antiqua" w:cs="Times New Roman"/>
          <w:sz w:val="19"/>
          <w:szCs w:val="19"/>
          <w:lang w:eastAsia="pt-BR"/>
        </w:rPr>
      </w:pPr>
      <w:r w:rsidRPr="00741250">
        <w:rPr>
          <w:rFonts w:ascii="Book Antiqua" w:eastAsia="Times New Roman" w:hAnsi="Book Antiqua" w:cs="Times New Roman"/>
          <w:color w:val="FF0000"/>
          <w:sz w:val="19"/>
          <w:szCs w:val="19"/>
          <w:lang w:eastAsia="pt-BR"/>
        </w:rPr>
        <w:t>Este texto não substitui o publicado no D.O.U. de 28.3.2005</w:t>
      </w:r>
    </w:p>
    <w:sectPr w:rsidR="00573657" w:rsidRPr="00741250" w:rsidSect="002655F7">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6E8A" w14:textId="77777777" w:rsidR="009B4AEF" w:rsidRDefault="009B4AEF" w:rsidP="00C7463B">
      <w:pPr>
        <w:spacing w:after="0" w:line="240" w:lineRule="auto"/>
      </w:pPr>
      <w:r>
        <w:separator/>
      </w:r>
    </w:p>
  </w:endnote>
  <w:endnote w:type="continuationSeparator" w:id="0">
    <w:p w14:paraId="5EFF83D4" w14:textId="77777777" w:rsidR="009B4AEF" w:rsidRDefault="009B4AEF" w:rsidP="00C74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75EB" w14:textId="77777777" w:rsidR="009B4AEF" w:rsidRDefault="009B4AEF" w:rsidP="00C7463B">
      <w:pPr>
        <w:spacing w:after="0" w:line="240" w:lineRule="auto"/>
      </w:pPr>
      <w:r>
        <w:separator/>
      </w:r>
    </w:p>
  </w:footnote>
  <w:footnote w:type="continuationSeparator" w:id="0">
    <w:p w14:paraId="76AE8BCA" w14:textId="77777777" w:rsidR="009B4AEF" w:rsidRDefault="009B4AEF" w:rsidP="00C74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1626924">
    <w:abstractNumId w:val="2"/>
  </w:num>
  <w:num w:numId="2" w16cid:durableId="504980944">
    <w:abstractNumId w:val="1"/>
  </w:num>
  <w:num w:numId="3" w16cid:durableId="99164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6A"/>
    <w:rsid w:val="000476B1"/>
    <w:rsid w:val="0007123A"/>
    <w:rsid w:val="000C6E41"/>
    <w:rsid w:val="001226CB"/>
    <w:rsid w:val="0013145E"/>
    <w:rsid w:val="00134144"/>
    <w:rsid w:val="00140C44"/>
    <w:rsid w:val="00143BF7"/>
    <w:rsid w:val="00146742"/>
    <w:rsid w:val="001501E3"/>
    <w:rsid w:val="00155B49"/>
    <w:rsid w:val="001573B1"/>
    <w:rsid w:val="00167845"/>
    <w:rsid w:val="00192271"/>
    <w:rsid w:val="001B12F9"/>
    <w:rsid w:val="001C476D"/>
    <w:rsid w:val="001E32F1"/>
    <w:rsid w:val="002655F7"/>
    <w:rsid w:val="00267DFD"/>
    <w:rsid w:val="002901F7"/>
    <w:rsid w:val="002A1270"/>
    <w:rsid w:val="002B14BE"/>
    <w:rsid w:val="002C354F"/>
    <w:rsid w:val="002E195E"/>
    <w:rsid w:val="00307A5C"/>
    <w:rsid w:val="003718C3"/>
    <w:rsid w:val="00393AAC"/>
    <w:rsid w:val="00410A69"/>
    <w:rsid w:val="00432B7B"/>
    <w:rsid w:val="004574EC"/>
    <w:rsid w:val="0047226D"/>
    <w:rsid w:val="00474C04"/>
    <w:rsid w:val="004756E8"/>
    <w:rsid w:val="004B47A0"/>
    <w:rsid w:val="004C1896"/>
    <w:rsid w:val="004C4260"/>
    <w:rsid w:val="004C5C7A"/>
    <w:rsid w:val="004D0314"/>
    <w:rsid w:val="004D398B"/>
    <w:rsid w:val="004F4701"/>
    <w:rsid w:val="00525B04"/>
    <w:rsid w:val="005435D8"/>
    <w:rsid w:val="0054619A"/>
    <w:rsid w:val="005710C3"/>
    <w:rsid w:val="00573657"/>
    <w:rsid w:val="00595623"/>
    <w:rsid w:val="005A5111"/>
    <w:rsid w:val="005A7856"/>
    <w:rsid w:val="005F40E5"/>
    <w:rsid w:val="0062695C"/>
    <w:rsid w:val="00641FD2"/>
    <w:rsid w:val="00651C66"/>
    <w:rsid w:val="0065403C"/>
    <w:rsid w:val="006B0596"/>
    <w:rsid w:val="007129F6"/>
    <w:rsid w:val="00734B95"/>
    <w:rsid w:val="00741250"/>
    <w:rsid w:val="007A0C0B"/>
    <w:rsid w:val="00897AFE"/>
    <w:rsid w:val="00943AD7"/>
    <w:rsid w:val="00944C4E"/>
    <w:rsid w:val="0094632E"/>
    <w:rsid w:val="00955D39"/>
    <w:rsid w:val="009569E9"/>
    <w:rsid w:val="009715B1"/>
    <w:rsid w:val="00977EBA"/>
    <w:rsid w:val="00986F3A"/>
    <w:rsid w:val="00987258"/>
    <w:rsid w:val="00990E4D"/>
    <w:rsid w:val="009B4AEF"/>
    <w:rsid w:val="009C121A"/>
    <w:rsid w:val="00A02036"/>
    <w:rsid w:val="00A301F0"/>
    <w:rsid w:val="00A43352"/>
    <w:rsid w:val="00A77F03"/>
    <w:rsid w:val="00A90F3A"/>
    <w:rsid w:val="00A92C98"/>
    <w:rsid w:val="00AA1B6C"/>
    <w:rsid w:val="00AB3EAF"/>
    <w:rsid w:val="00AB486A"/>
    <w:rsid w:val="00AB4FB0"/>
    <w:rsid w:val="00B064DF"/>
    <w:rsid w:val="00B3678D"/>
    <w:rsid w:val="00B516DC"/>
    <w:rsid w:val="00B723F7"/>
    <w:rsid w:val="00BC1CBE"/>
    <w:rsid w:val="00BD6EC8"/>
    <w:rsid w:val="00C07066"/>
    <w:rsid w:val="00C17A88"/>
    <w:rsid w:val="00C27E77"/>
    <w:rsid w:val="00C7463B"/>
    <w:rsid w:val="00C83522"/>
    <w:rsid w:val="00CB4075"/>
    <w:rsid w:val="00D03C23"/>
    <w:rsid w:val="00D0775F"/>
    <w:rsid w:val="00D4292F"/>
    <w:rsid w:val="00D927F1"/>
    <w:rsid w:val="00DA14C7"/>
    <w:rsid w:val="00DA401D"/>
    <w:rsid w:val="00DB055D"/>
    <w:rsid w:val="00DB7E94"/>
    <w:rsid w:val="00DF05D3"/>
    <w:rsid w:val="00DF3C41"/>
    <w:rsid w:val="00E000DD"/>
    <w:rsid w:val="00E0030D"/>
    <w:rsid w:val="00E01CAE"/>
    <w:rsid w:val="00E07305"/>
    <w:rsid w:val="00E4457B"/>
    <w:rsid w:val="00E44BF0"/>
    <w:rsid w:val="00E758F1"/>
    <w:rsid w:val="00EA2165"/>
    <w:rsid w:val="00EE5C1F"/>
    <w:rsid w:val="00EF49C5"/>
    <w:rsid w:val="00F05410"/>
    <w:rsid w:val="00F1158C"/>
    <w:rsid w:val="00F310B0"/>
    <w:rsid w:val="00F525B5"/>
    <w:rsid w:val="00F63FA4"/>
    <w:rsid w:val="00F66F56"/>
    <w:rsid w:val="00F679D3"/>
    <w:rsid w:val="00F76A7D"/>
    <w:rsid w:val="00F9487B"/>
    <w:rsid w:val="00F96FAC"/>
    <w:rsid w:val="00FB5AD0"/>
    <w:rsid w:val="00FC0180"/>
    <w:rsid w:val="00FD4159"/>
    <w:rsid w:val="00FD51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27BE3"/>
  <w15:chartTrackingRefBased/>
  <w15:docId w15:val="{F19905B2-8BA5-44D2-93C6-BB034A1B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4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FD41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C6E41"/>
    <w:pPr>
      <w:ind w:left="720"/>
      <w:contextualSpacing/>
    </w:pPr>
  </w:style>
  <w:style w:type="paragraph" w:styleId="Cabealho">
    <w:name w:val="header"/>
    <w:basedOn w:val="Normal"/>
    <w:link w:val="CabealhoChar"/>
    <w:uiPriority w:val="99"/>
    <w:unhideWhenUsed/>
    <w:rsid w:val="00C746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7463B"/>
  </w:style>
  <w:style w:type="paragraph" w:styleId="Rodap">
    <w:name w:val="footer"/>
    <w:basedOn w:val="Normal"/>
    <w:link w:val="RodapChar"/>
    <w:uiPriority w:val="99"/>
    <w:unhideWhenUsed/>
    <w:rsid w:val="00C7463B"/>
    <w:pPr>
      <w:tabs>
        <w:tab w:val="center" w:pos="4252"/>
        <w:tab w:val="right" w:pos="8504"/>
      </w:tabs>
      <w:spacing w:after="0" w:line="240" w:lineRule="auto"/>
    </w:pPr>
  </w:style>
  <w:style w:type="character" w:customStyle="1" w:styleId="RodapChar">
    <w:name w:val="Rodapé Char"/>
    <w:basedOn w:val="Fontepargpadro"/>
    <w:link w:val="Rodap"/>
    <w:uiPriority w:val="99"/>
    <w:rsid w:val="00C74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7248">
      <w:bodyDiv w:val="1"/>
      <w:marLeft w:val="0"/>
      <w:marRight w:val="0"/>
      <w:marTop w:val="0"/>
      <w:marBottom w:val="0"/>
      <w:divBdr>
        <w:top w:val="none" w:sz="0" w:space="0" w:color="auto"/>
        <w:left w:val="none" w:sz="0" w:space="0" w:color="auto"/>
        <w:bottom w:val="none" w:sz="0" w:space="0" w:color="auto"/>
        <w:right w:val="none" w:sz="0" w:space="0" w:color="auto"/>
      </w:divBdr>
      <w:divsChild>
        <w:div w:id="135411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883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66504797">
      <w:bodyDiv w:val="1"/>
      <w:marLeft w:val="0"/>
      <w:marRight w:val="0"/>
      <w:marTop w:val="0"/>
      <w:marBottom w:val="0"/>
      <w:divBdr>
        <w:top w:val="none" w:sz="0" w:space="0" w:color="auto"/>
        <w:left w:val="none" w:sz="0" w:space="0" w:color="auto"/>
        <w:bottom w:val="none" w:sz="0" w:space="0" w:color="auto"/>
        <w:right w:val="none" w:sz="0" w:space="0" w:color="auto"/>
      </w:divBdr>
      <w:divsChild>
        <w:div w:id="239953242">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1.105-2005?OpenDocument" TargetMode="External"/><Relationship Id="rId13" Type="http://schemas.openxmlformats.org/officeDocument/2006/relationships/hyperlink" Target="http://www.planalto.gov.br/ccivil_03/_ato2004-2006/2005/Msg/Vep/VEP-0167-05.htm" TargetMode="External"/><Relationship Id="rId18" Type="http://schemas.openxmlformats.org/officeDocument/2006/relationships/hyperlink" Target="http://www.planalto.gov.br/ccivil_03/LEIS/2003/L10.814.htm" TargetMode="External"/><Relationship Id="rId26" Type="http://schemas.openxmlformats.org/officeDocument/2006/relationships/hyperlink" Target="http://www.planalto.gov.br/ccivil_03/LEIS/2003/L10.814.htm" TargetMode="External"/><Relationship Id="rId3" Type="http://schemas.openxmlformats.org/officeDocument/2006/relationships/styles" Target="styles.xml"/><Relationship Id="rId21" Type="http://schemas.openxmlformats.org/officeDocument/2006/relationships/hyperlink" Target="http://www.planalto.gov.br/ccivil_03/_ato2004-2006/2005/Msg/Vep/VEP-0167-05.htm" TargetMode="External"/><Relationship Id="rId7" Type="http://schemas.openxmlformats.org/officeDocument/2006/relationships/endnotes" Target="endnotes.xml"/><Relationship Id="rId12" Type="http://schemas.openxmlformats.org/officeDocument/2006/relationships/hyperlink" Target="http://www.planalto.gov.br/ccivil_03/_ato2004-2006/2005/Msg/Vep/VEP-0167-05.htm" TargetMode="External"/><Relationship Id="rId17" Type="http://schemas.openxmlformats.org/officeDocument/2006/relationships/hyperlink" Target="http://www.planalto.gov.br/ccivil_03/LEIS/L8974.htm" TargetMode="External"/><Relationship Id="rId25" Type="http://schemas.openxmlformats.org/officeDocument/2006/relationships/hyperlink" Target="http://www.planalto.gov.br/ccivil_03/LEIS/2003/L10.814.htm" TargetMode="External"/><Relationship Id="rId2" Type="http://schemas.openxmlformats.org/officeDocument/2006/relationships/numbering" Target="numbering.xml"/><Relationship Id="rId16" Type="http://schemas.openxmlformats.org/officeDocument/2006/relationships/hyperlink" Target="http://www.planalto.gov.br/ccivil_03/_ato2004-2006/2005/Msg/Vep/VEP-0167-05.htm" TargetMode="External"/><Relationship Id="rId20" Type="http://schemas.openxmlformats.org/officeDocument/2006/relationships/hyperlink" Target="http://www.planalto.gov.br/ccivil_03/LEIS/L693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4-2006/2005/Msg/Vep/VEP-0167-05.htm" TargetMode="External"/><Relationship Id="rId24" Type="http://schemas.openxmlformats.org/officeDocument/2006/relationships/hyperlink" Target="http://www.planalto.gov.br/ccivil_03/MPV/Antigas_2001/2191-9.htm" TargetMode="External"/><Relationship Id="rId5" Type="http://schemas.openxmlformats.org/officeDocument/2006/relationships/webSettings" Target="webSettings.xml"/><Relationship Id="rId15" Type="http://schemas.openxmlformats.org/officeDocument/2006/relationships/hyperlink" Target="http://www.planalto.gov.br/ccivil_03/_ato2004-2006/2005/Msg/Vep/VEP-0167-05.htm" TargetMode="External"/><Relationship Id="rId23" Type="http://schemas.openxmlformats.org/officeDocument/2006/relationships/hyperlink" Target="http://www.planalto.gov.br/ccivil_03/LEIS/L8974.htm" TargetMode="External"/><Relationship Id="rId28" Type="http://schemas.openxmlformats.org/officeDocument/2006/relationships/theme" Target="theme/theme1.xml"/><Relationship Id="rId10" Type="http://schemas.openxmlformats.org/officeDocument/2006/relationships/hyperlink" Target="http://www.planalto.gov.br/ccivil_03/_ato2004-2006/2005/Msg/Vep/VEP-0167-05.htm" TargetMode="External"/><Relationship Id="rId19" Type="http://schemas.openxmlformats.org/officeDocument/2006/relationships/hyperlink" Target="http://www.planalto.gov.br/ccivil_03/_ato2004-2006/2005/Decreto/D5534.htm" TargetMode="External"/><Relationship Id="rId4" Type="http://schemas.openxmlformats.org/officeDocument/2006/relationships/settings" Target="settings.xml"/><Relationship Id="rId9" Type="http://schemas.openxmlformats.org/officeDocument/2006/relationships/hyperlink" Target="http://www.planalto.gov.br/ccivil_03/LEIS/L9434.htm" TargetMode="External"/><Relationship Id="rId14" Type="http://schemas.openxmlformats.org/officeDocument/2006/relationships/hyperlink" Target="http://www.planalto.gov.br/ccivil_03/_Ato2007-2010/2007/Lei/L11460.htm" TargetMode="External"/><Relationship Id="rId22" Type="http://schemas.openxmlformats.org/officeDocument/2006/relationships/hyperlink" Target="http://www.planalto.gov.br/ccivil_03/LEIS/L7802.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8C157-4264-445D-BA08-B325A6AB6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Pages>
  <Words>10453</Words>
  <Characters>56448</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74</cp:revision>
  <dcterms:created xsi:type="dcterms:W3CDTF">2015-05-16T16:32:00Z</dcterms:created>
  <dcterms:modified xsi:type="dcterms:W3CDTF">2026-02-04T18:58:00Z</dcterms:modified>
</cp:coreProperties>
</file>