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636B" w14:textId="77777777" w:rsidR="00412867" w:rsidRPr="003D543F" w:rsidRDefault="00412867" w:rsidP="00412867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D543F">
        <w:rPr>
          <w:rFonts w:ascii="Book Antiqua" w:hAnsi="Book Antiqua" w:cs="Times New Roman"/>
          <w:b/>
          <w:sz w:val="19"/>
          <w:szCs w:val="19"/>
        </w:rPr>
        <w:t xml:space="preserve">UNIÃO ESTÁVEL – </w:t>
      </w:r>
      <w:bookmarkStart w:id="0" w:name="_Hlk42631955"/>
      <w:r w:rsidRPr="003D543F">
        <w:rPr>
          <w:rFonts w:ascii="Book Antiqua" w:hAnsi="Book Antiqua" w:cs="Times New Roman"/>
          <w:b/>
          <w:sz w:val="19"/>
          <w:szCs w:val="19"/>
        </w:rPr>
        <w:t>Lei 9.278</w:t>
      </w:r>
      <w:bookmarkEnd w:id="0"/>
      <w:r w:rsidRPr="003D543F">
        <w:rPr>
          <w:rFonts w:ascii="Book Antiqua" w:hAnsi="Book Antiqua" w:cs="Times New Roman"/>
          <w:b/>
          <w:sz w:val="19"/>
          <w:szCs w:val="19"/>
        </w:rPr>
        <w:t>/1996.</w:t>
      </w:r>
    </w:p>
    <w:p w14:paraId="05430878" w14:textId="77777777" w:rsidR="00412867" w:rsidRPr="003D543F" w:rsidRDefault="00412867" w:rsidP="00412867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D543F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77A89C29" w14:textId="77777777" w:rsidR="00412867" w:rsidRPr="003D543F" w:rsidRDefault="00412867" w:rsidP="00412867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3D543F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412867" w:rsidRPr="003D543F" w14:paraId="799AB71A" w14:textId="77777777" w:rsidTr="00AC2575">
        <w:tc>
          <w:tcPr>
            <w:tcW w:w="8494" w:type="dxa"/>
            <w:shd w:val="clear" w:color="auto" w:fill="E7E6E6" w:themeFill="background2"/>
          </w:tcPr>
          <w:p w14:paraId="1A7BD66B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1BDD94B9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E9F4C7C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</w:t>
            </w:r>
            <w:r w:rsidR="00AE12B4"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jurisprudencial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Infos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533 e 633 do STJ (art. 7º);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Enunc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 117, CJF (art. 7º)</w:t>
            </w:r>
          </w:p>
          <w:p w14:paraId="6045EB44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55F6EB6" w14:textId="57024F42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4959B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04/01/2025</w:t>
            </w: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6927223E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D59948B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0A4612E" w14:textId="77777777" w:rsidR="00412867" w:rsidRPr="003D543F" w:rsidRDefault="00412867" w:rsidP="0041286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D30DC88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6891770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454E8D8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9.278/96).</w:t>
            </w:r>
          </w:p>
          <w:p w14:paraId="78759968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28B1D32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DEBEF17" w14:textId="77777777" w:rsidR="00412867" w:rsidRPr="003D543F" w:rsidRDefault="00412867" w:rsidP="0041286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F401CB9" w14:textId="77777777" w:rsidR="00412867" w:rsidRPr="003D543F" w:rsidRDefault="00412867" w:rsidP="00412867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3F6F4EBD" w14:textId="77777777" w:rsidR="005179A1" w:rsidRPr="003D543F" w:rsidRDefault="005179A1" w:rsidP="005179A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3D543F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9.278, DE 10 DE MAIO DE 1996.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5179A1" w:rsidRPr="003D543F" w14:paraId="01BBEF09" w14:textId="77777777" w:rsidTr="003D543F"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F2157" w14:textId="7B2BE3DD" w:rsidR="005179A1" w:rsidRPr="003D543F" w:rsidRDefault="005179A1" w:rsidP="005179A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EEE61" w14:textId="77777777" w:rsidR="005179A1" w:rsidRPr="003D543F" w:rsidRDefault="005179A1" w:rsidP="00E31A1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 o § 3° do art. 226 da Constituição Federal.</w:t>
            </w:r>
          </w:p>
        </w:tc>
      </w:tr>
    </w:tbl>
    <w:p w14:paraId="21CDE00C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gramStart"/>
      <w:r w:rsidRPr="003D543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  PRESIDENTE</w:t>
      </w:r>
      <w:proofErr w:type="gramEnd"/>
      <w:r w:rsidRPr="003D543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DA REPÚBLICA 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Faço saber que o Congresso Nacional decreta e eu sanciono a seguinte Lei:</w:t>
      </w:r>
    </w:p>
    <w:p w14:paraId="7218F38A" w14:textId="63B2669C" w:rsidR="005179A1" w:rsidRPr="004959B5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b/>
          <w:bCs/>
          <w:sz w:val="18"/>
          <w:szCs w:val="18"/>
          <w:u w:val="single"/>
          <w:lang w:eastAsia="pt-BR"/>
        </w:rPr>
      </w:pPr>
      <w:bookmarkStart w:id="1" w:name="art1"/>
      <w:bookmarkEnd w:id="1"/>
      <w:r w:rsidRPr="0029208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1º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F00BA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É reconhecida como entidade familiar a convivência duradoura, pública e contínua, de um homem e uma mulher, estabelecida com objetivo de constituição de família</w:t>
      </w:r>
      <w:r w:rsidRPr="004959B5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29208F" w:rsidRPr="004959B5">
        <w:rPr>
          <w:rFonts w:ascii="Book Antiqua" w:eastAsia="Times New Roman" w:hAnsi="Book Antiqua" w:cs="Arial"/>
          <w:color w:val="FF0000"/>
          <w:sz w:val="18"/>
          <w:szCs w:val="18"/>
          <w:lang w:eastAsia="pt-BR"/>
        </w:rPr>
        <w:t xml:space="preserve"> </w:t>
      </w:r>
      <w:r w:rsidR="0029208F" w:rsidRPr="004959B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208F" w14:paraId="2A53EBBA" w14:textId="77777777" w:rsidTr="0029208F">
        <w:tc>
          <w:tcPr>
            <w:tcW w:w="8494" w:type="dxa"/>
            <w:shd w:val="clear" w:color="auto" w:fill="CCFFFF"/>
          </w:tcPr>
          <w:p w14:paraId="32EC3256" w14:textId="43DEEE86" w:rsidR="0029208F" w:rsidRDefault="0029208F" w:rsidP="0029208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516C3A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Jurisprud. Teses/STJ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 xml:space="preserve"> – Ed. 50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DPEMG-2019</w:t>
            </w:r>
            <w:r w:rsidRPr="001C469D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2565C3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highlight w:val="magenta"/>
                <w:lang w:eastAsia="pt-BR"/>
              </w:rPr>
              <w:t xml:space="preserve">Tese </w:t>
            </w:r>
            <w:r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highlight w:val="magenta"/>
                <w:lang w:eastAsia="pt-BR"/>
              </w:rPr>
              <w:t>02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: </w:t>
            </w:r>
            <w:r w:rsidRPr="000C60DE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A coabitação não é elemento indispensável à caracterização da união estável.</w:t>
            </w:r>
          </w:p>
        </w:tc>
      </w:tr>
    </w:tbl>
    <w:p w14:paraId="4243FB68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" w:name="art2"/>
      <w:bookmarkEnd w:id="2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2° São direitos e deveres iguais dos conviventes:</w:t>
      </w:r>
    </w:p>
    <w:p w14:paraId="45108B70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I - respeito e consideração mútuos;</w:t>
      </w:r>
    </w:p>
    <w:p w14:paraId="26C22C8B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</w:t>
      </w:r>
      <w:proofErr w:type="gramStart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assistência</w:t>
      </w:r>
      <w:proofErr w:type="gramEnd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moral e material recíproca;</w:t>
      </w:r>
    </w:p>
    <w:p w14:paraId="023396B5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III - guarda, sustento e educação dos filhos comuns.</w:t>
      </w:r>
    </w:p>
    <w:p w14:paraId="102958CD" w14:textId="77777777" w:rsidR="005179A1" w:rsidRPr="003D543F" w:rsidRDefault="005179A1" w:rsidP="00E31A1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" w:name="art3"/>
      <w:bookmarkEnd w:id="3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3° (VETADO)</w:t>
      </w:r>
    </w:p>
    <w:p w14:paraId="1D40690C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4"/>
      <w:bookmarkEnd w:id="4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4° (VETADO)</w:t>
      </w:r>
    </w:p>
    <w:p w14:paraId="4B0AC128" w14:textId="3D0699EC" w:rsidR="005179A1" w:rsidRPr="004959B5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5" w:name="art5"/>
      <w:bookmarkEnd w:id="5"/>
      <w:r w:rsidRPr="003D543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5°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Os bens móveis e imóveis adquiridos por um ou por ambos os conviventes, na constância da união estável e a título oneroso, são considerados fruto do trabalho e da colaboração comum, passando a pertencer a ambos, em condomínio e em partes iguais, salvo estipulação contrária em contrato escrito</w:t>
      </w:r>
      <w:r w:rsidRPr="004959B5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3D543F" w:rsidRPr="004959B5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3D543F" w:rsidRPr="004959B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F5293F" w:rsidRPr="004959B5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5293F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(MPMS-2013)</w:t>
      </w:r>
      <w:r w:rsidR="008D46DE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D46DE" w:rsidRPr="004959B5">
        <w:rPr>
          <w:rFonts w:ascii="Book Antiqua" w:eastAsia="Times New Roman" w:hAnsi="Book Antiqua"/>
          <w:b/>
          <w:color w:val="FF0000"/>
          <w:sz w:val="16"/>
          <w:szCs w:val="16"/>
          <w:u w:val="single"/>
          <w:lang w:eastAsia="pt-BR"/>
        </w:rPr>
        <w:t>(DPEMT-2016)</w:t>
      </w:r>
    </w:p>
    <w:p w14:paraId="76A10687" w14:textId="3836DADE" w:rsidR="005179A1" w:rsidRPr="004959B5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3D543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1°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Cessa a presunção do caput deste artigo se a aquisição patrimonial ocorrer com o produto de bens adquiridos anteriormente ao início da união</w:t>
      </w:r>
      <w:r w:rsidRPr="004959B5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F7390B" w:rsidRPr="004959B5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F7390B" w:rsidRPr="004959B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(DPEBA-2010)</w:t>
      </w:r>
      <w:r w:rsidR="00F7390B" w:rsidRPr="004959B5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F7390B" w:rsidRPr="004959B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(DPU-2010)</w:t>
      </w:r>
      <w:r w:rsidR="003D543F" w:rsidRPr="004959B5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3D543F" w:rsidRPr="004959B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8D46DE" w:rsidRPr="004959B5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46DE" w:rsidRPr="004959B5">
        <w:rPr>
          <w:rFonts w:ascii="Book Antiqua" w:eastAsia="Times New Roman" w:hAnsi="Book Antiqua"/>
          <w:b/>
          <w:color w:val="FF0000"/>
          <w:sz w:val="16"/>
          <w:szCs w:val="16"/>
          <w:u w:val="single"/>
          <w:lang w:eastAsia="pt-BR"/>
        </w:rPr>
        <w:t>(DPEMT-2016)</w:t>
      </w:r>
    </w:p>
    <w:p w14:paraId="1A845192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§ 2° A administração do patrimônio comum dos conviventes compete a ambos, salvo estipulação contrária em contrato escrito.</w:t>
      </w:r>
    </w:p>
    <w:p w14:paraId="613A1080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6"/>
      <w:bookmarkEnd w:id="6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Art. 6° </w:t>
      </w:r>
      <w:hyperlink r:id="rId8" w:history="1">
        <w:r w:rsidRPr="003D543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</w:t>
        </w:r>
      </w:hyperlink>
    </w:p>
    <w:p w14:paraId="0B97DCC3" w14:textId="26327A4A" w:rsidR="005179A1" w:rsidRPr="004959B5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bookmarkStart w:id="7" w:name="art7"/>
      <w:bookmarkEnd w:id="7"/>
      <w:r w:rsidRPr="003D543F">
        <w:rPr>
          <w:rFonts w:ascii="Book Antiqua" w:eastAsia="Times New Roman" w:hAnsi="Book Antiqua" w:cs="Arial"/>
          <w:b/>
          <w:sz w:val="19"/>
          <w:szCs w:val="19"/>
          <w:highlight w:val="magenta"/>
          <w:lang w:eastAsia="pt-BR"/>
        </w:rPr>
        <w:t>Art. 7°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Dissolvida a união estável por rescisão, a </w:t>
      </w:r>
      <w:proofErr w:type="gramStart"/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assistência material prevista</w:t>
      </w:r>
      <w:proofErr w:type="gramEnd"/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nesta Lei será prestada por um dos conviventes ao que dela necessitar, a título de alimentos</w:t>
      </w:r>
      <w:r w:rsidRPr="004959B5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B30BBA" w:rsidRPr="004959B5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B30BBA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(MPRR-2008)</w:t>
      </w:r>
      <w:r w:rsidR="009D59D1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D59D1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(TJGO-2012)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(Cartórios/TJPE-2024)</w:t>
      </w:r>
    </w:p>
    <w:p w14:paraId="5BFCEBA5" w14:textId="6BCB90F3" w:rsidR="005179A1" w:rsidRPr="004959B5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b/>
          <w:sz w:val="16"/>
          <w:szCs w:val="16"/>
          <w:lang w:eastAsia="pt-BR"/>
        </w:rPr>
      </w:pPr>
      <w:bookmarkStart w:id="8" w:name="art7p"/>
      <w:bookmarkEnd w:id="8"/>
      <w:r w:rsidRPr="003D543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Dissolvida a união estável por morte de um dos conviventes, o sobrevivente terá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direito real de habitação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enquanto viver ou não constituir nova união ou casamento, relativamente ao imóvel destinado à residência da família</w:t>
      </w:r>
      <w:r w:rsidRPr="004959B5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B30BBA" w:rsidRPr="004959B5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B30BBA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(MPRR-2008)</w:t>
      </w:r>
      <w:r w:rsidR="009D59D1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D59D1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(TJGO-2012)</w:t>
      </w:r>
      <w:r w:rsidR="00F5293F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9" w:name="_Hlk64455870"/>
      <w:r w:rsidR="00F5293F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(MPMS-2013)</w:t>
      </w:r>
      <w:bookmarkEnd w:id="9"/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34714" w:rsidRPr="004959B5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(TJPA-2014)</w:t>
      </w:r>
      <w:r w:rsidR="004959B5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(TJDFT-2014/2015)</w:t>
      </w:r>
      <w:r w:rsidR="00A51ADD" w:rsidRPr="004959B5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A51ADD" w:rsidRP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(MPDFT-2015)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(TJRS-2016)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(DPEMT-2016)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(TJPR-2017)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(TJAC-2019)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(MPSC-2019)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(DPEGO-2021)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(DPERJ-2021)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(MPTO-2022)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(DPEPA-2022)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(DPESP-2013/2023)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(Cartórios/TJSE-2023)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59B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(Cartórios/TJPE-2024)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4714" w:rsidRPr="003D543F" w14:paraId="5773E943" w14:textId="77777777" w:rsidTr="00734714">
        <w:tc>
          <w:tcPr>
            <w:tcW w:w="8494" w:type="dxa"/>
            <w:shd w:val="clear" w:color="auto" w:fill="FFF2CC" w:themeFill="accent4" w:themeFillTint="33"/>
          </w:tcPr>
          <w:p w14:paraId="10E90BBC" w14:textId="2B2EEF52" w:rsidR="004959B5" w:rsidRPr="004959B5" w:rsidRDefault="00F5293F" w:rsidP="00E31A1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color w:val="FF0000"/>
                <w:sz w:val="16"/>
                <w:szCs w:val="16"/>
                <w:u w:val="single"/>
              </w:rPr>
            </w:pPr>
            <w:proofErr w:type="spellStart"/>
            <w:r w:rsidRPr="000D5F62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Enunc</w:t>
            </w:r>
            <w:proofErr w:type="spellEnd"/>
            <w:r w:rsidRPr="000D5F62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. 117, CJF</w:t>
            </w:r>
            <w:r w:rsidRPr="000D5F62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</w:t>
            </w:r>
            <w:r w:rsidRPr="000D5F62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rt. 1831: o direito real de habitação deve ser estendido ao companheiro, seja por não ter sido revogada a previsão da Lei n. 9.278/96, seja em razão da interpretação analógica do art. 1.831, informado pelo art. 6º, caput, da CF/88</w:t>
            </w:r>
            <w:r w:rsidRPr="004959B5">
              <w:rPr>
                <w:rFonts w:ascii="Book Antiqua" w:eastAsia="Times New Roman" w:hAnsi="Book Antiqua" w:cs="Arial"/>
                <w:sz w:val="16"/>
                <w:szCs w:val="16"/>
                <w:lang w:eastAsia="pt-BR"/>
              </w:rPr>
              <w:t xml:space="preserve">. </w:t>
            </w:r>
            <w:r w:rsidR="004959B5" w:rsidRPr="00A3473B">
              <w:rPr>
                <w:rFonts w:ascii="Book Antiqua" w:eastAsia="Times New Roman" w:hAnsi="Book Antiqua" w:cs="Times New Roman"/>
                <w:b/>
                <w:color w:val="FF0000"/>
                <w:sz w:val="16"/>
                <w:szCs w:val="16"/>
                <w:u w:val="single"/>
                <w:lang w:eastAsia="pt-BR"/>
              </w:rPr>
              <w:t>(MPMS-2013)</w:t>
            </w:r>
            <w:r w:rsidR="004959B5" w:rsidRPr="00A3473B">
              <w:rPr>
                <w:rFonts w:ascii="Book Antiqua" w:eastAsia="Times New Roman" w:hAnsi="Book Antiqua" w:cs="Times New Roman"/>
                <w:b/>
                <w:color w:val="FF0000"/>
                <w:sz w:val="16"/>
                <w:szCs w:val="16"/>
                <w:lang w:eastAsia="pt-BR"/>
              </w:rPr>
              <w:t xml:space="preserve"> </w:t>
            </w:r>
            <w:r w:rsidR="004959B5" w:rsidRPr="00A3473B">
              <w:rPr>
                <w:rFonts w:ascii="Book Antiqua" w:eastAsia="Times New Roman" w:hAnsi="Book Antiqua"/>
                <w:b/>
                <w:color w:val="FF0000"/>
                <w:sz w:val="16"/>
                <w:szCs w:val="16"/>
                <w:u w:val="single"/>
                <w:lang w:eastAsia="pt-BR"/>
              </w:rPr>
              <w:t>(DPESP-2013)</w:t>
            </w:r>
            <w:r w:rsidR="004959B5" w:rsidRPr="00A3473B">
              <w:rPr>
                <w:rFonts w:ascii="Book Antiqua" w:eastAsia="Times New Roman" w:hAnsi="Book Antiqua" w:cs="Arial"/>
                <w:sz w:val="16"/>
                <w:szCs w:val="16"/>
                <w:lang w:eastAsia="pt-BR"/>
              </w:rPr>
              <w:t xml:space="preserve"> </w:t>
            </w:r>
            <w:r w:rsidR="004959B5" w:rsidRPr="00A3473B">
              <w:rPr>
                <w:rFonts w:ascii="Book Antiqua" w:eastAsia="Times New Roman" w:hAnsi="Book Antiqua" w:cs="Arial"/>
                <w:b/>
                <w:color w:val="FF0000"/>
                <w:sz w:val="16"/>
                <w:szCs w:val="16"/>
                <w:u w:val="single"/>
                <w:lang w:eastAsia="pt-BR"/>
              </w:rPr>
              <w:t>(TJPA-2014)</w:t>
            </w:r>
            <w:r w:rsidR="004959B5" w:rsidRPr="00A3473B">
              <w:rPr>
                <w:rFonts w:ascii="Book Antiqua" w:eastAsia="Times New Roman" w:hAnsi="Book Antiqua" w:cs="Arial"/>
                <w:b/>
                <w:color w:val="FF0000"/>
                <w:sz w:val="16"/>
                <w:szCs w:val="16"/>
                <w:lang w:eastAsia="pt-BR"/>
              </w:rPr>
              <w:t xml:space="preserve"> </w:t>
            </w:r>
            <w:r w:rsidR="004959B5" w:rsidRPr="00A3473B">
              <w:rPr>
                <w:rFonts w:ascii="Book Antiqua" w:eastAsia="Times New Roman" w:hAnsi="Book Antiqua" w:cs="Times New Roman"/>
                <w:b/>
                <w:color w:val="FF0000"/>
                <w:sz w:val="16"/>
                <w:szCs w:val="16"/>
                <w:u w:val="single"/>
                <w:lang w:eastAsia="pt-BR"/>
              </w:rPr>
              <w:t>(TJDFT-2014/2015)</w:t>
            </w:r>
            <w:r w:rsidR="004959B5" w:rsidRPr="00A3473B">
              <w:rPr>
                <w:rFonts w:ascii="Book Antiqua" w:eastAsia="Times New Roman" w:hAnsi="Book Antiqua" w:cs="Times New Roman"/>
                <w:b/>
                <w:color w:val="FF0000"/>
                <w:sz w:val="16"/>
                <w:szCs w:val="16"/>
                <w:lang w:eastAsia="pt-BR"/>
              </w:rPr>
              <w:t xml:space="preserve"> </w:t>
            </w:r>
            <w:r w:rsidR="004959B5" w:rsidRPr="00A3473B">
              <w:rPr>
                <w:rFonts w:ascii="Book Antiqua" w:eastAsia="Times New Roman" w:hAnsi="Book Antiqua" w:cs="Times New Roman"/>
                <w:b/>
                <w:color w:val="FF0000"/>
                <w:sz w:val="16"/>
                <w:szCs w:val="16"/>
                <w:u w:val="single"/>
                <w:lang w:eastAsia="pt-BR"/>
              </w:rPr>
              <w:t>(MPDFT-2015)</w:t>
            </w:r>
            <w:r w:rsidR="004959B5" w:rsidRPr="00A3473B">
              <w:rPr>
                <w:rFonts w:ascii="Book Antiqua" w:eastAsia="Times New Roman" w:hAnsi="Book Antiqua" w:cs="Times New Roman"/>
                <w:b/>
                <w:color w:val="FF0000"/>
                <w:sz w:val="16"/>
                <w:szCs w:val="16"/>
                <w:lang w:eastAsia="pt-BR"/>
              </w:rPr>
              <w:t xml:space="preserve"> </w:t>
            </w:r>
            <w:r w:rsidR="004959B5" w:rsidRPr="00A3473B">
              <w:rPr>
                <w:rFonts w:ascii="Book Antiqua" w:eastAsia="Times New Roman" w:hAnsi="Book Antiqua"/>
                <w:b/>
                <w:color w:val="FF0000"/>
                <w:sz w:val="16"/>
                <w:szCs w:val="16"/>
                <w:u w:val="single"/>
                <w:lang w:eastAsia="pt-BR"/>
              </w:rPr>
              <w:t>(DPEMT-2016)</w:t>
            </w:r>
            <w:r w:rsidR="004959B5" w:rsidRPr="00A3473B">
              <w:rPr>
                <w:rFonts w:ascii="Book Antiqua" w:eastAsia="Times New Roman" w:hAnsi="Book Antiqua" w:cs="Arial"/>
                <w:b/>
                <w:color w:val="FF0000"/>
                <w:sz w:val="16"/>
                <w:szCs w:val="16"/>
                <w:lang w:eastAsia="pt-BR"/>
              </w:rPr>
              <w:t xml:space="preserve"> </w:t>
            </w:r>
            <w:r w:rsidR="004959B5" w:rsidRPr="00A3473B">
              <w:rPr>
                <w:rFonts w:ascii="Book Antiqua" w:hAnsi="Book Antiqua" w:cs="Times New Roman"/>
                <w:b/>
                <w:color w:val="FF0000"/>
                <w:sz w:val="16"/>
                <w:szCs w:val="16"/>
                <w:u w:val="single"/>
              </w:rPr>
              <w:t>(TJPR-2017)</w:t>
            </w:r>
            <w:r w:rsidR="004959B5" w:rsidRPr="00A3473B">
              <w:rPr>
                <w:rFonts w:ascii="Book Antiqua" w:hAnsi="Book Antiqua" w:cs="Times New Roman"/>
                <w:b/>
                <w:color w:val="FF0000"/>
                <w:sz w:val="16"/>
                <w:szCs w:val="16"/>
              </w:rPr>
              <w:t xml:space="preserve"> </w:t>
            </w:r>
            <w:r w:rsidR="004959B5" w:rsidRPr="00A3473B">
              <w:rPr>
                <w:rFonts w:ascii="Book Antiqua" w:hAnsi="Book Antiqua"/>
                <w:b/>
                <w:color w:val="FF0000"/>
                <w:sz w:val="16"/>
                <w:szCs w:val="16"/>
                <w:u w:val="single"/>
              </w:rPr>
              <w:t>(TJAC-2019)</w:t>
            </w:r>
            <w:r w:rsidR="004959B5">
              <w:rPr>
                <w:rFonts w:ascii="Book Antiqua" w:hAnsi="Book Antiqua"/>
                <w:b/>
                <w:color w:val="FF0000"/>
                <w:sz w:val="16"/>
                <w:szCs w:val="16"/>
              </w:rPr>
              <w:t xml:space="preserve"> </w:t>
            </w:r>
            <w:r w:rsidR="004959B5">
              <w:rPr>
                <w:rFonts w:ascii="Book Antiqua" w:hAnsi="Book Antiqua" w:cs="Times New Roman"/>
                <w:b/>
                <w:color w:val="FF0000"/>
                <w:sz w:val="16"/>
                <w:szCs w:val="16"/>
                <w:u w:val="single"/>
              </w:rPr>
              <w:t>(MPTO-2022)</w:t>
            </w:r>
            <w:r w:rsidR="004959B5">
              <w:rPr>
                <w:rFonts w:ascii="Book Antiqua" w:hAnsi="Book Antiqua" w:cs="Times New Roman"/>
                <w:b/>
                <w:color w:val="FF0000"/>
                <w:sz w:val="16"/>
                <w:szCs w:val="16"/>
              </w:rPr>
              <w:t xml:space="preserve"> </w:t>
            </w:r>
            <w:r w:rsidR="004959B5">
              <w:rPr>
                <w:rFonts w:ascii="Book Antiqua" w:hAnsi="Book Antiqua" w:cs="Times New Roman"/>
                <w:b/>
                <w:color w:val="FF0000"/>
                <w:sz w:val="16"/>
                <w:szCs w:val="16"/>
                <w:u w:val="single"/>
              </w:rPr>
              <w:t>(Cartórios/TJSE-2023)</w:t>
            </w:r>
            <w:r w:rsidR="004959B5">
              <w:rPr>
                <w:rFonts w:ascii="Book Antiqua" w:hAnsi="Book Antiqua" w:cs="Times New Roman"/>
                <w:b/>
                <w:color w:val="FF0000"/>
                <w:sz w:val="16"/>
                <w:szCs w:val="16"/>
              </w:rPr>
              <w:t xml:space="preserve"> </w:t>
            </w:r>
            <w:r w:rsidR="004959B5">
              <w:rPr>
                <w:rFonts w:ascii="Book Antiqua" w:hAnsi="Book Antiqua" w:cs="Times New Roman"/>
                <w:b/>
                <w:color w:val="FF0000"/>
                <w:sz w:val="16"/>
                <w:szCs w:val="16"/>
                <w:u w:val="single"/>
              </w:rPr>
              <w:t>(Cartórios/TJPE-2024)</w:t>
            </w:r>
          </w:p>
        </w:tc>
      </w:tr>
    </w:tbl>
    <w:p w14:paraId="14C89180" w14:textId="77777777" w:rsidR="00734714" w:rsidRPr="003D543F" w:rsidRDefault="00734714" w:rsidP="00734714">
      <w:pPr>
        <w:spacing w:after="0" w:line="240" w:lineRule="auto"/>
        <w:ind w:firstLine="448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E5072" w:rsidRPr="003D543F" w14:paraId="072D7DFE" w14:textId="77777777" w:rsidTr="00DE5072">
        <w:tc>
          <w:tcPr>
            <w:tcW w:w="8494" w:type="dxa"/>
            <w:shd w:val="clear" w:color="auto" w:fill="CCFFFF"/>
          </w:tcPr>
          <w:p w14:paraId="1FAE98EC" w14:textId="7B849B88" w:rsidR="004959B5" w:rsidRDefault="004959B5" w:rsidP="004959B5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 xml:space="preserve">J e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Jurisprud</w:t>
            </w:r>
            <w:proofErr w:type="spellEnd"/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. Teses/STJ – Ed. 133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5A69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AC2F9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MPSC-2019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F67A5C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0734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DPERJ-2021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163248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MPTO-2022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A83E56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DPEPA-2022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FB797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DPESP-2023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25BFA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Cartórios/TJPE-2024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A83E56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7059B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0734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3105FB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 xml:space="preserve"> #</w:t>
            </w:r>
            <w:r w:rsidRPr="003105FB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:</w:t>
            </w:r>
            <w:r w:rsidRPr="003105FB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 xml:space="preserve"> </w:t>
            </w:r>
            <w:r w:rsidRPr="003105FB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 xml:space="preserve">Relativização dessa </w:t>
            </w:r>
            <w:r w:rsidRPr="00AC2F92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 xml:space="preserve">exigência: </w:t>
            </w:r>
            <w:r w:rsidRPr="00AC2F9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u w:val="single"/>
                <w:lang w:eastAsia="pt-BR"/>
              </w:rPr>
              <w:t>“(...) desde que seja o único daquela natureza a inventariar”</w:t>
            </w:r>
            <w:r w:rsidRPr="00AC2F92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, previsto no art. 1831 do CC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:</w:t>
            </w:r>
            <w:r w:rsidRPr="000D5F6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O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reconhecimento do direito real de habitação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a que se refere o art. 1.831 do CC,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pressupõe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a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inexistência de outros bens no patrimônio do cônjuge/companheiro sobrevivente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Em outras palavras, mesmo que o cônjuge ou companheiro sobrevivente possua outros bens, ele terá direito real de habitação. Isso se justifica porque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o objetivo da lei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é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permitir que o cônjuge/companheiro sobrevivente permaneça no mesmo imóvel familiar que residia ao tempo da morte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como forma,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apenas de concretizar o direito constitucional à moradia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mas 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também por razões de ordem humanitária e social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já que não se pode negar a existência de vínculo afetivo e psicológico estabelecido pelos cônjuges/companheiros com o imóvel em que, no transcurso de sua convivência, constituíram não somente residência, mas um lar. </w:t>
            </w:r>
            <w:r w:rsidRPr="000D5F62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STJ. 3ª T. REsp 1582178-RJ, Rel. Min. Ricardo Villas Bôas </w:t>
            </w:r>
            <w:proofErr w:type="spellStart"/>
            <w:r w:rsidRPr="000D5F62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Cueva</w:t>
            </w:r>
            <w:proofErr w:type="spellEnd"/>
            <w:r w:rsidRPr="000D5F62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, j. 11/9/18</w:t>
            </w: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(Info 633).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22E5A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#</w:t>
            </w:r>
            <w:r w:rsidRPr="00A22E5A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lang w:eastAsia="pt-BR"/>
              </w:rPr>
              <w:t>Jurisprud. Teses/STJ – Ed. 133 – Tese 10</w:t>
            </w:r>
            <w:r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 xml:space="preserve">: </w:t>
            </w:r>
            <w:r w:rsidRPr="003105FB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>A inexistência de outros bens imóveis no patrimônio de cônjuge/companheiro sobrevivente não é requisito para o reconhecimento do direito real de habitação.</w:t>
            </w:r>
          </w:p>
          <w:p w14:paraId="082D6862" w14:textId="77777777" w:rsidR="004959B5" w:rsidRPr="000D5F62" w:rsidRDefault="004959B5" w:rsidP="004959B5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</w:p>
          <w:p w14:paraId="55823324" w14:textId="510A387D" w:rsidR="004959B5" w:rsidRPr="004959B5" w:rsidRDefault="004959B5" w:rsidP="004959B5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0D5F6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 xml:space="preserve">Mesmo sentido do </w:t>
            </w:r>
            <w:proofErr w:type="spellStart"/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Enunc</w:t>
            </w:r>
            <w:proofErr w:type="spellEnd"/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. 117 do CJF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007E1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DPEMT-2016</w:t>
            </w:r>
            <w:r w:rsidRPr="000D5F6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0D5F62">
              <w:rPr>
                <w:rFonts w:ascii="Book Antiqua" w:hAnsi="Book Antiqua"/>
                <w:color w:val="333333"/>
                <w:sz w:val="19"/>
                <w:szCs w:val="19"/>
              </w:rPr>
              <w:t xml:space="preserve">O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shd w:val="clear" w:color="auto" w:fill="F7CAAC" w:themeFill="accent2" w:themeFillTint="66"/>
              </w:rPr>
              <w:t>CC</w:t>
            </w:r>
            <w:r w:rsidRPr="000D5F62">
              <w:rPr>
                <w:rFonts w:ascii="Book Antiqua" w:hAnsi="Book Antiqua"/>
                <w:color w:val="333333"/>
                <w:sz w:val="19"/>
                <w:szCs w:val="19"/>
              </w:rPr>
              <w:t xml:space="preserve">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highlight w:val="green"/>
              </w:rPr>
              <w:t>não revogou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highlight w:val="yellow"/>
              </w:rPr>
              <w:t>as disposições constantes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da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shd w:val="clear" w:color="auto" w:fill="F7CAAC" w:themeFill="accent2" w:themeFillTint="66"/>
              </w:rPr>
              <w:t>Lei 9.278/96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,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highlight w:val="yellow"/>
              </w:rPr>
              <w:t>subsistindo a norma que confere o direito real de habitação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ao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highlight w:val="green"/>
              </w:rPr>
              <w:t>companheiro sobrevivente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diante da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highlight w:val="yellow"/>
              </w:rPr>
              <w:t>omissão do Código Civil em disciplinar tal matéria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em relação aos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highlight w:val="green"/>
              </w:rPr>
              <w:t>conviventes em união estável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, consoante </w:t>
            </w:r>
            <w:r w:rsidRPr="000D5F62">
              <w:rPr>
                <w:rFonts w:ascii="Book Antiqua" w:hAnsi="Book Antiqua"/>
                <w:b/>
                <w:color w:val="333333"/>
                <w:sz w:val="19"/>
                <w:szCs w:val="19"/>
                <w:shd w:val="clear" w:color="auto" w:fill="F7CAAC" w:themeFill="accent2" w:themeFillTint="66"/>
              </w:rPr>
              <w:t>o princípio da especialidade</w:t>
            </w:r>
            <w:r w:rsidRPr="000D5F62">
              <w:rPr>
                <w:rFonts w:ascii="Book Antiqua" w:hAnsi="Book Antiqua"/>
                <w:color w:val="333333"/>
                <w:sz w:val="19"/>
                <w:szCs w:val="19"/>
              </w:rPr>
              <w:t xml:space="preserve">. STJ. 3ª T. </w:t>
            </w:r>
            <w:proofErr w:type="spellStart"/>
            <w:r w:rsidRPr="000D5F62">
              <w:rPr>
                <w:rFonts w:ascii="Book Antiqua" w:hAnsi="Book Antiqua"/>
                <w:color w:val="333333"/>
                <w:sz w:val="19"/>
                <w:szCs w:val="19"/>
              </w:rPr>
              <w:t>AgRg</w:t>
            </w:r>
            <w:proofErr w:type="spellEnd"/>
            <w:r w:rsidRPr="000D5F62">
              <w:rPr>
                <w:rFonts w:ascii="Book Antiqua" w:hAnsi="Book Antiqua"/>
                <w:color w:val="333333"/>
                <w:sz w:val="19"/>
                <w:szCs w:val="19"/>
              </w:rPr>
              <w:t xml:space="preserve"> no REsp 1436350/RS, Rel. Min. Paulo de Tarso </w:t>
            </w:r>
            <w:proofErr w:type="spellStart"/>
            <w:r w:rsidRPr="000D5F62">
              <w:rPr>
                <w:rFonts w:ascii="Book Antiqua" w:hAnsi="Book Antiqua"/>
                <w:color w:val="333333"/>
                <w:sz w:val="19"/>
                <w:szCs w:val="19"/>
              </w:rPr>
              <w:t>Sanseverino</w:t>
            </w:r>
            <w:proofErr w:type="spellEnd"/>
            <w:r w:rsidRPr="000D5F62">
              <w:rPr>
                <w:rFonts w:ascii="Book Antiqua" w:hAnsi="Book Antiqua"/>
                <w:color w:val="333333"/>
                <w:sz w:val="19"/>
                <w:szCs w:val="19"/>
              </w:rPr>
              <w:t>, j. 12/4/16.</w:t>
            </w:r>
          </w:p>
          <w:p w14:paraId="772D4B4C" w14:textId="77777777" w:rsidR="004959B5" w:rsidRPr="003D543F" w:rsidRDefault="004959B5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2F5BBF35" w14:textId="7D6B8176" w:rsidR="004E246F" w:rsidRPr="003D543F" w:rsidRDefault="004E246F" w:rsidP="004E246F">
            <w:pPr>
              <w:jc w:val="both"/>
              <w:rPr>
                <w:rFonts w:eastAsia="Times New Roman" w:cs="Times New Roman"/>
                <w:color w:val="000000"/>
                <w:sz w:val="19"/>
                <w:szCs w:val="19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4959B5" w:rsidRPr="00293B1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TJPA-2014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293B1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TJDFT-2015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4969E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MPDFT-2015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293B1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TJRS-2016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9A5118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DPEPE-2018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405B3C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MPTO-2022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293B1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293B1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3D543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Ainda que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o companheiro supérstite não tenha buscado em ação própria o reconhecimento da união estável antes do falecimento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é admissível que invoque o direito real de habitação em ação possessória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 fim de ser mantido na posse do imóvel em que residia com o falecido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O direito real de habitação é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>ex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 xml:space="preserve"> vi legis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(por força de lei) decorrente do direito sucessório e, ao contrário do direito instituído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>inter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 xml:space="preserve"> vivos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necessita ser registrado no Cartório de Registro de Imóveis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Assim sendo,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é plenamente possível a arguição desse direito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fins exclusivamente possessórios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até porque,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entender de forma diversa seria negar proteção justamente à pessoa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para o qual o instituto foi desenvolvido e em momento pelo qual ele é o mais efetivo. </w:t>
            </w:r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STJ. 4ª Turma. REsp 1.203.144-RS, Rel. Min.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Luis</w:t>
            </w:r>
            <w:proofErr w:type="spellEnd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Felipe Salomão, j. 27/5/14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(Info 543).</w:t>
            </w:r>
          </w:p>
          <w:p w14:paraId="6DC31EE1" w14:textId="77777777" w:rsidR="00417B07" w:rsidRPr="003D543F" w:rsidRDefault="00417B07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14ED8A2A" w14:textId="769C51EE" w:rsidR="00336E5E" w:rsidRDefault="00A51ADD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TJDFT-2014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TJPA-2014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4969E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MPDFT-2015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110E3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DPERJ-2021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405B3C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MPTO-2022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FB797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DPESP-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2013/</w:t>
            </w:r>
            <w:r w:rsidR="004959B5" w:rsidRPr="00FB797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2023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3105FB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Cartórios/TJSE-2023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4959B5" w:rsidRPr="00B05206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4959B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110E3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959B5"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="004959B5" w:rsidRPr="000D5F6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 w:rsidR="00336E5E" w:rsidRPr="003D543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A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companheira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faz jus ao direito real de habitação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(art. 1.831 do CC)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sobre o imóvel no qual convivia com o companheiro falecido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ainda que tenha adquirido outro imóvel residencial com o dinheiro recebido do seguro de vida do de cujus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De fato, o art. 1.831 do CC reconhece ao cônjuge sobrevivente, qualquer que seja o regime de bens, sem prejuízo da participação que lhe caiba na herança, o direito real de habitação relativamente ao imóvel destinado à residência da família, desde que seja o único daquela natureza a inventariar,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silenciando quanto à extensão desse direito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ao companheiro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No entanto,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 regra contida no art. 226, § 3º, da CF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que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reconhece a união estável entre o homem e a mulher como entidade familiar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devendo a lei facilitar sua conversão em casamento,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é norma de inclusão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sendo contrária ao seu espírito a tentativa de lhe extrair efeitos discriminatórios entre cônjuge e companheiro. Assim sendo, 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lastRenderedPageBreak/>
              <w:t>direto real de habitação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contido no art. 1.831 do CC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deve ser aplicado também ao companheiro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(REsp 821.660-DF, 3ª Turma, </w:t>
            </w:r>
            <w:proofErr w:type="spellStart"/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DJe</w:t>
            </w:r>
            <w:proofErr w:type="spellEnd"/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17/6/11). Além do mais,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o fato de a companheira ter adquirido outro imóvel residencial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com o dinheiro recebido pelo seguro de vida do de cujus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não resulta exclusão do direito real de habitação referente ao imóvel em que residia com seu companheiro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ao tempo da abertura da sucessão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uma vez que,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segundo o art. 794 do CC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no seguro de vida, para o caso de morte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capital estipulado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está sujeito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às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dívidas do segurado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nem se considera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herança para todos os efeitos de direito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Dessa forma, se 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dinheiro do seguro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se insere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no patrimônio do de cujus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há falar em restrição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ao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direito real de habitação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porquanto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o imóvel adquirido pela companheira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não faz parte dos bens a inventariar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</w:t>
            </w:r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STJ. 4ª T. REsp 1.249.227-SC, Rel. Min. </w:t>
            </w:r>
            <w:proofErr w:type="spellStart"/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Luis</w:t>
            </w:r>
            <w:proofErr w:type="spellEnd"/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Felipe Salomão, j. 17/12/13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(Info 533).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51ADD" w14:paraId="2F258E85" w14:textId="77777777" w:rsidTr="00A51ADD">
              <w:tc>
                <w:tcPr>
                  <w:tcW w:w="8268" w:type="dxa"/>
                  <w:shd w:val="clear" w:color="auto" w:fill="FFFFFF" w:themeFill="background1"/>
                </w:tcPr>
                <w:p w14:paraId="20C48B6D" w14:textId="45A064F2" w:rsidR="00A51ADD" w:rsidRDefault="00A51ADD" w:rsidP="00DE5072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9"/>
                      <w:szCs w:val="19"/>
                      <w:lang w:eastAsia="pt-BR"/>
                    </w:rPr>
                  </w:pP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>(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  <w:highlight w:val="yellow"/>
                    </w:rPr>
                    <w:t>TJPA-2014-VUNESP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>)</w:t>
                  </w:r>
                  <w:r w:rsidRPr="00A51ADD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Quanto à companheira sobrevivente que adquiriu imóvel próprio e o direito real de habitação no qual convivia com companheiro falecido, assinale a alternativa correta: A companheira sobrevivente faz jus ao direito real de habitação sobre o imóvel no qual convivia com o companheiro falecido. 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 xml:space="preserve">BL: art. 1831, CC; art. 7º </w:t>
                  </w:r>
                  <w:proofErr w:type="gramStart"/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 xml:space="preserve">da </w:t>
                  </w:r>
                  <w:r w:rsidRPr="00A51ADD">
                    <w:rPr>
                      <w:sz w:val="18"/>
                      <w:szCs w:val="18"/>
                    </w:rPr>
                    <w:t xml:space="preserve"> 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>Lei</w:t>
                  </w:r>
                  <w:proofErr w:type="gramEnd"/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 xml:space="preserve"> 9287/</w:t>
                  </w:r>
                  <w:proofErr w:type="gramStart"/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>96  e</w:t>
                  </w:r>
                  <w:proofErr w:type="gramEnd"/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 xml:space="preserve"> Info 533, STJ.</w:t>
                  </w:r>
                </w:p>
              </w:tc>
            </w:tr>
          </w:tbl>
          <w:p w14:paraId="077F8E74" w14:textId="77777777" w:rsidR="00A51ADD" w:rsidRDefault="00A51ADD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71849AA4" w14:textId="4A06743E" w:rsidR="00A51ADD" w:rsidRPr="003D543F" w:rsidRDefault="00A51ADD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</w:tc>
      </w:tr>
    </w:tbl>
    <w:p w14:paraId="774728DA" w14:textId="77777777" w:rsidR="00CB0A0C" w:rsidRPr="003D543F" w:rsidRDefault="00CB0A0C" w:rsidP="00CB0A0C">
      <w:pPr>
        <w:spacing w:after="0" w:line="240" w:lineRule="auto"/>
        <w:ind w:firstLine="482"/>
        <w:jc w:val="both"/>
        <w:rPr>
          <w:rFonts w:ascii="Book Antiqua" w:eastAsia="Times New Roman" w:hAnsi="Book Antiqua" w:cs="Times New Roman"/>
          <w:b/>
          <w:color w:val="000000"/>
          <w:sz w:val="19"/>
          <w:szCs w:val="19"/>
          <w:u w:val="single"/>
          <w:lang w:eastAsia="pt-BR"/>
        </w:rPr>
      </w:pPr>
      <w:bookmarkStart w:id="10" w:name="art8"/>
      <w:bookmarkEnd w:id="10"/>
    </w:p>
    <w:p w14:paraId="7C4C909F" w14:textId="1A5D046C" w:rsidR="005179A1" w:rsidRPr="004959B5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86F8D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8°</w:t>
      </w:r>
      <w:r w:rsidRPr="00586F8D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Os conviventes poderão, de comum acordo e a qualquer tempo, requerer a conversão da união estável em casamento, por requerimento ao Oficial do Registro Civil da Circunscrição de seu domicílio</w:t>
      </w:r>
      <w:r w:rsidRPr="004959B5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586F8D" w:rsidRPr="004959B5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586F8D" w:rsidRPr="004959B5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(Cartórios/TJPI-2013)</w:t>
      </w:r>
    </w:p>
    <w:p w14:paraId="20550BEA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" w:name="art9"/>
      <w:bookmarkEnd w:id="11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9° Toda a matéria relativa à união estável é de competência do juízo da Vara de Família, assegurado o segredo de justiça.</w:t>
      </w:r>
    </w:p>
    <w:p w14:paraId="79B6D610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10"/>
      <w:bookmarkEnd w:id="12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10. Esta Lei entra em vigor na data de sua publicação.</w:t>
      </w:r>
    </w:p>
    <w:p w14:paraId="763F1DA5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" w:name="art11"/>
      <w:bookmarkEnd w:id="13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11. Revogam-se as disposições em contrário.</w:t>
      </w:r>
    </w:p>
    <w:p w14:paraId="6E612A44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Brasília, 10 de maio de 1996; 175º da Independência e 108º da República.</w:t>
      </w:r>
    </w:p>
    <w:p w14:paraId="209F5F20" w14:textId="77777777" w:rsidR="005179A1" w:rsidRPr="003D543F" w:rsidRDefault="005179A1" w:rsidP="005179A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FERNANDO HENRIQUE CARDOSO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3D543F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Milton Seligman</w:t>
      </w:r>
    </w:p>
    <w:p w14:paraId="1D11222C" w14:textId="77777777" w:rsidR="005179A1" w:rsidRPr="003D543F" w:rsidRDefault="005179A1" w:rsidP="005179A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13.5.1996</w:t>
      </w:r>
    </w:p>
    <w:p w14:paraId="675343EB" w14:textId="36A93122" w:rsidR="009129AB" w:rsidRPr="003D543F" w:rsidRDefault="005179A1" w:rsidP="003D543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sectPr w:rsidR="009129AB" w:rsidRPr="003D543F" w:rsidSect="003D426E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47AA9" w14:textId="77777777" w:rsidR="000A7FB3" w:rsidRDefault="000A7FB3" w:rsidP="00E31A17">
      <w:pPr>
        <w:spacing w:after="0" w:line="240" w:lineRule="auto"/>
      </w:pPr>
      <w:r>
        <w:separator/>
      </w:r>
    </w:p>
  </w:endnote>
  <w:endnote w:type="continuationSeparator" w:id="0">
    <w:p w14:paraId="2EFF955F" w14:textId="77777777" w:rsidR="000A7FB3" w:rsidRDefault="000A7FB3" w:rsidP="00E31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25A55" w14:textId="77777777" w:rsidR="000A7FB3" w:rsidRDefault="000A7FB3" w:rsidP="00E31A17">
      <w:pPr>
        <w:spacing w:after="0" w:line="240" w:lineRule="auto"/>
      </w:pPr>
      <w:r>
        <w:separator/>
      </w:r>
    </w:p>
  </w:footnote>
  <w:footnote w:type="continuationSeparator" w:id="0">
    <w:p w14:paraId="2296801A" w14:textId="77777777" w:rsidR="000A7FB3" w:rsidRDefault="000A7FB3" w:rsidP="00E31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564E5C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125330">
    <w:abstractNumId w:val="2"/>
  </w:num>
  <w:num w:numId="2" w16cid:durableId="1947498587">
    <w:abstractNumId w:val="1"/>
  </w:num>
  <w:num w:numId="3" w16cid:durableId="94936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4BF"/>
    <w:rsid w:val="000A7FB3"/>
    <w:rsid w:val="001F2697"/>
    <w:rsid w:val="0029208F"/>
    <w:rsid w:val="002D087F"/>
    <w:rsid w:val="00336E5E"/>
    <w:rsid w:val="00382E43"/>
    <w:rsid w:val="003D426E"/>
    <w:rsid w:val="003D543F"/>
    <w:rsid w:val="00412867"/>
    <w:rsid w:val="00417896"/>
    <w:rsid w:val="00417B07"/>
    <w:rsid w:val="004428C6"/>
    <w:rsid w:val="004959B5"/>
    <w:rsid w:val="004E246F"/>
    <w:rsid w:val="005179A1"/>
    <w:rsid w:val="00566A55"/>
    <w:rsid w:val="00586F8D"/>
    <w:rsid w:val="005B1D5D"/>
    <w:rsid w:val="006966E5"/>
    <w:rsid w:val="00734714"/>
    <w:rsid w:val="007A2021"/>
    <w:rsid w:val="00851F84"/>
    <w:rsid w:val="0085493C"/>
    <w:rsid w:val="008D46DE"/>
    <w:rsid w:val="009129AB"/>
    <w:rsid w:val="009572D0"/>
    <w:rsid w:val="00992CCC"/>
    <w:rsid w:val="009D59D1"/>
    <w:rsid w:val="00A51ADD"/>
    <w:rsid w:val="00A8212B"/>
    <w:rsid w:val="00AB2EA9"/>
    <w:rsid w:val="00AE12B4"/>
    <w:rsid w:val="00B30BBA"/>
    <w:rsid w:val="00BB22A3"/>
    <w:rsid w:val="00CB0A0C"/>
    <w:rsid w:val="00D02A02"/>
    <w:rsid w:val="00DE5072"/>
    <w:rsid w:val="00E31A17"/>
    <w:rsid w:val="00E534BF"/>
    <w:rsid w:val="00F00BAF"/>
    <w:rsid w:val="00F04EDB"/>
    <w:rsid w:val="00F50C31"/>
    <w:rsid w:val="00F5293F"/>
    <w:rsid w:val="00F7390B"/>
    <w:rsid w:val="00F7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3C475"/>
  <w15:chartTrackingRefBased/>
  <w15:docId w15:val="{45763A61-E8BE-4345-85C2-5484FFCA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1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A17"/>
  </w:style>
  <w:style w:type="paragraph" w:styleId="Rodap">
    <w:name w:val="footer"/>
    <w:basedOn w:val="Normal"/>
    <w:link w:val="RodapChar"/>
    <w:uiPriority w:val="99"/>
    <w:unhideWhenUsed/>
    <w:rsid w:val="00E31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A17"/>
  </w:style>
  <w:style w:type="table" w:styleId="Tabelacomgrade">
    <w:name w:val="Table Grid"/>
    <w:basedOn w:val="Tabelanormal"/>
    <w:uiPriority w:val="39"/>
    <w:rsid w:val="00DE5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12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Mensagem_Veto/anterior_98/VEP-LEI-9278-199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9.278-1996?OpenDocu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1501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65</cp:revision>
  <dcterms:created xsi:type="dcterms:W3CDTF">2015-05-02T18:15:00Z</dcterms:created>
  <dcterms:modified xsi:type="dcterms:W3CDTF">2026-01-04T16:35:00Z</dcterms:modified>
</cp:coreProperties>
</file>