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2F81"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CONVENÇÃO Nº 162</w:t>
      </w:r>
    </w:p>
    <w:p w14:paraId="38313C29"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CONVENÇÃO SOBRE A UTILIZAÇÃO DO ASBESTO COM SEGURANÇA</w:t>
      </w:r>
    </w:p>
    <w:p w14:paraId="7AF46B4A"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A Conferência Geral da Organização Internacional do Trabalho,</w:t>
      </w:r>
    </w:p>
    <w:p w14:paraId="57FC1D7E"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Convocada em Genebra pelo Conselho Administrativo da Repartição Internacional do Trabalho e tendo ali se reunido a 4 de junho de 1986, em sua septuagésima segunda Sessão;</w:t>
      </w:r>
    </w:p>
    <w:p w14:paraId="0915FB2E"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 xml:space="preserve">Observando o disposto nas Convenções e a Recomendações Relativas ao Trabalho, em particular a Convenção e a Recomendação sobre o Câncer Profissional, 1974; a Convenção e a Recomendação sobre o ambiente do Trabalho (poluição do ar, ruído e vibrações), 1977; a Convenção e a Recomendação sobre a Segurança e a Saúde dos Trabalhadores, 1981; a Convenção e a Recomendação sobre os Serviços de Saúde no Trabalho, 1985; a Lista de Doenças Profissionais, conforme revista em 1980, anexo à Convenção sobre Indenizações em Caso de Acidentes de Trabalho e de doenças Profissionais, 1964, bem como o </w:t>
      </w:r>
      <w:proofErr w:type="spellStart"/>
      <w:r w:rsidRPr="00203160">
        <w:rPr>
          <w:rFonts w:ascii="Book Antiqua" w:hAnsi="Book Antiqua"/>
          <w:sz w:val="19"/>
          <w:szCs w:val="19"/>
        </w:rPr>
        <w:t>Racueil</w:t>
      </w:r>
      <w:proofErr w:type="spellEnd"/>
      <w:r w:rsidRPr="00203160">
        <w:rPr>
          <w:rFonts w:ascii="Book Antiqua" w:hAnsi="Book Antiqua"/>
          <w:sz w:val="19"/>
          <w:szCs w:val="19"/>
        </w:rPr>
        <w:t xml:space="preserve"> de </w:t>
      </w:r>
      <w:proofErr w:type="spellStart"/>
      <w:r w:rsidRPr="00203160">
        <w:rPr>
          <w:rFonts w:ascii="Book Antiqua" w:hAnsi="Book Antiqua"/>
          <w:sz w:val="19"/>
          <w:szCs w:val="19"/>
        </w:rPr>
        <w:t>directives</w:t>
      </w:r>
      <w:proofErr w:type="spellEnd"/>
      <w:r w:rsidRPr="00203160">
        <w:rPr>
          <w:rFonts w:ascii="Book Antiqua" w:hAnsi="Book Antiqua"/>
          <w:sz w:val="19"/>
          <w:szCs w:val="19"/>
        </w:rPr>
        <w:t xml:space="preserve"> pratiques </w:t>
      </w:r>
      <w:proofErr w:type="spellStart"/>
      <w:r w:rsidRPr="00203160">
        <w:rPr>
          <w:rFonts w:ascii="Book Antiqua" w:hAnsi="Book Antiqua"/>
          <w:sz w:val="19"/>
          <w:szCs w:val="19"/>
        </w:rPr>
        <w:t>sur</w:t>
      </w:r>
      <w:proofErr w:type="spellEnd"/>
      <w:r w:rsidRPr="00203160">
        <w:rPr>
          <w:rFonts w:ascii="Book Antiqua" w:hAnsi="Book Antiqua"/>
          <w:sz w:val="19"/>
          <w:szCs w:val="19"/>
        </w:rPr>
        <w:t xml:space="preserve"> </w:t>
      </w:r>
      <w:proofErr w:type="spellStart"/>
      <w:r w:rsidRPr="00203160">
        <w:rPr>
          <w:rFonts w:ascii="Book Antiqua" w:hAnsi="Book Antiqua"/>
          <w:sz w:val="19"/>
          <w:szCs w:val="19"/>
        </w:rPr>
        <w:t>la</w:t>
      </w:r>
      <w:proofErr w:type="spellEnd"/>
      <w:r w:rsidRPr="00203160">
        <w:rPr>
          <w:rFonts w:ascii="Book Antiqua" w:hAnsi="Book Antiqua"/>
          <w:sz w:val="19"/>
          <w:szCs w:val="19"/>
        </w:rPr>
        <w:t xml:space="preserve"> </w:t>
      </w:r>
      <w:proofErr w:type="spellStart"/>
      <w:r w:rsidRPr="00203160">
        <w:rPr>
          <w:rFonts w:ascii="Book Antiqua" w:hAnsi="Book Antiqua"/>
          <w:sz w:val="19"/>
          <w:szCs w:val="19"/>
        </w:rPr>
        <w:t>sécurité</w:t>
      </w:r>
      <w:proofErr w:type="spellEnd"/>
      <w:r w:rsidRPr="00203160">
        <w:rPr>
          <w:rFonts w:ascii="Book Antiqua" w:hAnsi="Book Antiqua"/>
          <w:sz w:val="19"/>
          <w:szCs w:val="19"/>
        </w:rPr>
        <w:t xml:space="preserve"> </w:t>
      </w:r>
      <w:proofErr w:type="spellStart"/>
      <w:r w:rsidRPr="00203160">
        <w:rPr>
          <w:rFonts w:ascii="Book Antiqua" w:hAnsi="Book Antiqua"/>
          <w:sz w:val="19"/>
          <w:szCs w:val="19"/>
        </w:rPr>
        <w:t>dans</w:t>
      </w:r>
      <w:proofErr w:type="spellEnd"/>
      <w:r w:rsidRPr="00203160">
        <w:rPr>
          <w:rFonts w:ascii="Book Antiqua" w:hAnsi="Book Antiqua"/>
          <w:sz w:val="19"/>
          <w:szCs w:val="19"/>
        </w:rPr>
        <w:t xml:space="preserve"> 1 </w:t>
      </w:r>
      <w:proofErr w:type="spellStart"/>
      <w:r w:rsidRPr="00203160">
        <w:rPr>
          <w:rFonts w:ascii="Book Antiqua" w:hAnsi="Book Antiqua"/>
          <w:sz w:val="19"/>
          <w:szCs w:val="19"/>
        </w:rPr>
        <w:t>utilisation</w:t>
      </w:r>
      <w:proofErr w:type="spellEnd"/>
      <w:r w:rsidRPr="00203160">
        <w:rPr>
          <w:rFonts w:ascii="Book Antiqua" w:hAnsi="Book Antiqua"/>
          <w:sz w:val="19"/>
          <w:szCs w:val="19"/>
        </w:rPr>
        <w:t xml:space="preserve"> de </w:t>
      </w:r>
      <w:proofErr w:type="spellStart"/>
      <w:r w:rsidRPr="00203160">
        <w:rPr>
          <w:rFonts w:ascii="Book Antiqua" w:hAnsi="Book Antiqua"/>
          <w:sz w:val="19"/>
          <w:szCs w:val="19"/>
        </w:rPr>
        <w:t>l'amiante</w:t>
      </w:r>
      <w:proofErr w:type="spellEnd"/>
      <w:r w:rsidRPr="00203160">
        <w:rPr>
          <w:rFonts w:ascii="Book Antiqua" w:hAnsi="Book Antiqua"/>
          <w:sz w:val="19"/>
          <w:szCs w:val="19"/>
        </w:rPr>
        <w:t>, publicado pela Repartição Internacional do Trabalho em 1984, que estabelecem os princípios de uma política e da ação em nível nacional;</w:t>
      </w:r>
    </w:p>
    <w:p w14:paraId="7A731832"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Após ter decidido adotar diversas propostas concernentes à segurança no emprego do amianto, questão que constituiu o quarto ponto da agenda da sessão;</w:t>
      </w:r>
    </w:p>
    <w:p w14:paraId="2C741E17"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Após ter decidido que essas propostas deveriam tomar a forma de uma Convenção Internacional,</w:t>
      </w:r>
    </w:p>
    <w:p w14:paraId="5E3D7DF9" w14:textId="77777777" w:rsidR="00203160" w:rsidRPr="00203160" w:rsidRDefault="00203160" w:rsidP="00203160">
      <w:pPr>
        <w:spacing w:before="100" w:beforeAutospacing="1" w:after="100" w:afterAutospacing="1" w:line="240" w:lineRule="auto"/>
        <w:ind w:firstLine="567"/>
        <w:jc w:val="both"/>
        <w:rPr>
          <w:rFonts w:ascii="Book Antiqua" w:hAnsi="Book Antiqua"/>
          <w:sz w:val="19"/>
          <w:szCs w:val="19"/>
        </w:rPr>
      </w:pPr>
      <w:r w:rsidRPr="00203160">
        <w:rPr>
          <w:rFonts w:ascii="Book Antiqua" w:hAnsi="Book Antiqua"/>
          <w:sz w:val="19"/>
          <w:szCs w:val="19"/>
        </w:rPr>
        <w:t>Adota neste vigésimo quarto dia do mês de junho de mil novecentos e oitenta e seis, a seguinte Convenção, que será denominada Convenção sobre o Amianto em 1986.</w:t>
      </w:r>
    </w:p>
    <w:p w14:paraId="1795FFD5"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PARTE I</w:t>
      </w:r>
    </w:p>
    <w:p w14:paraId="70844FA4"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Definições e Campo de Aplicação</w:t>
      </w:r>
    </w:p>
    <w:p w14:paraId="7E4C0CDA"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1º</w:t>
      </w:r>
    </w:p>
    <w:p w14:paraId="03D4CF52"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presente Convenção se aplica a todas as atividades que impliquem a exposição de trabalhadores ao amianto durante o desempenho das suas tarefas.</w:t>
      </w:r>
    </w:p>
    <w:p w14:paraId="39BF059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2 - Um Membro que ratifique a presente Convenção pode, após consulta </w:t>
      </w:r>
      <w:proofErr w:type="gramStart"/>
      <w:r w:rsidRPr="00203160">
        <w:rPr>
          <w:rFonts w:ascii="Book Antiqua" w:hAnsi="Book Antiqua"/>
          <w:sz w:val="19"/>
          <w:szCs w:val="19"/>
        </w:rPr>
        <w:t>à</w:t>
      </w:r>
      <w:proofErr w:type="gramEnd"/>
      <w:r w:rsidRPr="00203160">
        <w:rPr>
          <w:rFonts w:ascii="Book Antiqua" w:hAnsi="Book Antiqua"/>
          <w:sz w:val="19"/>
          <w:szCs w:val="19"/>
        </w:rPr>
        <w:t xml:space="preserve"> organizações mais representativas de empregadores e de empregados interessadas, e com base em uma avaliação dos riscos existentes para a saúde, bem como das medidas de segurança aplicadas, excluir ramos específicos da atividade econômica de certas empresas do âmbito de aplicação de determinados dispositivos da Convenção, desde que se certifiquem que a aplicação deles aqueles ramos ou àquelas empresas não é necessária.</w:t>
      </w:r>
    </w:p>
    <w:p w14:paraId="391C5101"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3 - Quando decidir pela exclusão de ramos específicos da atividade econômica ou de certas empresas, a autoridade competente deverá ter em conta a </w:t>
      </w:r>
      <w:proofErr w:type="spellStart"/>
      <w:r w:rsidRPr="00203160">
        <w:rPr>
          <w:rFonts w:ascii="Book Antiqua" w:hAnsi="Book Antiqua"/>
          <w:sz w:val="19"/>
          <w:szCs w:val="19"/>
        </w:rPr>
        <w:t>freqüência</w:t>
      </w:r>
      <w:proofErr w:type="spellEnd"/>
      <w:r w:rsidRPr="00203160">
        <w:rPr>
          <w:rFonts w:ascii="Book Antiqua" w:hAnsi="Book Antiqua"/>
          <w:sz w:val="19"/>
          <w:szCs w:val="19"/>
        </w:rPr>
        <w:t>, a duração e o nível da exposição, bem como o tipo de trabalho e as condições existentes no local de trabalho.</w:t>
      </w:r>
    </w:p>
    <w:p w14:paraId="083B5392"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2º</w:t>
      </w:r>
    </w:p>
    <w:p w14:paraId="47FF4E9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Para fins da presente Convenção:</w:t>
      </w:r>
    </w:p>
    <w:p w14:paraId="59CA9BDA"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a) o termo "amianto" refere-se à forma fibrosa dos silicatos minerais que pertencem às rochas metamórficas do grupo das serpentinas, </w:t>
      </w:r>
      <w:proofErr w:type="gramStart"/>
      <w:r w:rsidRPr="00203160">
        <w:rPr>
          <w:rFonts w:ascii="Book Antiqua" w:hAnsi="Book Antiqua"/>
          <w:sz w:val="19"/>
          <w:szCs w:val="19"/>
        </w:rPr>
        <w:t>ou seja</w:t>
      </w:r>
      <w:proofErr w:type="gramEnd"/>
      <w:r w:rsidRPr="00203160">
        <w:rPr>
          <w:rFonts w:ascii="Book Antiqua" w:hAnsi="Book Antiqua"/>
          <w:sz w:val="19"/>
          <w:szCs w:val="19"/>
        </w:rPr>
        <w:t xml:space="preserve"> a crisotila (amianto branco), e do grupo das anfíbolas, isto é, a </w:t>
      </w:r>
      <w:proofErr w:type="spellStart"/>
      <w:r w:rsidRPr="00203160">
        <w:rPr>
          <w:rFonts w:ascii="Book Antiqua" w:hAnsi="Book Antiqua"/>
          <w:sz w:val="19"/>
          <w:szCs w:val="19"/>
        </w:rPr>
        <w:t>actinolita</w:t>
      </w:r>
      <w:proofErr w:type="spellEnd"/>
      <w:r w:rsidRPr="00203160">
        <w:rPr>
          <w:rFonts w:ascii="Book Antiqua" w:hAnsi="Book Antiqua"/>
          <w:sz w:val="19"/>
          <w:szCs w:val="19"/>
        </w:rPr>
        <w:t>, a amosita (amianto azul), a tremolita, ou todo composto que contenha um ou mais desses elementos minerais;</w:t>
      </w:r>
    </w:p>
    <w:p w14:paraId="75037882"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b) a expressão "pó de amianto" refere-se às partículas de amianto em suspensão no ar ou as partículas de amianto em repouso, suscetíveis de ficarem em suspensão no ar nos locais de trabalho;</w:t>
      </w:r>
    </w:p>
    <w:p w14:paraId="3F2138D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lastRenderedPageBreak/>
        <w:t>c) a expressão "pó de amianto no ar" refere-se, para fins de medição, às partículas de poeira medidas por meio de uma avaliação gravimétrica ou por outro método equivalente;</w:t>
      </w:r>
    </w:p>
    <w:p w14:paraId="13C0F027"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d) a expressão "partículas respiráveis de amianto" refere-se </w:t>
      </w:r>
      <w:proofErr w:type="gramStart"/>
      <w:r w:rsidRPr="00203160">
        <w:rPr>
          <w:rFonts w:ascii="Book Antiqua" w:hAnsi="Book Antiqua"/>
          <w:sz w:val="19"/>
          <w:szCs w:val="19"/>
        </w:rPr>
        <w:t>à</w:t>
      </w:r>
      <w:proofErr w:type="gramEnd"/>
      <w:r w:rsidRPr="00203160">
        <w:rPr>
          <w:rFonts w:ascii="Book Antiqua" w:hAnsi="Book Antiqua"/>
          <w:sz w:val="19"/>
          <w:szCs w:val="19"/>
        </w:rPr>
        <w:t xml:space="preserve"> fibras de amianto cujo diâmetro seja inferior a 3 nanômetros e cuja relação comprimento/diâmetro seja superior a 3:1. Somente as fibras de comprimento superior a 5 nanômetros serão levadas em conta para fins de mensuração;</w:t>
      </w:r>
    </w:p>
    <w:p w14:paraId="3889141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e) a expressão "exposição de amianto" refere-se ao fato de ser exposto, durante o trabalho, às fibras respiráveis de amianto ou ao pó de amianto em suspensão no ar, independentemente de essas fibras ou esse pó provirem do amianto ou de minérios, materiais ou produtos que contenham amianto;</w:t>
      </w:r>
    </w:p>
    <w:p w14:paraId="478B2A3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f) a expressão "os trabalhadores" abrange os membros de cooperativas de produção;</w:t>
      </w:r>
    </w:p>
    <w:p w14:paraId="03217AA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g) a expressão "representantes dos trabalhadores" refere-se aos representantes dos trabalhadores reconhecidos como tal pela legislação, ou prática nacionais, conforme a Convenção Relativa aos Representantes dos Trabalhadores, 1971.</w:t>
      </w:r>
    </w:p>
    <w:p w14:paraId="18BC6870"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PARTE II</w:t>
      </w:r>
    </w:p>
    <w:p w14:paraId="0EFF44B1"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Princípios Gerais</w:t>
      </w:r>
    </w:p>
    <w:p w14:paraId="42D6F916"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3º</w:t>
      </w:r>
    </w:p>
    <w:p w14:paraId="4BCDBE92"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legislação nacional deve prescrever as medidas a serem tomadas para prevenir e controlar os riscos, para a saúde, oriundos da exposição profissional ao amianto, bem como para proteger os trabalhadores contra tais riscos.</w:t>
      </w:r>
    </w:p>
    <w:p w14:paraId="4986116E"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legislação nacional, adotada em virtude da aplicação do parágrafo 1 do presente Artigo deverá ser submetida a revisão periódica, à luz do desenvolvimento técnico e do aumento do conhecimento científico.</w:t>
      </w:r>
    </w:p>
    <w:p w14:paraId="313C5B6D"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A autoridade competente poderá suspender, temporariamente, as medidas prescritas em virtude do parágrafo 1 do presente Artigo, segundo condições e prazos a serem fixados após consulta às organizações mais representativas dos empregadores e dos empregados interessadas.</w:t>
      </w:r>
    </w:p>
    <w:p w14:paraId="62618D1B"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4 - Quando de derrogações estabelecidas de acordo com o parágrafo do presente Artigo, a autoridade competente deverá zelar por que sejam tomadas as precauções necessárias para proteger a saúde dos trabalhadores.</w:t>
      </w:r>
    </w:p>
    <w:p w14:paraId="69DD8DA1"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4º</w:t>
      </w:r>
    </w:p>
    <w:p w14:paraId="59F5951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 autoridade competente deverá consultar as organizações mais representativas de empregadores e de trabalhadores interessadas, a respeito das medidas a serem tomadas para levar a efeito as disposições da presente Convenção.</w:t>
      </w:r>
    </w:p>
    <w:p w14:paraId="50862533"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5º</w:t>
      </w:r>
    </w:p>
    <w:p w14:paraId="5A68F4D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aplicação da legislação adotada de acordo com o Artigo 3 da presente Convenção deverá ser garantida por um sistema de inspeção suficiente e adequado.</w:t>
      </w:r>
    </w:p>
    <w:p w14:paraId="5DE4C1C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legislação nacional deverá prever as medidas necessárias, entre as quais a aplicação de sanções adequadas, para garantir a implementação efetiva da presente Convenção, bem como a observância das suas disposições.</w:t>
      </w:r>
    </w:p>
    <w:p w14:paraId="548F9CB9"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6º</w:t>
      </w:r>
    </w:p>
    <w:p w14:paraId="5003E494"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Os empregados serão considerados responsáveis pela aplicação das medidas prescritas.</w:t>
      </w:r>
    </w:p>
    <w:p w14:paraId="7A54C371"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lastRenderedPageBreak/>
        <w:t>2 - Toda vez que dois ou mais empregadores se encontrarem simultaneamente desenvolvendo atividades em certo local de trabalho, deverão colaborar no sentido da aplicação das medidas prescritas, sem prejuízo da responsabilidade de cada um concernente à saúde e à segurança dos trabalhadores que empregar. A autoridade competente deverá estabelecer as modalidades gerais dessa colaboração, desde que necessário.</w:t>
      </w:r>
    </w:p>
    <w:p w14:paraId="00B8A29C"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Os empregados devem, em colaboração como serviços de saúde e de segurança no trabalho, e após consulta aos representantes dos trabalhadores interessados elaborar os procedimentos a serem seguidos em situações de emergência.</w:t>
      </w:r>
    </w:p>
    <w:p w14:paraId="1155125E"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7º</w:t>
      </w:r>
    </w:p>
    <w:p w14:paraId="47F899B5"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Os trabalhadores devem, dentro do limite de suas responsabilidades, respeitar as normas de segurança e higiene prescritas para prevenir e controlar os riscos para a saúde que comporta a exposição profissional ao amianto, bem como, para protegê-los desses riscos.</w:t>
      </w:r>
    </w:p>
    <w:p w14:paraId="1A9EA510"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8º</w:t>
      </w:r>
    </w:p>
    <w:p w14:paraId="536793FA"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Da mesma forma, os empregadores e os trabalhadores ou seus representantes deverão colaborar tão estreitamente quanto possível, em todos os níveis na empresa, no sentido de aplicação das medidas prescritas de acordo com a presente Convenção.</w:t>
      </w:r>
    </w:p>
    <w:p w14:paraId="47A4D0D6"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PARTE III</w:t>
      </w:r>
    </w:p>
    <w:p w14:paraId="18EC749E"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Medidas de Proteção e de Prevenção</w:t>
      </w:r>
    </w:p>
    <w:p w14:paraId="0C551E09"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9º</w:t>
      </w:r>
    </w:p>
    <w:p w14:paraId="6BCFE906"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 legislação nacional adotada de acordo com o Artigo 3 da presente Convenção deverá prever que a exposição ao amianto deverá ser evitada ou controlada por um ou mais dos meios a seguir:</w:t>
      </w:r>
    </w:p>
    <w:p w14:paraId="79335B81"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 a sujeição do trabalho suscetível de provocar a exposição do trabalhador ao amianto às disposições que prescrevem medidas técnicas de prevenção, bem como métodos de trabalho adequados, particularmente referentes à higiene do local de trabalho;</w:t>
      </w:r>
    </w:p>
    <w:p w14:paraId="395E23D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b) a prescrição de regras e de procedimentos especiais, entre os quais autorizações para o uso de amianto ou de certos produtos que contenham amianto, ou, ainda, para certos tipos de trabalho.</w:t>
      </w:r>
    </w:p>
    <w:p w14:paraId="3B61EBC0" w14:textId="77777777" w:rsidR="00203160" w:rsidRPr="00203160" w:rsidRDefault="00203160" w:rsidP="00203160">
      <w:pPr>
        <w:spacing w:before="100" w:beforeAutospacing="1" w:after="100" w:afterAutospacing="1" w:line="240" w:lineRule="auto"/>
        <w:jc w:val="center"/>
        <w:rPr>
          <w:rFonts w:ascii="Book Antiqua" w:hAnsi="Book Antiqua"/>
          <w:b/>
          <w:bCs/>
          <w:sz w:val="19"/>
          <w:szCs w:val="19"/>
        </w:rPr>
      </w:pPr>
      <w:r w:rsidRPr="00203160">
        <w:rPr>
          <w:rFonts w:ascii="Book Antiqua" w:hAnsi="Book Antiqua"/>
          <w:b/>
          <w:bCs/>
          <w:sz w:val="19"/>
          <w:szCs w:val="19"/>
          <w:highlight w:val="magenta"/>
        </w:rPr>
        <w:t>ARTIGO 10</w:t>
      </w:r>
    </w:p>
    <w:p w14:paraId="62C1A09E" w14:textId="77777777" w:rsidR="00203160" w:rsidRPr="00203160" w:rsidRDefault="00203160" w:rsidP="00203160">
      <w:pPr>
        <w:spacing w:before="100" w:beforeAutospacing="1" w:after="100" w:afterAutospacing="1" w:line="240" w:lineRule="auto"/>
        <w:jc w:val="both"/>
        <w:rPr>
          <w:rFonts w:ascii="Book Antiqua" w:hAnsi="Book Antiqua"/>
          <w:b/>
          <w:bCs/>
          <w:sz w:val="19"/>
          <w:szCs w:val="19"/>
        </w:rPr>
      </w:pPr>
      <w:r w:rsidRPr="00203160">
        <w:rPr>
          <w:rFonts w:ascii="Book Antiqua" w:hAnsi="Book Antiqua"/>
          <w:b/>
          <w:bCs/>
          <w:sz w:val="19"/>
          <w:szCs w:val="19"/>
        </w:rPr>
        <w:t>Quando necessárias para proteger a saúde dos trabalhadores, e viáveis do ponto de vista técnico, as seguintes medidas deverão ser previstas pela legislação nacional:</w:t>
      </w:r>
    </w:p>
    <w:p w14:paraId="42350DB1" w14:textId="52B13E04"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b/>
          <w:bCs/>
          <w:sz w:val="19"/>
          <w:szCs w:val="19"/>
        </w:rPr>
        <w:t>a) sempre que possível, a substituição do amianto ou de certos tipos de amianto ou de certos produtos que contenham amianto por outros materiais ou produtos, ou, então, o uso de tecnologias alternativas desde que submetidas à avaliação científica pela autoridade competente e definidas como inofensivas ou menos perigosas</w:t>
      </w:r>
      <w:r w:rsidRPr="00203160">
        <w:rPr>
          <w:rFonts w:ascii="Book Antiqua" w:hAnsi="Book Antiqua"/>
          <w:sz w:val="19"/>
          <w:szCs w:val="19"/>
        </w:rPr>
        <w:t>.</w:t>
      </w:r>
      <w:r>
        <w:rPr>
          <w:rFonts w:ascii="Book Antiqua" w:hAnsi="Book Antiqua"/>
          <w:sz w:val="19"/>
          <w:szCs w:val="19"/>
        </w:rPr>
        <w:t xml:space="preserve"> </w:t>
      </w:r>
      <w:r>
        <w:rPr>
          <w:rFonts w:ascii="Book Antiqua" w:hAnsi="Book Antiqua"/>
          <w:b/>
          <w:color w:val="FF0000"/>
          <w:sz w:val="16"/>
          <w:szCs w:val="16"/>
          <w:u w:val="single"/>
        </w:rPr>
        <w:t>(</w:t>
      </w:r>
      <w:r>
        <w:rPr>
          <w:rFonts w:ascii="Book Antiqua" w:hAnsi="Book Antiqua"/>
          <w:b/>
          <w:color w:val="FF0000"/>
          <w:sz w:val="16"/>
          <w:szCs w:val="16"/>
          <w:u w:val="single"/>
        </w:rPr>
        <w:t>MPT-2024</w:t>
      </w:r>
      <w:r>
        <w:rPr>
          <w:rFonts w:ascii="Book Antiqua" w:hAnsi="Book Antiqua"/>
          <w:b/>
          <w:color w:val="FF0000"/>
          <w:sz w:val="16"/>
          <w:szCs w:val="16"/>
          <w:u w:val="single"/>
        </w:rPr>
        <w:t>)</w:t>
      </w:r>
    </w:p>
    <w:p w14:paraId="2A6485CD" w14:textId="127366CE"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b/>
          <w:bCs/>
          <w:sz w:val="19"/>
          <w:szCs w:val="19"/>
        </w:rPr>
        <w:t>b) a proibição total ou parcial do uso do amianto ou de certos tipos de amianto ou de certos produtos que contenham amianto para certos tipos de trabalho</w:t>
      </w:r>
      <w:r w:rsidRPr="00203160">
        <w:rPr>
          <w:rFonts w:ascii="Book Antiqua" w:hAnsi="Book Antiqua"/>
          <w:sz w:val="19"/>
          <w:szCs w:val="19"/>
        </w:rPr>
        <w:t>.</w:t>
      </w:r>
      <w:r>
        <w:rPr>
          <w:rFonts w:ascii="Book Antiqua" w:hAnsi="Book Antiqua"/>
          <w:sz w:val="19"/>
          <w:szCs w:val="19"/>
        </w:rPr>
        <w:t xml:space="preserve"> </w:t>
      </w:r>
      <w:r>
        <w:rPr>
          <w:rFonts w:ascii="Book Antiqua" w:hAnsi="Book Antiqua"/>
          <w:b/>
          <w:color w:val="FF0000"/>
          <w:sz w:val="16"/>
          <w:szCs w:val="16"/>
          <w:u w:val="single"/>
        </w:rPr>
        <w:t>(MPT-2024)</w:t>
      </w:r>
    </w:p>
    <w:p w14:paraId="2BFB42A2"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11</w:t>
      </w:r>
    </w:p>
    <w:p w14:paraId="3D0670C5"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1 - O uso do </w:t>
      </w:r>
      <w:proofErr w:type="spellStart"/>
      <w:r w:rsidRPr="00203160">
        <w:rPr>
          <w:rFonts w:ascii="Book Antiqua" w:hAnsi="Book Antiqua"/>
          <w:sz w:val="19"/>
          <w:szCs w:val="19"/>
        </w:rPr>
        <w:t>crocidolito</w:t>
      </w:r>
      <w:proofErr w:type="spellEnd"/>
      <w:r w:rsidRPr="00203160">
        <w:rPr>
          <w:rFonts w:ascii="Book Antiqua" w:hAnsi="Book Antiqua"/>
          <w:sz w:val="19"/>
          <w:szCs w:val="19"/>
        </w:rPr>
        <w:t xml:space="preserve"> e de produtos que contenham essa fibra deverá ser proibido.</w:t>
      </w:r>
    </w:p>
    <w:p w14:paraId="7F950C3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2 - A autoridade competente deverá ser habilitada, após consulta às organizações mais representativas de empregadores e empregados interessadas, a abrir exceções à proibição prevista no parágrafo 1, supra, sempre que os métodos de substituição não forem razoáveis e praticamente realizáveis e sob </w:t>
      </w:r>
      <w:r w:rsidRPr="00203160">
        <w:rPr>
          <w:rFonts w:ascii="Book Antiqua" w:hAnsi="Book Antiqua"/>
          <w:sz w:val="19"/>
          <w:szCs w:val="19"/>
        </w:rPr>
        <w:lastRenderedPageBreak/>
        <w:t>condição de que as medidas tomadas visando a garantir a saúde dos trabalhadores não sejam postas em risco.</w:t>
      </w:r>
    </w:p>
    <w:p w14:paraId="4F5E3F03"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12</w:t>
      </w:r>
    </w:p>
    <w:p w14:paraId="4D2EC1E2"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pulverização do amianto deverá ser proibida em todas suas formas.</w:t>
      </w:r>
    </w:p>
    <w:p w14:paraId="0AC78DB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autoridade competente deverá ser habilitada, após consulta às organizações mais representativas de empregadores e empregados interessadas, a abrir exceções à proibição prevista no parágrafo 1, supra, sempre que os métodos de substituição não forem razoáveis e praticamente realizáveis e sob a condição de que as medidas tomadas visando a garantir a saúde não sejam postas em risco.</w:t>
      </w:r>
    </w:p>
    <w:p w14:paraId="74B3871B"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13</w:t>
      </w:r>
    </w:p>
    <w:p w14:paraId="5CB7DF0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 legislação nacional deverá prever que os empregadores notifiquem à autoridade competente, conforme modalidades e grau por esta definidos, acerca de certos tipos de trabalho que impliquem exposição ao amianto.</w:t>
      </w:r>
    </w:p>
    <w:p w14:paraId="1D5051C5"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14</w:t>
      </w:r>
    </w:p>
    <w:p w14:paraId="7D3EDF96"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Os produtores e os fornecedores de amianto, da mesma forma que os fornecedores de produtos que contenham amianto, deverão ser responsáveis pela etiquetagem adequada dos recipientes e, quando conveniente, dos produtos, em língua e estilo facilmente apreendida pelos trabalhadores e pelos usuários interessados, conforme prescrições da autoridade competente.</w:t>
      </w:r>
    </w:p>
    <w:p w14:paraId="5CCDCB58"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15</w:t>
      </w:r>
    </w:p>
    <w:p w14:paraId="1441E9AA"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autoridade competente deverá fixar os limites da exposição dos trabalhadores ao amianto ou de outros tipos de critérios de avaliação do local de trabalho em termos de exposição ao amianto.</w:t>
      </w:r>
    </w:p>
    <w:p w14:paraId="0C8940E6"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Os limites de exposição ou outros critérios de exposição deverão ser fixados, revistos e atualizados periodicamente, à luz do desenvolvimento tecnológico e do aumento do conhecimento técnico e científico.</w:t>
      </w:r>
    </w:p>
    <w:p w14:paraId="6AE8BD4C"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Em todo local de trabalho em que o empregado for exposto ao amianto, o empregador deverá adotar todas as medidas adequadas para evitar essa exposição ou para controlar a emissão de pó de amianto no ar, no sentido de assegurar-se da observância dos limites de exposição ou de outros critérios concernentes à exposição, bem como, diminuir tais níveis a ponto que a observância referida seja razoável se efetivamente factível.</w:t>
      </w:r>
    </w:p>
    <w:p w14:paraId="54594ED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4 - No caso de que as medidas adotadas em conformidade com o parágrafo 3 do presente Artigo não sejam suficientes para conter a exposição ao amianto dentro dos limites de exposição ou a conformar-se a outros critérios de exposição fixados no quadro da aplicação do disposto no parágrafo 1 do presente Artigo, o empregador deverá fornecer, manter e, se necessário, substituir, sem custo para os empregados, equipamento de proteção respiratório adequado, bem como trajes de proteção especiais, quando for o caso. O equipamento de proteção respiratório deverá conformar-se às normas estabelecidas pela autoridade competente e não ser utilizado senão como medida complementar, temporária, de urgência ou excepcional, não se constituindo em substituto do controle técnico.</w:t>
      </w:r>
    </w:p>
    <w:p w14:paraId="14FE917B"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16</w:t>
      </w:r>
    </w:p>
    <w:p w14:paraId="3374916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Cada empregador deverá ser responsável pelo estabelecimento e implementação de medidas práticas para a prevenção e o controle das exposições dos trabalhadores ao amianto, e para sua proteção contra os riscos dela decorrentes.</w:t>
      </w:r>
    </w:p>
    <w:p w14:paraId="21EE4595"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17</w:t>
      </w:r>
    </w:p>
    <w:p w14:paraId="36801F48"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1 - A demolição das instalações ou obras que contenham matérias isolantes de amianto, bem como a eliminação do amianto de construções ou obras em que este possa vir a ficar em suspensão, não </w:t>
      </w:r>
      <w:r w:rsidRPr="00203160">
        <w:rPr>
          <w:rFonts w:ascii="Book Antiqua" w:hAnsi="Book Antiqua"/>
          <w:sz w:val="19"/>
          <w:szCs w:val="19"/>
        </w:rPr>
        <w:lastRenderedPageBreak/>
        <w:t>deverão ser empreendidas senão por empregadores ou empreiteiros reconhecidos pela autoridade competente como estando qualificados para a exceção desse gênero de serviço, de acordo com o disposto na presente Convenção, e devidamente habilitados para tal.</w:t>
      </w:r>
    </w:p>
    <w:p w14:paraId="75D00951"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Antes de iniciar os trabalhos de demolição, o empregador ou empreiteiro deverá elaborar plano de trabalho que especifique as medidas a adotar, principalmente aquelas que visem a:</w:t>
      </w:r>
    </w:p>
    <w:p w14:paraId="7B32C8B7"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a) </w:t>
      </w:r>
      <w:proofErr w:type="spellStart"/>
      <w:r w:rsidRPr="00203160">
        <w:rPr>
          <w:rFonts w:ascii="Book Antiqua" w:hAnsi="Book Antiqua"/>
          <w:sz w:val="19"/>
          <w:szCs w:val="19"/>
        </w:rPr>
        <w:t>fornecer</w:t>
      </w:r>
      <w:proofErr w:type="spellEnd"/>
      <w:r w:rsidRPr="00203160">
        <w:rPr>
          <w:rFonts w:ascii="Book Antiqua" w:hAnsi="Book Antiqua"/>
          <w:sz w:val="19"/>
          <w:szCs w:val="19"/>
        </w:rPr>
        <w:t xml:space="preserve"> toda a segurança possível aos empregados;</w:t>
      </w:r>
    </w:p>
    <w:p w14:paraId="6A8D621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b) limitar a emissão de pó de amianto no ar;</w:t>
      </w:r>
    </w:p>
    <w:p w14:paraId="6E4B73A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c) providenciar a eliminação dos dejetos que contenham amianto de acordo com o Artigo 19 da presente da presente Convenção.</w:t>
      </w:r>
    </w:p>
    <w:p w14:paraId="6067391E"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Os trabalhadores ou seus representantes deverão ser consultados a respeito do plano de trabalho referido no parágrafo 2, supra.</w:t>
      </w:r>
    </w:p>
    <w:p w14:paraId="7172F426"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18</w:t>
      </w:r>
    </w:p>
    <w:p w14:paraId="310046A3"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Desde que as roupas pessoais dos trabalhadores estão sujeitas a contaminação por amianto, o empregador deverá, segundo a legislação nacional e em consulta com os representantes dos trabalhadores, fornecer roupas de trabalho adequadas que não poderão ser levadas para fora do local de trabalho.</w:t>
      </w:r>
    </w:p>
    <w:p w14:paraId="625FC16D"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manipulação e a limpeza das roupas de trabalho e dos trajes de proteção especiais após o uso devem ser efetuadas em condições sujeitas a controle, de acordo com as exigências da autoridade competente, a fim de evitar a emissão de pó de amianto.</w:t>
      </w:r>
    </w:p>
    <w:p w14:paraId="3AA4909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A legislação nacional deverá proibir o transporte das roupas de trabalho, dos trajes de proteção especiais e do equipamento de proteção individual ao domicílio do trabalhador.</w:t>
      </w:r>
    </w:p>
    <w:p w14:paraId="3DFDB4F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4 - O empregador deve responsabilizar-se pela limpeza, pela manutenção e pela boa ordem das roupas de trabalho, dos trajes de proteção especial e do equipamento de proteção individual.</w:t>
      </w:r>
    </w:p>
    <w:p w14:paraId="5625495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5 - O empregador deverá pôr à disposição dos empregados expostos ao amianto instalações de banho, ducha ou lavabos no local de trabalho, conforme for mais adequado.</w:t>
      </w:r>
    </w:p>
    <w:p w14:paraId="1CEA4024"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19</w:t>
      </w:r>
    </w:p>
    <w:p w14:paraId="0987623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Segundo a legislação e a prática nacionais, o empregador deverá eliminar os resíduos que contenham amianto de molde a não apresentar risco nem para saúde dos trabalhadores interessados - entre os quais aquelas que manipulam o amianto - nem para população em geral ou para os habitantes das proximidades da firma.</w:t>
      </w:r>
    </w:p>
    <w:p w14:paraId="7140F02E"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Medidas adequadas devem ser tomadas pela autoridade competente e pelos empregadores para evitar a poluição do meio ambiente, em geral, pelo pó de amianto no local de trabalho.</w:t>
      </w:r>
    </w:p>
    <w:p w14:paraId="4DF05A7C"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PARTE IV</w:t>
      </w:r>
    </w:p>
    <w:p w14:paraId="18CC2635"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Monitoramento do Ambiente de Trabalho e de Saúde dos Trabalhadores</w:t>
      </w:r>
    </w:p>
    <w:p w14:paraId="10465458"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20</w:t>
      </w:r>
    </w:p>
    <w:p w14:paraId="2CB2383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Sempre que necessário à proteção da saúde dos trabalhadores, o empregador deverá medir a concentração de pó de amianto em suspensão no ar nos locais de trabalho e vigiar a exposição dos trabalhadores ao amianto a intervalos e conforme métodos especificados pela autoridade competente.</w:t>
      </w:r>
    </w:p>
    <w:p w14:paraId="0F30B92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lastRenderedPageBreak/>
        <w:t>2 - Os registros concernentes à vigilância do meio de trabalho e da exposição dos trabalhadores ao amianto deverão ser conservados durante um período determinado pela autoridade competente.</w:t>
      </w:r>
    </w:p>
    <w:p w14:paraId="7672573C"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Os trabalhadores interessados, seus representantes e os serviços de inspeção deverão ter acesso aos registros referidos.</w:t>
      </w:r>
    </w:p>
    <w:p w14:paraId="07667645"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 xml:space="preserve">4 - Os trabalhadores ou seus representantes devem ter o direito de requer a vigilância do meio de trabalhar e solicitar à autoridade competente </w:t>
      </w:r>
      <w:proofErr w:type="gramStart"/>
      <w:r w:rsidRPr="00203160">
        <w:rPr>
          <w:rFonts w:ascii="Book Antiqua" w:hAnsi="Book Antiqua"/>
          <w:sz w:val="19"/>
          <w:szCs w:val="19"/>
        </w:rPr>
        <w:t>os resultado</w:t>
      </w:r>
      <w:proofErr w:type="gramEnd"/>
      <w:r w:rsidRPr="00203160">
        <w:rPr>
          <w:rFonts w:ascii="Book Antiqua" w:hAnsi="Book Antiqua"/>
          <w:sz w:val="19"/>
          <w:szCs w:val="19"/>
        </w:rPr>
        <w:t xml:space="preserve"> dessa vigilância.</w:t>
      </w:r>
    </w:p>
    <w:p w14:paraId="5CE60A28"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21</w:t>
      </w:r>
    </w:p>
    <w:p w14:paraId="7CCC201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Os trabalhadores que estão ou foram expostos ao amianto devem poder-se beneficiar, segundo a legislação e a prática nacionais, de exames médicos necessários ao controle da sua saúde em função do risco profissional, bem como ao diagnóstico das doenças profissionais provocadas pela exposição ao amianto.</w:t>
      </w:r>
    </w:p>
    <w:p w14:paraId="4641C385"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vigilância sanitária dos trabalhadores, concernentes ao uso do amianto, não deve implicar quaisquer ônus para estes; ela deverá ser gratuita e ter lugar, na medida do possível, durante o horário de trabalho.</w:t>
      </w:r>
    </w:p>
    <w:p w14:paraId="08B1A2C8"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Os trabalhadores devem ser informados convenientemente e adequadamente dos resultados dos seus exames médicos, bem como, receber aconselhamento individual a respeito do seu estado de saúde em relação com sua atividade.</w:t>
      </w:r>
    </w:p>
    <w:p w14:paraId="27296122"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4 - Quando a permanência em função que implique exposição ao amianto for desaconselhada por motivos médicos, todos os esforços deverão ser empreendidos, de modo compatível com a prática e as condições nacionais, para oferecer aos trabalhadores interessados outros meios de conservar sua renda.</w:t>
      </w:r>
    </w:p>
    <w:p w14:paraId="4579DE27"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5 - A autoridade competente deverá estruturar sistema de notificação das doenças profissionais causadas pelo amianto.</w:t>
      </w:r>
    </w:p>
    <w:p w14:paraId="61123CCA"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PARTE V</w:t>
      </w:r>
    </w:p>
    <w:p w14:paraId="13B306CC"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Informações e Educação</w:t>
      </w:r>
    </w:p>
    <w:p w14:paraId="06B78965"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22</w:t>
      </w:r>
    </w:p>
    <w:p w14:paraId="14DFDF07"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A autoridade competente deverá, em consulta e em colaboração com as organizações mais representáveis de empregadores e de trabalhadores interessadas, adotar disposições adequadas para promover a difusão de informações e a educação de todas as pessoas envolvidas, no que respeita aos riscos provocados pela exposição ao amianto, assim como os métodos de prevenção e controle.</w:t>
      </w:r>
    </w:p>
    <w:p w14:paraId="05DB89A8"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autoridade competente deve zelar para que os empregadores tenham estabelecido por escrito uma política e procedimentos relativos às medidas de educação e de treinamento periódico dos trabalhadores sobre os riscos oriundos amianto e os métodos de prevenção e controle.</w:t>
      </w:r>
    </w:p>
    <w:p w14:paraId="7B6700BE"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O empregador deve zelar para que todos os trabalhadores expostos ou que possam vir a ser exposto ao amianto sejam informados a respeito dos riscos inerentes ao seu trabalho e das medidas de prevenção assim como dos métodos corretos de trabalho, e que receba, um treinamento contínuo nesta matéria.</w:t>
      </w:r>
    </w:p>
    <w:p w14:paraId="0C4122C2"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23</w:t>
      </w:r>
    </w:p>
    <w:p w14:paraId="3EE5504E"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As ratificações formais da presente Convenção serão transmitas ao Diretor-Geral da Repartição Internacional do Trabalho, e por ele registradas.</w:t>
      </w:r>
    </w:p>
    <w:p w14:paraId="7644DA21"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24</w:t>
      </w:r>
    </w:p>
    <w:p w14:paraId="6E4A62CA"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lastRenderedPageBreak/>
        <w:t>1 - A presente Convenção somente vinculará os Membros da Organização Internacional do Trabalho cujas ratificações tenham sido registradas pelo Diretor-Geral.</w:t>
      </w:r>
    </w:p>
    <w:p w14:paraId="07786834"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Esta Convenção entrará em vigor doze meses após o registro das ratificações de dois membros por parte do Diretor-Geral posteriormente.</w:t>
      </w:r>
    </w:p>
    <w:p w14:paraId="591ED876"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3 - Esta Convenção entrará em vigor, para cada Membro, doze meses após o registro da sua ratificação.</w:t>
      </w:r>
    </w:p>
    <w:p w14:paraId="67972976"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25</w:t>
      </w:r>
    </w:p>
    <w:p w14:paraId="07F575CB"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Todo Membro que tenha ratificado a presente Convenção poderá denunciá-lo após a exploração de um período de dez anos contados da entrada em vigor mediante ato comunicado ao Diretor-Geral da Repartição Internacional do Trabalho e por ele registrado. A denúncia só surtirá efeito um ano após o registro.</w:t>
      </w:r>
    </w:p>
    <w:p w14:paraId="23FD4AAA" w14:textId="0B73B3D8"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2 -To</w:t>
      </w:r>
      <w:r>
        <w:rPr>
          <w:rFonts w:ascii="Book Antiqua" w:hAnsi="Book Antiqua"/>
          <w:sz w:val="19"/>
          <w:szCs w:val="19"/>
        </w:rPr>
        <w:t>do</w:t>
      </w:r>
      <w:r w:rsidRPr="00203160">
        <w:rPr>
          <w:rFonts w:ascii="Book Antiqua" w:hAnsi="Book Antiqua"/>
          <w:sz w:val="19"/>
          <w:szCs w:val="19"/>
        </w:rPr>
        <w:t xml:space="preserve"> Membro que tenha ratificado a presente Convenção e não fizer uso da faculdade de denúncia prevista pelo presente Artigo dentro do prazo de um ano após a expiração do período de dez anos previsto pelo presente Artigo, ficará obrigado por novo período de dez anos e, posteriormente, poderá denunciar a presente Convenção ao expirar cada período de dez anos, nas condições previstas no presente Artigo.</w:t>
      </w:r>
    </w:p>
    <w:p w14:paraId="1BB5B05E"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26</w:t>
      </w:r>
    </w:p>
    <w:p w14:paraId="2202442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O Diretor-Geral da Repartição Internacional do Trabalho notificará a todos os Membros da organização Internacional do Trabalho o registro de todas as ratificações e denúncias que lhe sejam comunicadas pelos membros da Organização.</w:t>
      </w:r>
    </w:p>
    <w:p w14:paraId="5D7CB674"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Ao notificar aos Membros da Organização o registro da segunda ratificação que lhe tenha sido comunicada, o Diretor-Geral chamará a atenção dos Membros para a data de entrada em vigor da presente Convenção.</w:t>
      </w:r>
    </w:p>
    <w:p w14:paraId="35558290"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27</w:t>
      </w:r>
    </w:p>
    <w:p w14:paraId="11873789"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O Diretor-Geral da Repartição Internacional do Trabalho comunicará ao Secretário-Geral das Nações Unidas, para fins de registro, conforme o Artigo 102 da Carta das Nações Unidas, as informações completas referentes a quaisquer ratificações ou atos de denúncia que tenha registrado de acordo com os Artigos anteriores.</w:t>
      </w:r>
    </w:p>
    <w:p w14:paraId="030C3372"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28</w:t>
      </w:r>
    </w:p>
    <w:p w14:paraId="5208C53A"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Sempre que julgar necessário, o Conselho de Administração da Repartição Internacional do Trabalho deverá apresentar à Conferência Geral um relatório sobre a aplicação da presente Convenção e decidirá sobre a oportunidade de inscrever na ordem do dia da Conferência a questão de sua revisão total ou parcial.</w:t>
      </w:r>
    </w:p>
    <w:p w14:paraId="05786547"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t>ARTIGO 29</w:t>
      </w:r>
    </w:p>
    <w:p w14:paraId="72B3AF50"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1 - Se a Conferência adotar uma nova Convenção que revise total ou parcialmente a presente Convenção e a menos que a nova Convenção disponha contrariamente:</w:t>
      </w:r>
    </w:p>
    <w:p w14:paraId="6FE69F1F"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 a ratificação, por um Membro, da nova Convenção revista, implicará de pleno direito, não obstante o disposto pelo Artigo 25, supra, a denúncia imediata da presente Convenção, desde que a nova Convenção revista tenha entrado em vigor;</w:t>
      </w:r>
    </w:p>
    <w:p w14:paraId="4DC0C2E5"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b) a partir da entrada em vigor da convenção revista, a presente Convenção deixará de estar aberta à ratificação dos Membros;</w:t>
      </w:r>
    </w:p>
    <w:p w14:paraId="13814876" w14:textId="77777777" w:rsidR="00203160"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2 - A presente convenção continuará em vigor, em qualquer caso, em sua forma e teor atuais, para os Membros que a tiverem ratificado e que não ratificarem a convenção revista.</w:t>
      </w:r>
    </w:p>
    <w:p w14:paraId="7635F726" w14:textId="77777777" w:rsidR="00203160" w:rsidRPr="00203160" w:rsidRDefault="00203160" w:rsidP="00203160">
      <w:pPr>
        <w:spacing w:before="100" w:beforeAutospacing="1" w:after="100" w:afterAutospacing="1" w:line="240" w:lineRule="auto"/>
        <w:jc w:val="center"/>
        <w:rPr>
          <w:rFonts w:ascii="Book Antiqua" w:hAnsi="Book Antiqua"/>
          <w:sz w:val="19"/>
          <w:szCs w:val="19"/>
        </w:rPr>
      </w:pPr>
      <w:r w:rsidRPr="00203160">
        <w:rPr>
          <w:rFonts w:ascii="Book Antiqua" w:hAnsi="Book Antiqua"/>
          <w:sz w:val="19"/>
          <w:szCs w:val="19"/>
        </w:rPr>
        <w:lastRenderedPageBreak/>
        <w:t>ARTIGO 30</w:t>
      </w:r>
    </w:p>
    <w:p w14:paraId="17B76045" w14:textId="28317526" w:rsidR="00BB7FE6" w:rsidRPr="00203160" w:rsidRDefault="00203160" w:rsidP="00203160">
      <w:pPr>
        <w:spacing w:before="100" w:beforeAutospacing="1" w:after="100" w:afterAutospacing="1" w:line="240" w:lineRule="auto"/>
        <w:jc w:val="both"/>
        <w:rPr>
          <w:rFonts w:ascii="Book Antiqua" w:hAnsi="Book Antiqua"/>
          <w:sz w:val="19"/>
          <w:szCs w:val="19"/>
        </w:rPr>
      </w:pPr>
      <w:r w:rsidRPr="00203160">
        <w:rPr>
          <w:rFonts w:ascii="Book Antiqua" w:hAnsi="Book Antiqua"/>
          <w:sz w:val="19"/>
          <w:szCs w:val="19"/>
        </w:rPr>
        <w:t>As versões inglesa e francesa do texto da presente Convenção são igualmente autênticas.</w:t>
      </w:r>
    </w:p>
    <w:sectPr w:rsidR="00BB7FE6" w:rsidRPr="00203160" w:rsidSect="0020316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26"/>
    <w:rsid w:val="00056442"/>
    <w:rsid w:val="00095DB1"/>
    <w:rsid w:val="00203160"/>
    <w:rsid w:val="009D12EE"/>
    <w:rsid w:val="00BB7FE6"/>
    <w:rsid w:val="00D346F6"/>
    <w:rsid w:val="00F402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F031"/>
  <w15:chartTrackingRefBased/>
  <w15:docId w15:val="{BB8151B2-BB43-467F-8D64-3BC64F1B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02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402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402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402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402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40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40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40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02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022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4022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4022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4022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4022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402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402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402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0226"/>
    <w:rPr>
      <w:rFonts w:eastAsiaTheme="majorEastAsia" w:cstheme="majorBidi"/>
      <w:color w:val="272727" w:themeColor="text1" w:themeTint="D8"/>
    </w:rPr>
  </w:style>
  <w:style w:type="paragraph" w:styleId="Ttulo">
    <w:name w:val="Title"/>
    <w:basedOn w:val="Normal"/>
    <w:next w:val="Normal"/>
    <w:link w:val="TtuloChar"/>
    <w:uiPriority w:val="10"/>
    <w:qFormat/>
    <w:rsid w:val="00F40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0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02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02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0226"/>
    <w:pPr>
      <w:spacing w:before="160"/>
      <w:jc w:val="center"/>
    </w:pPr>
    <w:rPr>
      <w:i/>
      <w:iCs/>
      <w:color w:val="404040" w:themeColor="text1" w:themeTint="BF"/>
    </w:rPr>
  </w:style>
  <w:style w:type="character" w:customStyle="1" w:styleId="CitaoChar">
    <w:name w:val="Citação Char"/>
    <w:basedOn w:val="Fontepargpadro"/>
    <w:link w:val="Citao"/>
    <w:uiPriority w:val="29"/>
    <w:rsid w:val="00F40226"/>
    <w:rPr>
      <w:i/>
      <w:iCs/>
      <w:color w:val="404040" w:themeColor="text1" w:themeTint="BF"/>
    </w:rPr>
  </w:style>
  <w:style w:type="paragraph" w:styleId="PargrafodaLista">
    <w:name w:val="List Paragraph"/>
    <w:basedOn w:val="Normal"/>
    <w:uiPriority w:val="34"/>
    <w:qFormat/>
    <w:rsid w:val="00F40226"/>
    <w:pPr>
      <w:ind w:left="720"/>
      <w:contextualSpacing/>
    </w:pPr>
  </w:style>
  <w:style w:type="character" w:styleId="nfaseIntensa">
    <w:name w:val="Intense Emphasis"/>
    <w:basedOn w:val="Fontepargpadro"/>
    <w:uiPriority w:val="21"/>
    <w:qFormat/>
    <w:rsid w:val="00F40226"/>
    <w:rPr>
      <w:i/>
      <w:iCs/>
      <w:color w:val="2F5496" w:themeColor="accent1" w:themeShade="BF"/>
    </w:rPr>
  </w:style>
  <w:style w:type="paragraph" w:styleId="CitaoIntensa">
    <w:name w:val="Intense Quote"/>
    <w:basedOn w:val="Normal"/>
    <w:next w:val="Normal"/>
    <w:link w:val="CitaoIntensaChar"/>
    <w:uiPriority w:val="30"/>
    <w:qFormat/>
    <w:rsid w:val="00F40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40226"/>
    <w:rPr>
      <w:i/>
      <w:iCs/>
      <w:color w:val="2F5496" w:themeColor="accent1" w:themeShade="BF"/>
    </w:rPr>
  </w:style>
  <w:style w:type="character" w:styleId="RefernciaIntensa">
    <w:name w:val="Intense Reference"/>
    <w:basedOn w:val="Fontepargpadro"/>
    <w:uiPriority w:val="32"/>
    <w:qFormat/>
    <w:rsid w:val="00F402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3203</Words>
  <Characters>17302</Characters>
  <Application>Microsoft Office Word</Application>
  <DocSecurity>0</DocSecurity>
  <Lines>144</Lines>
  <Paragraphs>40</Paragraphs>
  <ScaleCrop>false</ScaleCrop>
  <Company/>
  <LinksUpToDate>false</LinksUpToDate>
  <CharactersWithSpaces>20465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2026-02-04T19:22:00Z</dcterms:created>
  <dcterms:modified xsi:type="dcterms:W3CDTF">2026-02-04T19:34:00Z</dcterms:modified>
</cp:coreProperties>
</file>