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LEI N</w:t>
      </w:r>
      <w:r>
        <w:rPr>
          <w:rFonts w:ascii="Times New Roman" w:hAnsi="Times New Roman" w:cs="Times New Roman"/>
          <w:sz w:val="24"/>
          <w:sz-cs w:val="24"/>
          <w:strike/>
          <w:color w:val="00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14.993, de 09 de dezembro de 2009</w:t>
      </w:r>
    </w:p>
    <w:p>
      <w:pPr>
        <w:jc w:val="both"/>
        <w:ind w:first-line="260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Procedência: Dep. Antônio Aguiar</w:t>
      </w:r>
    </w:p>
    <w:p>
      <w:pPr>
        <w:ind w:first-line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Natureza:  HYPERLINK "http://www.alesc.sc.gov.br/proclegis/individual.php?id=PL./0280.1/2009" </w:t>
      </w:r>
      <w:r>
        <w:rPr>
          <w:rFonts w:ascii="Times New Roman" w:hAnsi="Times New Roman" w:cs="Times New Roman"/>
          <w:sz w:val="20"/>
          <w:sz-cs w:val="20"/>
          <w:color w:val="0000FF"/>
        </w:rPr>
        <w:t xml:space="preserve">PL./0280.1/2009</w:t>
      </w:r>
      <w:r>
        <w:rPr>
          <w:rFonts w:ascii="Times New Roman" w:hAnsi="Times New Roman" w:cs="Times New Roman"/>
          <w:sz w:val="20"/>
          <w:sz-cs w:val="20"/>
          <w:color w:val="000000"/>
        </w:rPr>
        <w:t xml:space="preserve"/>
      </w:r>
    </w:p>
    <w:p>
      <w:pPr>
        <w:ind w:first-line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DO: 14.993 de 09/12/09</w:t>
      </w:r>
    </w:p>
    <w:p>
      <w:pPr>
        <w:ind w:first-line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* Veto parcial - MSV/01362/2009</w:t>
      </w:r>
    </w:p>
    <w:p>
      <w:pPr>
        <w:ind w:first-line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* Alterada parcialmente pela LP  HYPERLINK "Z:\\2010\\15229_ 2010_Lei_promulgada.doc" </w:t>
      </w:r>
      <w:r>
        <w:rPr>
          <w:rFonts w:ascii="Times New Roman" w:hAnsi="Times New Roman" w:cs="Times New Roman"/>
          <w:sz w:val="20"/>
          <w:sz-cs w:val="20"/>
          <w:color w:val="0000FF"/>
        </w:rPr>
        <w:t xml:space="preserve">15.229/10</w:t>
      </w:r>
      <w:r>
        <w:rPr>
          <w:rFonts w:ascii="Times New Roman" w:hAnsi="Times New Roman" w:cs="Times New Roman"/>
          <w:sz w:val="20"/>
          <w:sz-cs w:val="20"/>
          <w:color w:val="000000"/>
        </w:rPr>
        <w:t xml:space="preserve"/>
      </w:r>
    </w:p>
    <w:p>
      <w:pPr>
        <w:ind w:first-line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*Regulamentação Decreto: 3058/10</w:t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Fonte - ALESC/Coord. Documentação (tr.)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Dispõe sobre a exibição do preço dos produtos por unidade de medida.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O GOVERNADOR DO ESTADO DE SANTA CATARINA,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Faço saber a todos os habitantes deste Estado que a Assembleia Legislativa decreta e eu sanciono a seguinte Lei: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Art. 1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Os supermercados, hipermercados, autosserviços e mercearias, onde o consumidor tenha acesso direto ao produto, sem intervenção do comerciante, ficam obrigados a expor o preço por unidade de medida.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Parágrafo único. Considera-se preço por unidade de medida, reais por quilo, litro, metro ou outra unidade conforme o caso.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Art. 2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O preço por unidade de medida deve ser exposto onde esteja registrado o valor do produto, e ocupar espaço não inferior a 50% (cinquenta por cento).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Art. 3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O descumprimento desta Lei sujeita o estabelecimento infrator às seguintes penalidades: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 - VETADO;</w:t>
      </w:r>
    </w:p>
    <w:p>
      <w:pPr/>
      <w:r>
        <w:rPr>
          <w:rFonts w:ascii="Times New Roman" w:hAnsi="Times New Roman" w:cs="Times New Roman"/>
          <w:sz w:val="24"/>
          <w:sz-cs w:val="24"/>
          <w:strike/>
        </w:rPr>
        <w:t xml:space="preserve">II - multa de mil reais; e</w:t>
      </w:r>
    </w:p>
    <w:p>
      <w:pPr/>
      <w:r>
        <w:rPr>
          <w:rFonts w:ascii="Times New Roman" w:hAnsi="Times New Roman" w:cs="Times New Roman"/>
          <w:sz w:val="24"/>
          <w:sz-cs w:val="24"/>
          <w:strike/>
        </w:rPr>
        <w:t xml:space="preserve">III - interdição.</w:t>
      </w:r>
    </w:p>
    <w:p>
      <w:pPr/>
      <w:r>
        <w:rPr>
          <w:rFonts w:ascii="Times New Roman" w:hAnsi="Times New Roman" w:cs="Times New Roman"/>
          <w:sz w:val="24"/>
          <w:sz-cs w:val="24"/>
          <w:strike/>
        </w:rPr>
        <w:t xml:space="preserve">§ 1º A pena de multa será aplicada em caso de não atendimento, em 30 (trinta) dias, do disposto no art. 1º.</w:t>
      </w:r>
    </w:p>
    <w:p>
      <w:pPr/>
      <w:r>
        <w:rPr>
          <w:rFonts w:ascii="Times New Roman" w:hAnsi="Times New Roman" w:cs="Times New Roman"/>
          <w:sz w:val="24"/>
          <w:sz-cs w:val="24"/>
          <w:strike/>
        </w:rPr>
        <w:t xml:space="preserve">§ 2º A interdição dar-se-á em caso de não atendimento, em 60 (sessenta) dias, do disposto no art. 1º.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LP 15.229/10 (Art. 1</w:t>
      </w:r>
      <w:r>
        <w:rPr>
          <w:rFonts w:ascii="Times New Roman" w:hAnsi="Times New Roman" w:cs="Times New Roman"/>
          <w:sz w:val="24"/>
          <w:sz-cs w:val="24"/>
          <w:b/>
          <w:strike/>
          <w:color w:val="FF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) – (18.888 de 14 de julho de 2010)</w:t>
      </w:r>
    </w:p>
    <w:p>
      <w:pPr>
        <w:ind w:first-line="1701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>“Os arts. 3</w:t>
      </w:r>
      <w:r>
        <w:rPr>
          <w:rFonts w:ascii="Times New Roman" w:hAnsi="Times New Roman" w:cs="Times New Roman"/>
          <w:sz w:val="24"/>
          <w:sz-cs w:val="24"/>
          <w:strike/>
          <w:color w:val="FF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FF0000"/>
        </w:rPr>
        <w:t xml:space="preserve"> e [...] da Lei n</w:t>
      </w:r>
      <w:r>
        <w:rPr>
          <w:rFonts w:ascii="Times New Roman" w:hAnsi="Times New Roman" w:cs="Times New Roman"/>
          <w:sz w:val="24"/>
          <w:sz-cs w:val="24"/>
          <w:strike/>
          <w:color w:val="FF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FF0000"/>
        </w:rPr>
        <w:t xml:space="preserve"> 14.993, de 09 de dezembro de 2009, passam a vigorar com a seguinte redação:”</w:t>
      </w:r>
    </w:p>
    <w:p>
      <w:pPr>
        <w:ind w:first-line="1701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/>
      </w:r>
    </w:p>
    <w:p>
      <w:pPr>
        <w:ind w:first-line="1701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>“Art. 3</w:t>
      </w:r>
      <w:r>
        <w:rPr>
          <w:rFonts w:ascii="Times New Roman" w:hAnsi="Times New Roman" w:cs="Times New Roman"/>
          <w:sz w:val="24"/>
          <w:sz-cs w:val="24"/>
          <w:strike/>
          <w:color w:val="FF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FF0000"/>
        </w:rPr>
        <w:t xml:space="preserve"> ..........................................................................................................</w:t>
      </w:r>
    </w:p>
    <w:p>
      <w:pPr>
        <w:ind w:first-line="1701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>I – ..................................................................................................................</w:t>
      </w:r>
    </w:p>
    <w:p>
      <w:pPr>
        <w:ind w:first-line="1701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>II – advertência escrita;</w:t>
      </w:r>
    </w:p>
    <w:p>
      <w:pPr>
        <w:ind w:first-line="1701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>III – multa de R$ 2.000,00 (dois mil reais), dobrada a cada reincidência.</w:t>
      </w:r>
    </w:p>
    <w:p>
      <w:pPr>
        <w:ind w:first-line="1701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>§ 1</w:t>
      </w:r>
      <w:r>
        <w:rPr>
          <w:rFonts w:ascii="Times New Roman" w:hAnsi="Times New Roman" w:cs="Times New Roman"/>
          <w:sz w:val="24"/>
          <w:sz-cs w:val="24"/>
          <w:strike/>
          <w:color w:val="FF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FF0000"/>
        </w:rPr>
        <w:t xml:space="preserve"> A pena de multa será aplicada, em caso de não atendimento das condições da advertência escrita, prevista no inciso II, no prazo de 30 (trinta) dias, assegurado o direito da ampla defesa e do contraditório.</w:t>
      </w:r>
    </w:p>
    <w:p>
      <w:pPr>
        <w:ind w:first-line="1701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>§ 2</w:t>
      </w:r>
      <w:r>
        <w:rPr>
          <w:rFonts w:ascii="Times New Roman" w:hAnsi="Times New Roman" w:cs="Times New Roman"/>
          <w:sz w:val="24"/>
          <w:sz-cs w:val="24"/>
          <w:strike/>
          <w:color w:val="FF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FF0000"/>
        </w:rPr>
        <w:t xml:space="preserve"> O valor da multa referido no inciso III será reajustado anualmente, com base na variação do Índice Geral de Preço de Mercado – IGPM/FGV, ou por índice que vier a substituí-lo. (NR)</w:t>
      </w:r>
    </w:p>
    <w:p>
      <w:pPr>
        <w:ind w:first-line="1701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>...................................................................................................................”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Art. 4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A receita arrecadada pela aplicação das multas previstas nesta Lei será revertida ao Procon estadual.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Art. 5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O Poder Executivo regulamentará esta Lei no prazo de 30 (trinta) dias após a sua vigência.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strike/>
        </w:rPr>
        <w:t xml:space="preserve">Art. 6º Esta Lei entra em vigor na data de sua publicação.</w:t>
      </w:r>
      <w:r>
        <w:rPr>
          <w:rFonts w:ascii="Times New Roman" w:hAnsi="Times New Roman" w:cs="Times New Roman"/>
          <w:sz w:val="24"/>
          <w:sz-cs w:val="24"/>
          <w:strike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LP 15.229/10 (Art. 1</w:t>
      </w:r>
      <w:r>
        <w:rPr>
          <w:rFonts w:ascii="Times New Roman" w:hAnsi="Times New Roman" w:cs="Times New Roman"/>
          <w:sz w:val="24"/>
          <w:sz-cs w:val="24"/>
          <w:b/>
          <w:strike/>
          <w:color w:val="FF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) – (18.888 de 14 de julho de 2010)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>“Os arts. [...] 6</w:t>
      </w:r>
      <w:r>
        <w:rPr>
          <w:rFonts w:ascii="Times New Roman" w:hAnsi="Times New Roman" w:cs="Times New Roman"/>
          <w:sz w:val="24"/>
          <w:sz-cs w:val="24"/>
          <w:strike/>
          <w:color w:val="FF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FF0000"/>
        </w:rPr>
        <w:t xml:space="preserve"> da Lei n</w:t>
      </w:r>
      <w:r>
        <w:rPr>
          <w:rFonts w:ascii="Times New Roman" w:hAnsi="Times New Roman" w:cs="Times New Roman"/>
          <w:sz w:val="24"/>
          <w:sz-cs w:val="24"/>
          <w:strike/>
          <w:color w:val="FF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FF0000"/>
        </w:rPr>
        <w:t xml:space="preserve"> 14.993, de 09 de dezembro de 2009, passam a vigorar com a seguinte redação: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>....................................................................................................................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>Art. 6</w:t>
      </w:r>
      <w:r>
        <w:rPr>
          <w:rFonts w:ascii="Times New Roman" w:hAnsi="Times New Roman" w:cs="Times New Roman"/>
          <w:sz w:val="24"/>
          <w:sz-cs w:val="24"/>
          <w:strike/>
          <w:color w:val="FF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FF0000"/>
        </w:rPr>
        <w:t xml:space="preserve"> Esta Lei entra em vigor na data de sua publicação e o prazo para adequação dos estabelecimentos mencionados no </w:t>
      </w:r>
      <w:r>
        <w:rPr>
          <w:rFonts w:ascii="Times New Roman" w:hAnsi="Times New Roman" w:cs="Times New Roman"/>
          <w:sz w:val="24"/>
          <w:sz-cs w:val="24"/>
          <w:i/>
          <w:color w:val="FF0000"/>
        </w:rPr>
        <w:t xml:space="preserve">caput</w:t>
      </w:r>
      <w:r>
        <w:rPr>
          <w:rFonts w:ascii="Times New Roman" w:hAnsi="Times New Roman" w:cs="Times New Roman"/>
          <w:sz w:val="24"/>
          <w:sz-cs w:val="24"/>
          <w:color w:val="FF0000"/>
        </w:rPr>
        <w:t xml:space="preserve"> do art. 1</w:t>
      </w:r>
      <w:r>
        <w:rPr>
          <w:rFonts w:ascii="Times New Roman" w:hAnsi="Times New Roman" w:cs="Times New Roman"/>
          <w:sz w:val="24"/>
          <w:sz-cs w:val="24"/>
          <w:strike/>
          <w:color w:val="FF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FF0000"/>
        </w:rPr>
        <w:t xml:space="preserve"> às disposições contidas nesta Lei será de 12 (doze) meses, contados de sua publicação.” (NR)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Florianópolis, 09 de dezembro de 2009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LUIZ HENRIQUE DA SILVEIRA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Governador do Estado</w:t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/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TFR</Manager>
  <Company>Assembléia Legislativa de Santa Catarina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14.993, de 09 de dezembro de 2009</dc:title>
  <dc:subject/>
  <dc:creator>Coordenadoria de Documentação</dc:creator>
  <cp:keywords>14993      exibição do preço dos produtos por unidade de medida    supermercados    hipermercados    autosserviços   mercearias    consumidor     PROCON</cp:keywords>
  <cp:lastModifiedBy>tfr2047</cp:lastModifiedBy>
  <dcterms:created>2009-12-21T14:31:00Z</dcterms:created>
  <dcterms:modified>2009-12-21T14:31:00Z</dcterms:modified>
</cp:coreProperties>
</file>

<file path=docProps/meta.xml><?xml version="1.0" encoding="utf-8"?>
<meta xmlns="http://schemas.apple.com/cocoa/2006/metadata">
  <generator>CocoaOOXMLWriter/2685.6</generator>
</meta>
</file>