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LEI Nº 11.603, de 30 de novembro de 2000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5670"/>
      </w:pPr>
      <w:r>
        <w:rPr>
          <w:rFonts w:ascii="Times New Roman" w:hAnsi="Times New Roman" w:cs="Times New Roman"/>
          <w:sz w:val="20"/>
          <w:sz-cs w:val="20"/>
        </w:rPr>
        <w:t xml:space="preserve">Procedência – Dep. Jaime Duarte</w:t>
      </w:r>
    </w:p>
    <w:p>
      <w:pPr>
        <w:jc w:val="both"/>
        <w:ind w:left="5670"/>
      </w:pPr>
      <w:r>
        <w:rPr>
          <w:rFonts w:ascii="Times New Roman" w:hAnsi="Times New Roman" w:cs="Times New Roman"/>
          <w:sz w:val="20"/>
          <w:sz-cs w:val="20"/>
        </w:rPr>
        <w:t xml:space="preserve">Natureza – PL 246/2000</w:t>
      </w:r>
    </w:p>
    <w:p>
      <w:pPr>
        <w:jc w:val="both"/>
        <w:ind w:left="5670"/>
      </w:pPr>
      <w:r>
        <w:rPr>
          <w:rFonts w:ascii="Times New Roman" w:hAnsi="Times New Roman" w:cs="Times New Roman"/>
          <w:sz w:val="20"/>
          <w:sz-cs w:val="20"/>
        </w:rPr>
        <w:t xml:space="preserve">DO. 16.552 de 04/12/2000</w:t>
      </w:r>
    </w:p>
    <w:p>
      <w:pPr>
        <w:jc w:val="both"/>
        <w:ind w:left="5670"/>
      </w:pPr>
      <w:r>
        <w:rPr>
          <w:rFonts w:ascii="Times New Roman" w:hAnsi="Times New Roman" w:cs="Times New Roman"/>
          <w:sz w:val="20"/>
          <w:sz-cs w:val="20"/>
        </w:rPr>
        <w:t xml:space="preserve">* Regulamentação Decretos: 4780-(20/05/02)</w:t>
      </w:r>
    </w:p>
    <w:p>
      <w:pPr>
        <w:jc w:val="both"/>
        <w:ind w:left="5670"/>
      </w:pPr>
      <w:r>
        <w:rPr>
          <w:rFonts w:ascii="Times New Roman" w:hAnsi="Times New Roman" w:cs="Times New Roman"/>
          <w:sz w:val="20"/>
          <w:sz-cs w:val="20"/>
        </w:rPr>
        <w:t xml:space="preserve">Fonte – ALESC/Div. Documentação</w:t>
      </w:r>
    </w:p>
    <w:p>
      <w:pPr>
        <w:jc w:val="both"/>
        <w:ind w:left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1701"/>
      </w:pPr>
      <w:r>
        <w:rPr>
          <w:rFonts w:ascii="Times New Roman" w:hAnsi="Times New Roman" w:cs="Times New Roman"/>
          <w:sz w:val="24"/>
          <w:sz-cs w:val="24"/>
        </w:rPr>
        <w:t xml:space="preserve">Dispõe sobre as sanções a serem aplicadas aos municípios que não mantiverem funcionando o Conselho Municipal dos Direitos da Criança e do Adolescente e o Conselho Tutelar. 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O GOVERNADOR DO ESTADO DE SANTA CATARINA,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Faço saber a todos os habitantes deste Estado que a Assembléia Legislativa decreta e eu sanciono a seguinte Lei: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Art. 1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O Poder Executivo Estadual não repassará verbas de assistência social, subvenção social, nem cederá funcionários ao Município que não tiver instalado, em pleno e eficaz funcionamento, o Conselho Municipal dos Direitos da Criança e do Adolescente e o Conselho Tutelar, nos termos da Lei federal n. 8.069.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Art. 2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A comprovação de pleno funcionamento e a constatação de sua eficiência dar-se-á através dos relatórios anuais de atividades a serem enviados ao Poder Executivo Estadual pelos Conselhos Municipais dos Direitos da Criança e do Adolescente e pelo Conselho Tutelar, contendo suas deliberações, encaminhamentos, notificações e outras atividades inerentes a cada conselho, para que seja emitido parecer avaliatório pela Secretaria de Estado do Desenvolvimento Social e da Família. 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Art. 3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O Poder Executivo regulamentará esta Lei no prazo de sessenta dias contados a partir da data de sua publicação.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Art. 4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Esta Lei entra em vigor na data de sua publicação.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Art. 5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Revogam-se as disposições em contrário.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>Florianópolis, 30 de novembro de 2000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ESPERIDIÃO AMIN HELOU FILHO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Governador do Estado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>TFR</Manager>
  <Company>Assembléia Legislativa de Santa Catarina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Nº 11.603, de 30 de novembro de  2000</dc:title>
  <dc:subject/>
  <dc:creator>Divisão de Documentação</dc:creator>
  <cp:keywords>11603       Conselho Municipal dos Direitos da Criança e do Adolescente           Conselho Tutelar</cp:keywords>
  <cp:lastModifiedBy>Eduardo Belisário</cp:lastModifiedBy>
  <dcterms:created>2000-12-19T11:41:00Z</dcterms:created>
  <dcterms:modified>2000-12-19T11:41:00Z</dcterms:modified>
</cp:coreProperties>
</file>

<file path=docProps/meta.xml><?xml version="1.0" encoding="utf-8"?>
<meta xmlns="http://schemas.apple.com/cocoa/2006/metadata">
  <generator>CocoaOOXMLWriter/2685.6</generator>
</meta>
</file>