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1CB1" w14:textId="706043C0" w:rsidR="009F7222" w:rsidRPr="009F7222" w:rsidRDefault="009F7222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9F7222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9509D8">
        <w:rPr>
          <w:rFonts w:ascii="Book Antiqua" w:hAnsi="Book Antiqua"/>
          <w:b/>
          <w:bCs/>
          <w:color w:val="FF0000"/>
          <w:sz w:val="19"/>
          <w:szCs w:val="19"/>
        </w:rPr>
        <w:t>1</w:t>
      </w:r>
      <w:r w:rsidR="001F1010">
        <w:rPr>
          <w:rFonts w:ascii="Book Antiqua" w:hAnsi="Book Antiqua"/>
          <w:b/>
          <w:bCs/>
          <w:color w:val="FF0000"/>
          <w:sz w:val="19"/>
          <w:szCs w:val="19"/>
        </w:rPr>
        <w:t>9</w:t>
      </w:r>
      <w:r w:rsidR="009509D8">
        <w:rPr>
          <w:rFonts w:ascii="Book Antiqua" w:hAnsi="Book Antiqua"/>
          <w:b/>
          <w:bCs/>
          <w:color w:val="FF0000"/>
          <w:sz w:val="19"/>
          <w:szCs w:val="19"/>
        </w:rPr>
        <w:t>/05</w:t>
      </w:r>
      <w:r w:rsidR="00B10377">
        <w:rPr>
          <w:rFonts w:ascii="Book Antiqua" w:hAnsi="Book Antiqua"/>
          <w:b/>
          <w:bCs/>
          <w:color w:val="FF0000"/>
          <w:sz w:val="19"/>
          <w:szCs w:val="19"/>
        </w:rPr>
        <w:t>/2024</w:t>
      </w:r>
      <w:r w:rsidRPr="009F7222">
        <w:rPr>
          <w:rFonts w:ascii="Book Antiqua" w:hAnsi="Book Antiqua"/>
          <w:b/>
          <w:bCs/>
          <w:color w:val="FF0000"/>
          <w:sz w:val="19"/>
          <w:szCs w:val="19"/>
        </w:rPr>
        <w:t>: questões de concurso e alterações legislativas</w:t>
      </w:r>
      <w:r w:rsidR="00306534">
        <w:rPr>
          <w:rFonts w:ascii="Book Antiqua" w:hAnsi="Book Antiqua"/>
          <w:b/>
          <w:bCs/>
          <w:color w:val="FF0000"/>
          <w:sz w:val="19"/>
          <w:szCs w:val="19"/>
        </w:rPr>
        <w:t xml:space="preserve"> – </w:t>
      </w:r>
      <w:r w:rsidR="00306534" w:rsidRPr="00306534">
        <w:rPr>
          <w:rFonts w:ascii="Book Antiqua" w:hAnsi="Book Antiqua"/>
          <w:b/>
          <w:bCs/>
          <w:color w:val="FF0000"/>
          <w:sz w:val="19"/>
          <w:szCs w:val="19"/>
          <w:highlight w:val="cyan"/>
        </w:rPr>
        <w:t xml:space="preserve">REVOGADO pelo </w:t>
      </w:r>
      <w:r w:rsidR="00306534" w:rsidRPr="00306534">
        <w:rPr>
          <w:rFonts w:ascii="Book Antiqua" w:hAnsi="Book Antiqua"/>
          <w:b/>
          <w:bCs/>
          <w:color w:val="FF0000"/>
          <w:sz w:val="19"/>
          <w:szCs w:val="19"/>
          <w:highlight w:val="cyan"/>
        </w:rPr>
        <w:t>Provimento n. 182, de 17 de setembro de 2024</w:t>
      </w:r>
      <w:r w:rsidRPr="009F7222">
        <w:rPr>
          <w:rFonts w:ascii="Book Antiqua" w:hAnsi="Book Antiqua"/>
          <w:b/>
          <w:bCs/>
          <w:color w:val="FF0000"/>
          <w:sz w:val="19"/>
          <w:szCs w:val="19"/>
        </w:rPr>
        <w:t>)</w:t>
      </w:r>
    </w:p>
    <w:p w14:paraId="3F1E8A2C" w14:textId="2109F253" w:rsidR="003947DE" w:rsidRPr="009F7222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9F7222">
        <w:rPr>
          <w:rFonts w:ascii="Book Antiqua" w:hAnsi="Book Antiqua"/>
          <w:b/>
          <w:bCs/>
          <w:sz w:val="19"/>
          <w:szCs w:val="19"/>
        </w:rPr>
        <w:t>PROVIMENTO N. 63, DE 14 DE NOVEMBRO DE 2017.</w:t>
      </w:r>
    </w:p>
    <w:p w14:paraId="2119C7DF" w14:textId="0DB5E9B6" w:rsidR="003947DE" w:rsidRPr="003947DE" w:rsidRDefault="003947DE" w:rsidP="003947DE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9F7222">
        <w:rPr>
          <w:rFonts w:ascii="Book Antiqua" w:hAnsi="Book Antiqua"/>
          <w:b/>
          <w:bCs/>
          <w:sz w:val="19"/>
          <w:szCs w:val="19"/>
        </w:rPr>
        <w:t>I</w:t>
      </w:r>
      <w:r w:rsidRPr="003947DE">
        <w:rPr>
          <w:rFonts w:ascii="Book Antiqua" w:hAnsi="Book Antiqua"/>
          <w:sz w:val="19"/>
          <w:szCs w:val="19"/>
        </w:rPr>
        <w:t>nstitui modelos únicos de certidão de nascimento, de casamento e de óbito, a serem adotadas pelos ofícios de registro civil das pessoas naturais, e dispõe sobre o reconhecimento voluntário e a averbação da paternidade e maternidade socioafetiva no Livro “A” e sobre o registro de nascimento e emissão da respectiva certidão dos filhos havidos por reprodução assistida.</w:t>
      </w:r>
    </w:p>
    <w:p w14:paraId="6F4C6F7E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O CORREGEDOR NACIONAL DE JUSTIÇA, usando de suas atribuições, legais e regimentais e</w:t>
      </w:r>
    </w:p>
    <w:p w14:paraId="39AE7F6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poder de fiscalização e de normatização do Poder Judiciário dos atos praticados por seus órgãos (art. 103-B, § 4º, I, II e III, da Constituição Federal de 1988);</w:t>
      </w:r>
    </w:p>
    <w:p w14:paraId="04AFB014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competência do Poder Judiciário de fiscalizar os serviços notariais e de registro (</w:t>
      </w:r>
      <w:proofErr w:type="spellStart"/>
      <w:r w:rsidRPr="003947DE">
        <w:rPr>
          <w:rFonts w:ascii="Book Antiqua" w:hAnsi="Book Antiqua"/>
          <w:sz w:val="19"/>
          <w:szCs w:val="19"/>
        </w:rPr>
        <w:t>arts</w:t>
      </w:r>
      <w:proofErr w:type="spellEnd"/>
      <w:r w:rsidRPr="003947DE">
        <w:rPr>
          <w:rFonts w:ascii="Book Antiqua" w:hAnsi="Book Antiqua"/>
          <w:sz w:val="19"/>
          <w:szCs w:val="19"/>
        </w:rPr>
        <w:t>. 103-B, § 4º, I e III, e 236, § 1º, da Constituição Federal);</w:t>
      </w:r>
    </w:p>
    <w:p w14:paraId="1F2D1857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competência da Corregedoria Nacional de Justiça de regulamentar a padronização das certidões de nascimento, casamento, óbito e certidão de inteiro teor (art. 19, caput, da Lei de Registros Públicos);</w:t>
      </w:r>
    </w:p>
    <w:p w14:paraId="112E5F6F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existência de convênio firmado entre a Associação dos Registradores de Pessoas Naturais (ARPEN-Brasil) e a Receita Federal do Brasil (RFB) que viabiliza a integração da Central Nacional de Informações do Registro Civil (CRC) com o banco de dados da RFB;</w:t>
      </w:r>
    </w:p>
    <w:p w14:paraId="72DD8938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gratuidade da incorporação do número do Cadastro de Pessoas Físicas (CPF) aos documentos de identidade civil da União, dos Estados e do Distrito Federal e, mediante essa integração de dados, a possibilidade de verificação do cumprimento dos requisitos de elegibilidade para concessão e manutenção dos benefícios sociais pelo órgão concedente (art. 9º da Lei n. 13.444, de 11 de maio de 2017);</w:t>
      </w:r>
    </w:p>
    <w:p w14:paraId="79E8E7A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possibilidade de a naturalidade do cidadão corresponder à do município em que ocorreu o nascimento ou à do município de residência da mãe do registrando, desde que localizado em território nacional,</w:t>
      </w:r>
      <w:r>
        <w:rPr>
          <w:rFonts w:ascii="Book Antiqua" w:hAnsi="Book Antiqua"/>
          <w:sz w:val="19"/>
          <w:szCs w:val="19"/>
        </w:rPr>
        <w:t xml:space="preserve"> </w:t>
      </w:r>
      <w:r w:rsidRPr="003947DE">
        <w:rPr>
          <w:rFonts w:ascii="Book Antiqua" w:hAnsi="Book Antiqua"/>
          <w:sz w:val="19"/>
          <w:szCs w:val="19"/>
        </w:rPr>
        <w:t>cabendo a opção ao declarante no ato de registro de nascimento (art. 1º da Lei n. 13.484, de 26 de setembro de 2017);</w:t>
      </w:r>
    </w:p>
    <w:p w14:paraId="10EA847E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possibilidade, no caso de adoção iniciada antes do registro de nascimento, de o declarante optar pela naturalidade do município de residência do adotante na data do registro;</w:t>
      </w:r>
    </w:p>
    <w:p w14:paraId="53E4DC0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necessidade de constar no assento de casamento a naturalidade dos cônjuges (art. 1º da Lei n. 13.484/2017);</w:t>
      </w:r>
    </w:p>
    <w:p w14:paraId="1B2DEF0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importância da integração de dados para aumentar a confiabilidade da documentação e diminuir as possibilidades de fraudes no país, além de contemplar as fontes primárias de todo e qualquer cidadão concernentes ao nascimento, casamento e óbito, que compõem a base de dados da CRC;</w:t>
      </w:r>
    </w:p>
    <w:p w14:paraId="2AC413D0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eventual interesse de pessoa física de solicitar, quando da expedição de nascimento atualizada, a averbação de outros documentos, de forma a facilitar seu acesso a programas sociais e reunir informações em documento único;</w:t>
      </w:r>
    </w:p>
    <w:p w14:paraId="05A46810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sistema de registro eletrônico, que facilita a interoperabilidade de dados (</w:t>
      </w:r>
      <w:proofErr w:type="spellStart"/>
      <w:r w:rsidRPr="003947DE">
        <w:rPr>
          <w:rFonts w:ascii="Book Antiqua" w:hAnsi="Book Antiqua"/>
          <w:sz w:val="19"/>
          <w:szCs w:val="19"/>
        </w:rPr>
        <w:t>arts</w:t>
      </w:r>
      <w:proofErr w:type="spellEnd"/>
      <w:r w:rsidRPr="003947DE">
        <w:rPr>
          <w:rFonts w:ascii="Book Antiqua" w:hAnsi="Book Antiqua"/>
          <w:sz w:val="19"/>
          <w:szCs w:val="19"/>
        </w:rPr>
        <w:t>. 37 e seguintes da Lei n. 11.977, de 7 de julho de 2009);</w:t>
      </w:r>
    </w:p>
    <w:p w14:paraId="574FA521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direito do adotado de acesso irrestrito a todos os procedimentos e incidentes da adoção (art. 48 do Estatuto da Criança e do Adolescente);</w:t>
      </w:r>
    </w:p>
    <w:p w14:paraId="63E6674C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lastRenderedPageBreak/>
        <w:t xml:space="preserve">CONSIDERANDO a existência de regulamentação pelas </w:t>
      </w:r>
      <w:proofErr w:type="spellStart"/>
      <w:r w:rsidRPr="003947DE">
        <w:rPr>
          <w:rFonts w:ascii="Book Antiqua" w:hAnsi="Book Antiqua"/>
          <w:sz w:val="19"/>
          <w:szCs w:val="19"/>
        </w:rPr>
        <w:t>corregedoriasgerais</w:t>
      </w:r>
      <w:proofErr w:type="spellEnd"/>
      <w:r w:rsidRPr="003947DE">
        <w:rPr>
          <w:rFonts w:ascii="Book Antiqua" w:hAnsi="Book Antiqua"/>
          <w:sz w:val="19"/>
          <w:szCs w:val="19"/>
        </w:rPr>
        <w:t xml:space="preserve"> de justiça dos Estados do reconhecimento voluntário de paternidade e maternidade socioafetiva perante os oficiais de registro civil das pessoas naturais;</w:t>
      </w:r>
    </w:p>
    <w:p w14:paraId="335A4116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conveniência de edição de normas básicas e uniformes para a realização do registro ou averbação, visando conferir segurança jurídica à paternidade ou à maternidade socioafetiva estabelecida, inclusive no que diz respeito a aspectos sucessórios e patrimoniais;</w:t>
      </w:r>
      <w:r>
        <w:rPr>
          <w:rFonts w:ascii="Book Antiqua" w:hAnsi="Book Antiqua"/>
          <w:sz w:val="19"/>
          <w:szCs w:val="19"/>
        </w:rPr>
        <w:t xml:space="preserve"> </w:t>
      </w:r>
      <w:r w:rsidRPr="003947DE">
        <w:rPr>
          <w:rFonts w:ascii="Book Antiqua" w:hAnsi="Book Antiqua"/>
          <w:sz w:val="19"/>
          <w:szCs w:val="19"/>
        </w:rPr>
        <w:t xml:space="preserve">CONSIDERANDO a ampla aceitação doutrinária e jurisprudencial </w:t>
      </w:r>
      <w:proofErr w:type="gramStart"/>
      <w:r w:rsidRPr="003947DE">
        <w:rPr>
          <w:rFonts w:ascii="Book Antiqua" w:hAnsi="Book Antiqua"/>
          <w:sz w:val="19"/>
          <w:szCs w:val="19"/>
        </w:rPr>
        <w:t xml:space="preserve">da </w:t>
      </w:r>
      <w:r>
        <w:rPr>
          <w:rFonts w:ascii="Book Antiqua" w:hAnsi="Book Antiqua"/>
          <w:sz w:val="19"/>
          <w:szCs w:val="19"/>
        </w:rPr>
        <w:t xml:space="preserve"> </w:t>
      </w:r>
      <w:r w:rsidRPr="003947DE">
        <w:rPr>
          <w:rFonts w:ascii="Book Antiqua" w:hAnsi="Book Antiqua"/>
          <w:sz w:val="19"/>
          <w:szCs w:val="19"/>
        </w:rPr>
        <w:t>paternidade</w:t>
      </w:r>
      <w:proofErr w:type="gramEnd"/>
      <w:r w:rsidRPr="003947DE">
        <w:rPr>
          <w:rFonts w:ascii="Book Antiqua" w:hAnsi="Book Antiqua"/>
          <w:sz w:val="19"/>
          <w:szCs w:val="19"/>
        </w:rPr>
        <w:t xml:space="preserve"> e maternidade socioafetiva, contemplando os princípios da afetividade e da dignidade da pessoa humana como fundamento da filiação civil;</w:t>
      </w:r>
    </w:p>
    <w:p w14:paraId="40050206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possibilidade de o parentesco resultar de outra origem que não a consanguinidade e o reconhecimento dos mesmos direitos e qualificações aos filhos, havidos ou não da relação de casamento ou por adoção, proibida toda designação discriminatória relativa à filiação (</w:t>
      </w:r>
      <w:proofErr w:type="spellStart"/>
      <w:r w:rsidRPr="003947DE">
        <w:rPr>
          <w:rFonts w:ascii="Book Antiqua" w:hAnsi="Book Antiqua"/>
          <w:sz w:val="19"/>
          <w:szCs w:val="19"/>
        </w:rPr>
        <w:t>arts</w:t>
      </w:r>
      <w:proofErr w:type="spellEnd"/>
      <w:r w:rsidRPr="003947DE">
        <w:rPr>
          <w:rFonts w:ascii="Book Antiqua" w:hAnsi="Book Antiqua"/>
          <w:sz w:val="19"/>
          <w:szCs w:val="19"/>
        </w:rPr>
        <w:t>. 1.539 e 1.596 do Código Civil);</w:t>
      </w:r>
    </w:p>
    <w:p w14:paraId="58590B54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possibilidade de reconhecimento voluntário da paternidade perante o oficial de registro civil das pessoas naturais e, ante o princípio da igualdade jurídica e de filiação, de reconhecimento voluntário da paternidade ou maternidade socioafetiva;</w:t>
      </w:r>
    </w:p>
    <w:p w14:paraId="5E4752FA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necessidade de averbação, em registro público, dos atos judiciais ou extrajudiciais que declararem ou reconhecerem a filiação (art. 10, II, do Código Civil);</w:t>
      </w:r>
    </w:p>
    <w:p w14:paraId="5E8506E3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fato de que a paternidade socioafetiva, declarada ou não em registro público, não impede o reconhecimento do vínculo de filiação concomitante baseado na origem biológica, com os efeitos jurídicos próprios (Supremo Tribunal Federal – RE n. 898.060/SC);</w:t>
      </w:r>
    </w:p>
    <w:p w14:paraId="75A02611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previsto no art. 227, § 6º, da Constituição Federal e no art. 1.609 do Código Civil;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16EC058E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as disposições do Provimento CN-CNJ n. 13, de 3 de setembro de 2010, bem como da Resolução CNJ n. 175, de 14 de maio de 2013;</w:t>
      </w:r>
    </w:p>
    <w:p w14:paraId="038EF421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reconhecimento da união contínua, pública e duradoura entre pessoas do mesmo sexo como família, com eficácia erga omnes e efeito vinculante para toda a administração pública e demais órgãos do Poder Judiciário (Supremo Tribunal Federal, ADPF n. 132/RJ e ADI n. 4.277/DF);</w:t>
      </w:r>
    </w:p>
    <w:p w14:paraId="1BFF8363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garantia do direito ao casamento civil às pessoas do mesmo sexo (Superior Tribunal de Justiça, REsp n. 1.183.378/RS);</w:t>
      </w:r>
    </w:p>
    <w:p w14:paraId="1F86E9F3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as normas éticas para uso de técnicas de reprodução assistida, tornando-as dispositivo deontológico a ser seguido por todos os médicos brasileiros (Resolução CFM n. 2.121, DOU de 24 de setembro de 2015);</w:t>
      </w:r>
    </w:p>
    <w:p w14:paraId="70BBB07E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necessidade de uniformização, em todo o território nacional, do registro de nascimento e da emissão da respectiva certidão para filhos havidos por técnica de reprodução assistida de casais homoafetivos e heteroafetivos;</w:t>
      </w:r>
    </w:p>
    <w:p w14:paraId="7D39F174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competência da Corregedoria Nacional de Justiça de expedir provimentos e outros atos normativos destinados ao aperfeiçoamento das atividades dos serviços notariais e de registro (art. 8º, X, do Regimento Interno do Conselho Nacional de Justiça);</w:t>
      </w:r>
    </w:p>
    <w:p w14:paraId="6B1FC30D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as sugestões encaminhadas à Corregedoria Nacional de Justiça, bem como as decisões proferidas nos autos dos Pedidos de Providência n. 0006194-84.2016.2.00.0000, 0002653-77.2015.2.00.0000, 00003764-28.2017.2.00.0000 e 0005066-92.2017.2.00.0000, em trâmite no Conselho Nacional de Justiça,</w:t>
      </w:r>
    </w:p>
    <w:p w14:paraId="18ABE6CF" w14:textId="5B8A7E65" w:rsidR="003947DE" w:rsidRP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RESOLVE:</w:t>
      </w:r>
    </w:p>
    <w:p w14:paraId="15C25A29" w14:textId="77777777" w:rsidR="003947DE" w:rsidRPr="003947DE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lastRenderedPageBreak/>
        <w:t>Seção I</w:t>
      </w:r>
    </w:p>
    <w:p w14:paraId="5C098AE5" w14:textId="77777777" w:rsidR="003947DE" w:rsidRPr="003947DE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Das regras gerais</w:t>
      </w:r>
    </w:p>
    <w:p w14:paraId="3CFB6EDF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Art. 1º Os modelos únicos de certidão de nascimento, de casamento e de óbito, a serem adotados pelos ofícios de registro civil das pessoas naturais em todo o país, ficam instituídos na forma dos Anexos I, II e III deste provimento.</w:t>
      </w:r>
    </w:p>
    <w:p w14:paraId="4B4A14D7" w14:textId="781DD99D" w:rsidR="003947DE" w:rsidRPr="00475E9C" w:rsidRDefault="003947DE" w:rsidP="00475E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75E9C">
        <w:rPr>
          <w:rFonts w:ascii="Book Antiqua" w:hAnsi="Book Antiqua"/>
          <w:sz w:val="19"/>
          <w:szCs w:val="19"/>
        </w:rPr>
        <w:t xml:space="preserve">Art. 2º </w:t>
      </w:r>
      <w:r w:rsidR="00475E9C" w:rsidRPr="00475E9C">
        <w:rPr>
          <w:rFonts w:ascii="Book Antiqua" w:hAnsi="Book Antiqua"/>
          <w:sz w:val="19"/>
          <w:szCs w:val="19"/>
        </w:rPr>
        <w:t xml:space="preserve">(revogado pelo Provimento CN n.  149, de 30.8.2023) </w:t>
      </w:r>
    </w:p>
    <w:p w14:paraId="22115E85" w14:textId="21BB2BBF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3º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4E560ABB" w14:textId="742350C9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4º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11346FA4" w14:textId="71F22354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5º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544395FB" w14:textId="204CD115" w:rsidR="003947DE" w:rsidRDefault="003947DE" w:rsidP="00475E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75E9C">
        <w:rPr>
          <w:rFonts w:ascii="Book Antiqua" w:hAnsi="Book Antiqua"/>
          <w:sz w:val="19"/>
          <w:szCs w:val="19"/>
        </w:rPr>
        <w:t xml:space="preserve">Art. 6º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  <w:r w:rsidR="00475E9C">
        <w:rPr>
          <w:rFonts w:ascii="Book Antiqua" w:hAnsi="Book Antiqua"/>
          <w:sz w:val="19"/>
          <w:szCs w:val="19"/>
        </w:rPr>
        <w:t xml:space="preserve"> </w:t>
      </w:r>
    </w:p>
    <w:p w14:paraId="099746A2" w14:textId="46C4AC13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7º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0C82A97C" w14:textId="460F2DBA" w:rsidR="003947DE" w:rsidRPr="00475E9C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475E9C">
        <w:rPr>
          <w:rFonts w:ascii="Book Antiqua" w:hAnsi="Book Antiqua"/>
          <w:sz w:val="19"/>
          <w:szCs w:val="19"/>
        </w:rPr>
        <w:t xml:space="preserve">Art. 8º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  <w:r w:rsidR="00475E9C">
        <w:rPr>
          <w:rFonts w:ascii="Book Antiqua" w:hAnsi="Book Antiqua"/>
          <w:sz w:val="19"/>
          <w:szCs w:val="19"/>
        </w:rPr>
        <w:t xml:space="preserve"> </w:t>
      </w:r>
    </w:p>
    <w:p w14:paraId="1C6E244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75E9C">
        <w:rPr>
          <w:rFonts w:ascii="Book Antiqua" w:hAnsi="Book Antiqua"/>
          <w:sz w:val="19"/>
          <w:szCs w:val="19"/>
        </w:rPr>
        <w:t>Art. 9º Os novos modelos deverão ser implementados até o dia</w:t>
      </w:r>
      <w:r w:rsidRPr="003947DE">
        <w:rPr>
          <w:rFonts w:ascii="Book Antiqua" w:hAnsi="Book Antiqua"/>
          <w:sz w:val="19"/>
          <w:szCs w:val="19"/>
        </w:rPr>
        <w:t xml:space="preserve"> 1º de janeiro de 2018 e não devem conter quadros preestabelecidos para o preenchimento dos nomes dos genitores e progenitores, bem como para anotações de cadastro que não estejam averbadas ou anotadas nos respectivos registros.</w:t>
      </w:r>
    </w:p>
    <w:p w14:paraId="454FEC7D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Parágrafo único. As certidões expedidas em modelo diverso até a data de implementação mencionada no caput deste artigo não precisarão ser substituídas e permanecerão válidas por prazo indeterminado.</w:t>
      </w:r>
    </w:p>
    <w:p w14:paraId="48F13FF0" w14:textId="61FD165E" w:rsidR="003947DE" w:rsidRPr="003947DE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Seção II</w:t>
      </w:r>
    </w:p>
    <w:p w14:paraId="7B6CF077" w14:textId="1EFF0839" w:rsidR="003947DE" w:rsidRPr="003947DE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Da Paternidade Socioafetiva</w:t>
      </w:r>
    </w:p>
    <w:p w14:paraId="7DA5BC36" w14:textId="2E8D44A8" w:rsidR="003947DE" w:rsidRPr="002266A2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  <w:u w:val="single"/>
        </w:rPr>
      </w:pPr>
      <w:r w:rsidRPr="002266A2">
        <w:rPr>
          <w:rFonts w:ascii="Book Antiqua" w:hAnsi="Book Antiqua"/>
          <w:sz w:val="19"/>
          <w:szCs w:val="19"/>
        </w:rPr>
        <w:t xml:space="preserve">Art. 10. </w:t>
      </w:r>
      <w:r w:rsidR="002266A2" w:rsidRPr="002266A2">
        <w:rPr>
          <w:rFonts w:ascii="Book Antiqua" w:hAnsi="Book Antiqua"/>
          <w:sz w:val="19"/>
          <w:szCs w:val="19"/>
        </w:rPr>
        <w:t xml:space="preserve">(revogado pelo Provimento CN n.  149, de 30.8.2023) </w:t>
      </w:r>
    </w:p>
    <w:p w14:paraId="1939483A" w14:textId="70DDDB9A" w:rsidR="003947DE" w:rsidRPr="002266A2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66A2">
        <w:rPr>
          <w:rFonts w:ascii="Book Antiqua" w:hAnsi="Book Antiqua"/>
          <w:sz w:val="19"/>
          <w:szCs w:val="19"/>
        </w:rPr>
        <w:t xml:space="preserve">Art. 10-A.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7933AF7B" w14:textId="327BF4A6" w:rsidR="002266A2" w:rsidRDefault="003947DE" w:rsidP="002266A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66A2">
        <w:rPr>
          <w:rFonts w:ascii="Book Antiqua" w:hAnsi="Book Antiqua"/>
          <w:sz w:val="19"/>
          <w:szCs w:val="19"/>
        </w:rPr>
        <w:t xml:space="preserve">Art. 11.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16DD7D26" w14:textId="6D7EC029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12.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  <w:r w:rsidRPr="002266A2">
        <w:rPr>
          <w:rFonts w:ascii="Book Antiqua" w:hAnsi="Book Antiqua"/>
          <w:sz w:val="18"/>
          <w:szCs w:val="18"/>
        </w:rPr>
        <w:t>.</w:t>
      </w:r>
      <w:r w:rsidR="006A5D95" w:rsidRPr="002266A2">
        <w:rPr>
          <w:rFonts w:ascii="Book Antiqua" w:hAnsi="Book Antiqua"/>
          <w:sz w:val="18"/>
          <w:szCs w:val="18"/>
        </w:rPr>
        <w:t xml:space="preserve"> </w:t>
      </w:r>
    </w:p>
    <w:p w14:paraId="05F68BFA" w14:textId="094AA8A4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13.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323766A4" w14:textId="6F76E024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2266A2">
        <w:rPr>
          <w:rFonts w:ascii="Book Antiqua" w:hAnsi="Book Antiqua"/>
          <w:sz w:val="19"/>
          <w:szCs w:val="19"/>
        </w:rPr>
        <w:t xml:space="preserve">Art. 14.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  <w:r w:rsidRPr="002266A2">
        <w:rPr>
          <w:rFonts w:ascii="Book Antiqua" w:hAnsi="Book Antiqua"/>
          <w:sz w:val="16"/>
          <w:szCs w:val="16"/>
        </w:rPr>
        <w:t>.</w:t>
      </w:r>
    </w:p>
    <w:p w14:paraId="1A399D9E" w14:textId="7ADA738B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15.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2F342DB2" w14:textId="465DDED0" w:rsidR="003947DE" w:rsidRPr="003947DE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Seção III</w:t>
      </w:r>
    </w:p>
    <w:p w14:paraId="7FC9DB9A" w14:textId="77777777" w:rsidR="003947DE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Da Reprodução Assistida</w:t>
      </w:r>
    </w:p>
    <w:p w14:paraId="06E481E0" w14:textId="37CE9D77" w:rsidR="002266A2" w:rsidRPr="003947DE" w:rsidRDefault="002266A2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08EFC684" w14:textId="147095D4" w:rsidR="002266A2" w:rsidRPr="003146FB" w:rsidRDefault="003947DE" w:rsidP="002266A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16.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05D59FF1" w14:textId="2749F1C9" w:rsidR="009F7222" w:rsidRPr="003146FB" w:rsidRDefault="009F7222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</w:p>
    <w:p w14:paraId="43CF1542" w14:textId="1E52C4D7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17.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0B1BA061" w14:textId="1103F8CE" w:rsidR="009F7222" w:rsidRDefault="003947DE" w:rsidP="002266A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18.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5D2BA550" w14:textId="064EEDFB" w:rsidR="003947DE" w:rsidRPr="003947DE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19.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465B3B4C" w14:textId="77777777" w:rsidR="003947DE" w:rsidRPr="003947DE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Seção IV</w:t>
      </w:r>
    </w:p>
    <w:p w14:paraId="34FEAF26" w14:textId="77777777" w:rsidR="003947DE" w:rsidRPr="003947DE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Das Disposições Finais</w:t>
      </w:r>
    </w:p>
    <w:p w14:paraId="61CEBE3B" w14:textId="7F522CCB" w:rsidR="003947DE" w:rsidRPr="003947DE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Art. 20. Revogam-se os Provimentos CN-CNJ n. 2 e 3, de 27 de abril de 2009, e 52, de 14 de março de 2016.</w:t>
      </w:r>
    </w:p>
    <w:p w14:paraId="5364B925" w14:textId="77777777" w:rsidR="003947DE" w:rsidRPr="003947DE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Art. 21. Este provimento entra em vigor na data de sua publicação.</w:t>
      </w:r>
    </w:p>
    <w:p w14:paraId="5A1FA6DE" w14:textId="77777777" w:rsidR="003947DE" w:rsidRPr="003947DE" w:rsidRDefault="003947DE" w:rsidP="003947D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 </w:t>
      </w:r>
    </w:p>
    <w:p w14:paraId="5620C042" w14:textId="5BB6D227" w:rsidR="003947DE" w:rsidRPr="009F7222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9F7222">
        <w:rPr>
          <w:rFonts w:ascii="Book Antiqua" w:hAnsi="Book Antiqua"/>
          <w:b/>
          <w:bCs/>
          <w:sz w:val="19"/>
          <w:szCs w:val="19"/>
        </w:rPr>
        <w:t>Ministro JOÃO OTÁVIO DE NORONHA.</w:t>
      </w:r>
    </w:p>
    <w:sectPr w:rsidR="003947DE" w:rsidRPr="009F7222" w:rsidSect="00E34049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F4"/>
    <w:rsid w:val="00077563"/>
    <w:rsid w:val="00081CB4"/>
    <w:rsid w:val="0009663A"/>
    <w:rsid w:val="00116FDA"/>
    <w:rsid w:val="001F1010"/>
    <w:rsid w:val="002266A2"/>
    <w:rsid w:val="00232903"/>
    <w:rsid w:val="00280529"/>
    <w:rsid w:val="00306534"/>
    <w:rsid w:val="003146FB"/>
    <w:rsid w:val="00367825"/>
    <w:rsid w:val="003947DE"/>
    <w:rsid w:val="00395928"/>
    <w:rsid w:val="004342FF"/>
    <w:rsid w:val="00442677"/>
    <w:rsid w:val="00475E9C"/>
    <w:rsid w:val="004F2A7A"/>
    <w:rsid w:val="00501A95"/>
    <w:rsid w:val="005D0079"/>
    <w:rsid w:val="006433FD"/>
    <w:rsid w:val="006A5D95"/>
    <w:rsid w:val="0072631F"/>
    <w:rsid w:val="007304C6"/>
    <w:rsid w:val="007D6703"/>
    <w:rsid w:val="00807648"/>
    <w:rsid w:val="00867665"/>
    <w:rsid w:val="008C5CE7"/>
    <w:rsid w:val="00950969"/>
    <w:rsid w:val="009509D8"/>
    <w:rsid w:val="009675E3"/>
    <w:rsid w:val="009755F4"/>
    <w:rsid w:val="009F7222"/>
    <w:rsid w:val="00A16D76"/>
    <w:rsid w:val="00A959B6"/>
    <w:rsid w:val="00B10377"/>
    <w:rsid w:val="00B170AE"/>
    <w:rsid w:val="00B9680A"/>
    <w:rsid w:val="00BD67FA"/>
    <w:rsid w:val="00D06481"/>
    <w:rsid w:val="00D545CF"/>
    <w:rsid w:val="00DA26D3"/>
    <w:rsid w:val="00DB0BA3"/>
    <w:rsid w:val="00DF2318"/>
    <w:rsid w:val="00E23B85"/>
    <w:rsid w:val="00E34049"/>
    <w:rsid w:val="00F23965"/>
    <w:rsid w:val="00FF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FFAC7"/>
  <w15:chartTrackingRefBased/>
  <w15:docId w15:val="{4EE48630-04B2-4624-BDFB-7B8460D8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D0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1403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28</cp:revision>
  <dcterms:created xsi:type="dcterms:W3CDTF">2021-10-26T18:18:00Z</dcterms:created>
  <dcterms:modified xsi:type="dcterms:W3CDTF">2026-02-18T16:26:00Z</dcterms:modified>
</cp:coreProperties>
</file>