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B5B1" w14:textId="77777777" w:rsidR="00836854" w:rsidRPr="00836854" w:rsidRDefault="00836854" w:rsidP="006162A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36854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61C9391D" w14:textId="77777777" w:rsidR="00836854" w:rsidRPr="00836854" w:rsidRDefault="00836854" w:rsidP="006162A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36854">
        <w:rPr>
          <w:rFonts w:ascii="Book Antiqua" w:hAnsi="Book Antiqua"/>
          <w:b/>
          <w:bCs/>
          <w:sz w:val="19"/>
          <w:szCs w:val="19"/>
        </w:rPr>
        <w:t>NOTA TÉCNICA Nº 8, DE 15 DE MARÇO DE 2016</w:t>
      </w:r>
    </w:p>
    <w:p w14:paraId="60178326" w14:textId="5DD22EEE" w:rsidR="00836854" w:rsidRPr="00836854" w:rsidRDefault="00836854" w:rsidP="006162A7">
      <w:pPr>
        <w:spacing w:before="100" w:beforeAutospacing="1" w:after="100" w:afterAutospacing="1" w:line="240" w:lineRule="auto"/>
        <w:jc w:val="right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(Publicada no Diário Eletrônico do CNMP, Caderno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Processual, de 14/04/2016, págs. 1/9)</w:t>
      </w:r>
    </w:p>
    <w:p w14:paraId="0D56B4F3" w14:textId="5BE0FBF8" w:rsidR="00836854" w:rsidRPr="00836854" w:rsidRDefault="00836854" w:rsidP="006162A7">
      <w:pPr>
        <w:spacing w:before="100" w:beforeAutospacing="1" w:after="100" w:afterAutospacing="1" w:line="240" w:lineRule="auto"/>
        <w:ind w:left="1985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Nota Técnica sobre a atuação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Público na proteção do direito fundamental à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não discriminação e não submissão a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tratamentos desumanos e degradantes de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pessoas travestis e transexuais, especialmente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quanto ao direito ao uso do nome social no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âmbito da Administração Direta e Indireta da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União, dos Estados e dos Municípios.</w:t>
      </w:r>
    </w:p>
    <w:p w14:paraId="21AD3E7E" w14:textId="4442128A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O CONSELHO NACIONAL DO MINISTÉRIO PÚBLICO, no exercício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das atribuições previstas no artigo 130-A, §2º, I, da Constituição da República, e no artigo 37,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§1º, inciso V, de seu Regimento Interno, expede a presente Nota Técnica, aprovada, à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unanimidade, no julgamento da Nota Técnica nº 0.00.000.000529/2015-18, ocorrido na 5ª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Sessão Ordinária do Plenário, realizada em 15 de março de 2016:</w:t>
      </w:r>
    </w:p>
    <w:p w14:paraId="0E4338D9" w14:textId="77777777" w:rsidR="00836854" w:rsidRPr="00836854" w:rsidRDefault="00836854" w:rsidP="006162A7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836854">
        <w:rPr>
          <w:rFonts w:ascii="Book Antiqua" w:hAnsi="Book Antiqua"/>
          <w:b/>
          <w:bCs/>
          <w:sz w:val="19"/>
          <w:szCs w:val="19"/>
        </w:rPr>
        <w:t>1. INTRODUÇÃO</w:t>
      </w:r>
    </w:p>
    <w:p w14:paraId="07409CB4" w14:textId="1CE8E45B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Trata-se de Nota Técnica destinada a subsidiar a atuação dos membros do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Ministério Público sobre a temática da atuação ministerial na proteção aos direitos da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população LGBTI, especialmente no tocante ao uso do nome social no âmbito da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Administração Direta e Indireta da União e dos Estados.</w:t>
      </w:r>
    </w:p>
    <w:p w14:paraId="09D4F2CF" w14:textId="77777777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27C92E82" w14:textId="7628F2A1" w:rsidR="00836854" w:rsidRPr="00836854" w:rsidRDefault="00836854" w:rsidP="006162A7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836854">
        <w:rPr>
          <w:rFonts w:ascii="Book Antiqua" w:hAnsi="Book Antiqua"/>
          <w:b/>
          <w:bCs/>
          <w:sz w:val="19"/>
          <w:szCs w:val="19"/>
        </w:rPr>
        <w:t>2. DIREITOS FUNDAMENTAIS RELACIONADOS AO NOME SOCIAL DE PESSOAS TRAVESTIS E TRANSEXUAIS</w:t>
      </w:r>
    </w:p>
    <w:p w14:paraId="2792C758" w14:textId="77777777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 ciência não possui definição sobre por que pessoas possuem orientação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sexual e de gênero diversa daquelas pelas quais são biologicamente reconhecidas.</w:t>
      </w:r>
      <w:r w:rsidRPr="00836854">
        <w:rPr>
          <w:rStyle w:val="Refdenotaderodap"/>
          <w:rFonts w:ascii="Book Antiqua" w:hAnsi="Book Antiqua"/>
          <w:sz w:val="19"/>
          <w:szCs w:val="19"/>
        </w:rPr>
        <w:footnoteReference w:id="1"/>
      </w:r>
      <w:r w:rsidRPr="00836854">
        <w:rPr>
          <w:rFonts w:ascii="Book Antiqua" w:hAnsi="Book Antiqua"/>
          <w:sz w:val="19"/>
          <w:szCs w:val="19"/>
        </w:rPr>
        <w:t xml:space="preserve"> O fato é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que tais pessoas existem e são fortemente marginalizadas nas relações sociais.</w:t>
      </w:r>
    </w:p>
    <w:p w14:paraId="6EB050F1" w14:textId="36D5F541" w:rsidR="00BB7FE6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 Constituição Federal fornece balizas sobre o tratamento a ser prestado em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relação às pessoas travestis e transexuais.</w:t>
      </w:r>
    </w:p>
    <w:p w14:paraId="2A2BDB9B" w14:textId="77777777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O primeiro deles é a liberdade de crença, de consciência, de convicção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religiosa e de respeito à vida privada (CF1988, art. 5º, inciso IV, VI, VIII e X), que permite às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pessoas terem seus valores pessoais, dirigirem suas vidas de acordo com tais valores e serem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respeitadas em sua privacidade. Não cabe ao Estado julgar porque as pessoas são travestis e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transexuais, tal autorreconhecimento está na esfera da vida privada e cabe ao Estado tão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somente reconhecer essas manifestações da diversidade humana e assegurar o respeito aos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direitos fundamentais de tais pessoas.</w:t>
      </w:r>
    </w:p>
    <w:p w14:paraId="6AE5BDFA" w14:textId="77777777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Um dos direitos a serem tutelados pelo Estado é a igualdade e a proscrição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toda e qualquer forma de discriminação, prevista no art. 3º, inciso IV, e no art. 5º, caput, e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inciso XLI, ambos da CF/1988. Conferir:</w:t>
      </w:r>
    </w:p>
    <w:p w14:paraId="73A25CC3" w14:textId="59DF69AB" w:rsidR="00836854" w:rsidRPr="00836854" w:rsidRDefault="00836854" w:rsidP="006162A7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Art. 3º Constituem objetivos fundamentais da República Federativa do Brasil:</w:t>
      </w:r>
    </w:p>
    <w:p w14:paraId="09D70D9B" w14:textId="07E338C3" w:rsidR="00836854" w:rsidRPr="00836854" w:rsidRDefault="00836854" w:rsidP="006162A7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 xml:space="preserve">IV- </w:t>
      </w:r>
      <w:proofErr w:type="gramStart"/>
      <w:r w:rsidRPr="00836854">
        <w:rPr>
          <w:rFonts w:ascii="Book Antiqua" w:hAnsi="Book Antiqua"/>
          <w:sz w:val="19"/>
          <w:szCs w:val="19"/>
        </w:rPr>
        <w:t>promover</w:t>
      </w:r>
      <w:proofErr w:type="gramEnd"/>
      <w:r w:rsidRPr="00836854">
        <w:rPr>
          <w:rFonts w:ascii="Book Antiqua" w:hAnsi="Book Antiqua"/>
          <w:sz w:val="19"/>
          <w:szCs w:val="19"/>
        </w:rPr>
        <w:t xml:space="preserve"> o bem de todos, sem preconceitos de origem, raça, sexo, cor,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idade e </w:t>
      </w:r>
      <w:r w:rsidRPr="00DD5077">
        <w:rPr>
          <w:rFonts w:ascii="Book Antiqua" w:hAnsi="Book Antiqua"/>
          <w:b/>
          <w:bCs/>
          <w:sz w:val="19"/>
          <w:szCs w:val="19"/>
        </w:rPr>
        <w:t>quaisquer outras formas de discriminação</w:t>
      </w:r>
      <w:r w:rsidRPr="00836854">
        <w:rPr>
          <w:rFonts w:ascii="Book Antiqua" w:hAnsi="Book Antiqua"/>
          <w:sz w:val="19"/>
          <w:szCs w:val="19"/>
        </w:rPr>
        <w:t>. [grifo nosso]</w:t>
      </w:r>
    </w:p>
    <w:p w14:paraId="1A31B34D" w14:textId="77777777" w:rsidR="00836854" w:rsidRPr="00836854" w:rsidRDefault="00836854" w:rsidP="006162A7">
      <w:pPr>
        <w:spacing w:before="100" w:beforeAutospacing="1" w:after="100" w:afterAutospacing="1" w:line="240" w:lineRule="auto"/>
        <w:ind w:firstLine="709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Art. 5º Todos são iguais perante a lei, sem distinção de qualquer natureza, [...]:</w:t>
      </w:r>
    </w:p>
    <w:p w14:paraId="5BD8F96E" w14:textId="6A9C5A4C" w:rsidR="00836854" w:rsidRPr="00836854" w:rsidRDefault="00836854" w:rsidP="006162A7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lastRenderedPageBreak/>
        <w:t>XLI- a lei punirá qualquer discriminação atentatória dos direitos e liberdades</w:t>
      </w:r>
      <w:r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fundamentais;</w:t>
      </w:r>
    </w:p>
    <w:p w14:paraId="5D081ABA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Finalmente, cabe ao Estado assegurar instrumentos adequados para a proteção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de toda e qualquer forma de tratamento desumano ou degradante, contra quaisquer pessoas,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seja praticado por órgãos públicos, seja por outras pessoas (CF/1988, art. 5º, III).</w:t>
      </w:r>
    </w:p>
    <w:p w14:paraId="0CA1F156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Tais normas constitucionais devem ser necessariamente interpretadas em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conjunto com a Declaração Universal dos Direitos Humanos (1948), o Pacto Internacional de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Direitos Civis e Políticos (1966), o Pacto Internacional dos Direitos Econômicos, Sociais 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Culturais (1966), o Protocolo de São Salvador (1988), a Declaração da Conferência Mundial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contra o Racismo, Discriminação Racial, Xenofobia e Intolerância Correlata (Durban, 2001) 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os Princípios de Yogyakarta (Yogyakarta, 2006).</w:t>
      </w:r>
    </w:p>
    <w:p w14:paraId="457A44D1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Portanto, tais dispositivos, interpretados em conjunto com o princípio da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dignidade da pessoa humana (CF/1988, art. 1o, inciso III), permitem a conclusão de que cabe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ao Estado reconhecer que há pessoas travestis e </w:t>
      </w:r>
      <w:r w:rsidR="00DD5077" w:rsidRPr="00836854">
        <w:rPr>
          <w:rFonts w:ascii="Book Antiqua" w:hAnsi="Book Antiqua"/>
          <w:sz w:val="19"/>
          <w:szCs w:val="19"/>
        </w:rPr>
        <w:t>transexuais</w:t>
      </w:r>
      <w:r w:rsidRPr="00836854">
        <w:rPr>
          <w:rFonts w:ascii="Book Antiqua" w:hAnsi="Book Antiqua"/>
          <w:sz w:val="19"/>
          <w:szCs w:val="19"/>
        </w:rPr>
        <w:t>, que tais pessoas são uma minoria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em termos de orientação sexual e, como tal, estão expostas a atos de violência 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constrangimentos, e, portanto, cabe ao Estado assegurar o respeito aos direitos fundamentais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de tais pessoas a serem adequadamente protegidas de qualquer forma de discriminação, bem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como de tratamentos desumanos ou degradantes.</w:t>
      </w:r>
      <w:r w:rsidR="00DD5077">
        <w:rPr>
          <w:rFonts w:ascii="Book Antiqua" w:hAnsi="Book Antiqua"/>
          <w:sz w:val="19"/>
          <w:szCs w:val="19"/>
        </w:rPr>
        <w:t xml:space="preserve"> </w:t>
      </w:r>
    </w:p>
    <w:p w14:paraId="64D97F0E" w14:textId="36DB7D75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Um dos aspectos de constrangimentos que potencializam tratamentos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desumanos ou degradantes de pessoas travestis e transexuais é o fato de terem um nome civil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de gênero diverso de sua orientação pessoal, ou seja, de divergência entre sua apresentação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social e seu nome.</w:t>
      </w:r>
    </w:p>
    <w:p w14:paraId="57734A78" w14:textId="77777777" w:rsidR="00DD5077" w:rsidRPr="00836854" w:rsidRDefault="00DD5077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06EC2D62" w14:textId="77777777" w:rsidR="00836854" w:rsidRPr="00DD5077" w:rsidRDefault="00836854" w:rsidP="006162A7">
      <w:pPr>
        <w:spacing w:before="100" w:beforeAutospacing="1" w:after="100" w:afterAutospacing="1" w:line="240" w:lineRule="auto"/>
        <w:rPr>
          <w:rFonts w:ascii="Book Antiqua" w:hAnsi="Book Antiqua"/>
          <w:b/>
          <w:bCs/>
          <w:sz w:val="19"/>
          <w:szCs w:val="19"/>
        </w:rPr>
      </w:pPr>
      <w:r w:rsidRPr="00DD5077">
        <w:rPr>
          <w:rFonts w:ascii="Book Antiqua" w:hAnsi="Book Antiqua"/>
          <w:b/>
          <w:bCs/>
          <w:sz w:val="19"/>
          <w:szCs w:val="19"/>
        </w:rPr>
        <w:t>3. DO DIREITO AO NOME</w:t>
      </w:r>
    </w:p>
    <w:p w14:paraId="7972689C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O nome, além de ser um atributo dos indivíduos que permite a identificação no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âmbito da comunidade em que vivem, possui a função de conferir segurança ao seu portador,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possibilitar o desempenho adequado da comunicação social e revestir o indivíduo de um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caráter de status social, contribuindo, pois, para a formação da honra privada do indivíduo.</w:t>
      </w:r>
    </w:p>
    <w:p w14:paraId="54F12040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Assim, o direito ao nome tornou-se comum no âmbito da civilização e acabou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sendo arraigado no cotidiano da sociedade, e, por essa razão, muitas vezes não lhe tem sido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reconhecida a sua fundamental importância.</w:t>
      </w:r>
    </w:p>
    <w:p w14:paraId="78874CBF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Tendo em vista a extrema relevância atribuída ao nome na vida social 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psíquica do ser humano, além de ser um dos componentes intrínsecos à personalidade, é um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 independente e fundamental de todos, não se trata, portanto, de simples denominação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ou mero acessório, devendo ser absolutamente preservado e tutelado.</w:t>
      </w:r>
    </w:p>
    <w:p w14:paraId="6D32D4E4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 natureza do direito ao nome evidencia-se tão importante que a própria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Constituição da República Federativa do Brasil de 1988 trouxe em seu bojo garantias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fundamentais que visam a sua proteção: o habeas data (art. 5º, LXXII, CF), que permite 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retificação do nome, assim como o direito de registro de nascimento gratuito aos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reconhecidamente pobres (art. 5º, LXXVI, “a”, CF). </w:t>
      </w:r>
    </w:p>
    <w:p w14:paraId="67825ACB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 mesmo sentido, o Código Civil, em capítulo dedicado exclusivamente aos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direitos personalíssimos, confere o direito de todos a ter um nome, nele compreendidos 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prenome e o sobrenome, sinalizadores de uma identidade, ao qual foram atribuídas as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características da intransmissibilidade e irrenunciabilidade (art. 16 da Lei nº 10.406/02).</w:t>
      </w:r>
    </w:p>
    <w:p w14:paraId="4069771A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Portanto, a tutela jurídica dada ao nome visa conferir a identificação do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indivíduo na comunidade, a sua adequada interação social e segurança, visando, sobretudo,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coibir eventuais abusos que possam acarretar prejuízos ao seu portador e a terceiros. </w:t>
      </w:r>
    </w:p>
    <w:p w14:paraId="6031AB0D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lastRenderedPageBreak/>
        <w:t>A proteção alcança a proibição de adotar ou permanecer com nomes que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exponham o portador à situação constrangedora e vexatória, pela íntima relação do nome com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 dignidade da pessoa humana (art. 1º, inciso III, CF)</w:t>
      </w:r>
      <w:r w:rsidR="00DD5077">
        <w:rPr>
          <w:rFonts w:ascii="Book Antiqua" w:hAnsi="Book Antiqua"/>
          <w:sz w:val="19"/>
          <w:szCs w:val="19"/>
        </w:rPr>
        <w:t xml:space="preserve">. </w:t>
      </w:r>
      <w:r w:rsidRPr="00836854">
        <w:rPr>
          <w:rFonts w:ascii="Book Antiqua" w:hAnsi="Book Antiqua"/>
          <w:sz w:val="19"/>
          <w:szCs w:val="19"/>
        </w:rPr>
        <w:t>Assim, o direito individual, independente e fundamental ao nome, conferido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pela legislação e oponível perante toda a sociedade, não deve ser negado, sob pena de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consequentemente negar-se todo e qualquer direito humano, porque o fato de não </w:t>
      </w:r>
      <w:proofErr w:type="gramStart"/>
      <w:r w:rsidRPr="00836854">
        <w:rPr>
          <w:rFonts w:ascii="Book Antiqua" w:hAnsi="Book Antiqua"/>
          <w:sz w:val="19"/>
          <w:szCs w:val="19"/>
        </w:rPr>
        <w:t>possuí-lo</w:t>
      </w:r>
      <w:proofErr w:type="gramEnd"/>
      <w:r w:rsidRPr="00836854">
        <w:rPr>
          <w:rFonts w:ascii="Book Antiqua" w:hAnsi="Book Antiqua"/>
          <w:sz w:val="19"/>
          <w:szCs w:val="19"/>
        </w:rPr>
        <w:t xml:space="preserve"> ou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tê-lo no registro de forma inadequada, acaba acarretando o impedimento ao acesso de vários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direitos previstos na Constituição e nas outras leis.</w:t>
      </w:r>
    </w:p>
    <w:p w14:paraId="59CB1EBD" w14:textId="18AF8148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 despeito disso, é cediço que no ordenamento jurídico brasileiro predomina 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regra da imutabilidade do prenome constante no registro civil, consoante o que dispõe o art.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58 da Lei nº 6.015/73 (Lei de Registros Públicos). Porém, há exceções previstas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expressamente neste dispositivo que permitem a substituição do prenome em casos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excepcionais. Vejamos:</w:t>
      </w:r>
    </w:p>
    <w:p w14:paraId="7198ABCF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Art. 58. O prenome será definitivo, admitindo-se, todavia, a sua substituição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por apelidos públicos notórios. </w:t>
      </w:r>
    </w:p>
    <w:p w14:paraId="27E80E31" w14:textId="47AFD363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Parágrafo único. A substituição do prenome será ainda admitida em razão de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fundada coação ou ameaça decorrente da colaboração com a apuração de crime, por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determinação, em sentença, de juiz competente, ouvido o Ministério Público. </w:t>
      </w:r>
    </w:p>
    <w:p w14:paraId="776CEBDE" w14:textId="77777777" w:rsidR="00DD5077" w:rsidRDefault="00DD5077" w:rsidP="006162A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0A588F9B" w14:textId="5BF5357E" w:rsidR="00836854" w:rsidRPr="00DD5077" w:rsidRDefault="00836854" w:rsidP="006162A7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DD5077">
        <w:rPr>
          <w:rFonts w:ascii="Book Antiqua" w:hAnsi="Book Antiqua"/>
          <w:b/>
          <w:bCs/>
          <w:sz w:val="19"/>
          <w:szCs w:val="19"/>
        </w:rPr>
        <w:t>4. O DIREITO À MUDANÇA DE NOME POR PESSOAS TRANS NA</w:t>
      </w:r>
      <w:r w:rsidR="00DD5077" w:rsidRPr="00DD507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DD5077">
        <w:rPr>
          <w:rFonts w:ascii="Book Antiqua" w:hAnsi="Book Antiqua"/>
          <w:b/>
          <w:bCs/>
          <w:sz w:val="19"/>
          <w:szCs w:val="19"/>
        </w:rPr>
        <w:t>JURISPRUDÊNCIA</w:t>
      </w:r>
    </w:p>
    <w:p w14:paraId="5E0DA58D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Além dos preceitos constitucionais e legais acima mencionados, a própria Lei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nº 6.015/73, em seu art. 58, reconhece que existe um nome social diverso do nome civil,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prevendo a possibilidade de mudança de nome em casos de “apelidos públicos e notórios”, 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que fundamenta a substituição dos prenomes da população LGBTI por seus prenomes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utilizados socialmente, visando adequá-los ao gênero correspondente à sua realidade íntima 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exteriorizada na sociedade.</w:t>
      </w:r>
    </w:p>
    <w:p w14:paraId="41206830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Nessa linha, foram proferidos julgamentos a respeito do assunto, favoráveis à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mudança de prenome e sexo pelos trans (transexuais e/ou travestis) que não haviam sido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submetidos ao procedimento cirúrgico. Confira-se:</w:t>
      </w:r>
    </w:p>
    <w:p w14:paraId="1E8F9848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Registro civil. Transexualidade. Prenome. Alteração. Possibilidade. Apelido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público e notório. O fato de o recorrente ser transexual e exteriorizar tal orientação no plano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social, vivendo publicamente como mulher, sendo conhecido por apelido, que constitui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prenome feminino, justifica a pretensão já que o nome registral é compatível com o sexo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masculino. Diante das condições peculiares, nome de registro está em descompasso com 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identidade social, sendo capaz de levar seu usuário à situação vexatória ou de ridículo.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Ademais, tratando-se de um apelido público e notório justificada está a alteração. Inteligência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dos </w:t>
      </w:r>
      <w:proofErr w:type="spellStart"/>
      <w:r w:rsidRPr="00836854">
        <w:rPr>
          <w:rFonts w:ascii="Book Antiqua" w:hAnsi="Book Antiqua"/>
          <w:sz w:val="19"/>
          <w:szCs w:val="19"/>
        </w:rPr>
        <w:t>arts</w:t>
      </w:r>
      <w:proofErr w:type="spellEnd"/>
      <w:r w:rsidRPr="00836854">
        <w:rPr>
          <w:rFonts w:ascii="Book Antiqua" w:hAnsi="Book Antiqua"/>
          <w:sz w:val="19"/>
          <w:szCs w:val="19"/>
        </w:rPr>
        <w:t>. 56 e 58 da Lei n. 6015/73 e da Lei n. 9708/98. Recurso provido. (TJRS, AC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70001010784, 7ª Câmara Cível, Relator Desembargador Luís Felipe Brasil Santos, DJE: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14/06/2000).</w:t>
      </w:r>
    </w:p>
    <w:p w14:paraId="08709105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Apelação cível. Registro civil. Alteração do registro de nascimento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relativamente ao sexo. Transexualismo. Possibilidade, embora não tenha havido a realização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de todas as etapas cirúrgicas, tendo em vista o caso concreto. Recurso provido. (TJRS, AC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70011691185, 8ª Câmara Cível, Relator Desembargador Alfredo Guilherme </w:t>
      </w:r>
      <w:proofErr w:type="spellStart"/>
      <w:r w:rsidRPr="00836854">
        <w:rPr>
          <w:rFonts w:ascii="Book Antiqua" w:hAnsi="Book Antiqua"/>
          <w:sz w:val="19"/>
          <w:szCs w:val="19"/>
        </w:rPr>
        <w:t>Englert</w:t>
      </w:r>
      <w:proofErr w:type="spellEnd"/>
      <w:r w:rsidRPr="00836854">
        <w:rPr>
          <w:rFonts w:ascii="Book Antiqua" w:hAnsi="Book Antiqua"/>
          <w:sz w:val="19"/>
          <w:szCs w:val="19"/>
        </w:rPr>
        <w:t>, DJE: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15/09/2005).</w:t>
      </w:r>
    </w:p>
    <w:p w14:paraId="35B266C5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Assim, o Superior Tribunal de Justiça (STJ</w:t>
      </w:r>
      <w:r w:rsidRPr="00836854">
        <w:rPr>
          <w:rStyle w:val="Refdenotaderodap"/>
          <w:rFonts w:ascii="Book Antiqua" w:hAnsi="Book Antiqua"/>
          <w:sz w:val="19"/>
          <w:szCs w:val="19"/>
        </w:rPr>
        <w:footnoteReference w:id="2"/>
      </w:r>
      <w:r w:rsidRPr="00836854">
        <w:rPr>
          <w:rFonts w:ascii="Book Antiqua" w:hAnsi="Book Antiqua"/>
          <w:sz w:val="19"/>
          <w:szCs w:val="19"/>
        </w:rPr>
        <w:t>), reconhece a necessidade de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adequar a realidade dos trans (transexuais e travestis) aos seus registros de nascimento:</w:t>
      </w:r>
    </w:p>
    <w:p w14:paraId="58648E6C" w14:textId="77777777" w:rsidR="00DD5077" w:rsidRP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(…) A ministra destacou que, atualmente, a ciência não considera apenas 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fato biológico como determinante do sexo. Existem outros elementos identificadores do sexo,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 xml:space="preserve">como fatores psicológicos, culturais e </w:t>
      </w:r>
      <w:r w:rsidRPr="00DD5077">
        <w:rPr>
          <w:rFonts w:ascii="Book Antiqua" w:hAnsi="Book Antiqua"/>
          <w:i/>
          <w:iCs/>
          <w:sz w:val="19"/>
          <w:szCs w:val="19"/>
        </w:rPr>
        <w:lastRenderedPageBreak/>
        <w:t>familiares. Por isso, “a definição do gênero não pode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ser limitada ao sexo aparente”, ponderou. Conforme a relatora, a tendência mundial é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adequar juridicamente a realidade dessas pessoas.</w:t>
      </w:r>
    </w:p>
    <w:p w14:paraId="57A62A96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Não é raro encontrar outras decisões iguais, posteriores à do STJ, na justiça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paulista, por exemplo. Em maio de 2010, a 2ª Vara da Comarca de Dracena (SP) também foi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favorável à alteração de nome e gênero em registro para transexuais. Para o juiz do caso,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estava inserido no conceito de personalidade o status sexual do indivíduo, que não se resume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 suas características biológicas, mas também a desejos, vontades e representações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psíquicas. Ele também determinou que a alteração não constasse no registro</w:t>
      </w:r>
      <w:r w:rsidRPr="00836854">
        <w:rPr>
          <w:rFonts w:ascii="Book Antiqua" w:hAnsi="Book Antiqua"/>
          <w:sz w:val="19"/>
          <w:szCs w:val="19"/>
        </w:rPr>
        <w:t xml:space="preserve">. </w:t>
      </w:r>
    </w:p>
    <w:p w14:paraId="349AB124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 mesmo sentido é a posição do Instituto Brasileiro de Direito de Família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(IBDFAM), divulgada em 21 de agosto de 2013, que destaca que o Tribunal de Justiça de São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Paulo já reconhece a possibilidade de se alterar o prenome independentemente de cirurgia de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mudança de sexo:</w:t>
      </w:r>
    </w:p>
    <w:p w14:paraId="52009B2E" w14:textId="77777777" w:rsidR="00DD5077" w:rsidRP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i/>
          <w:iCs/>
          <w:sz w:val="19"/>
          <w:szCs w:val="19"/>
        </w:rPr>
      </w:pPr>
      <w:r w:rsidRPr="00DD5077">
        <w:rPr>
          <w:rFonts w:ascii="Book Antiqua" w:hAnsi="Book Antiqua"/>
          <w:b/>
          <w:bCs/>
          <w:i/>
          <w:iCs/>
          <w:sz w:val="19"/>
          <w:szCs w:val="19"/>
        </w:rPr>
        <w:t>Para TJSP alteração de nome de transexual não depende de cirurgia de</w:t>
      </w:r>
      <w:r w:rsidR="00DD5077" w:rsidRPr="00DD5077">
        <w:rPr>
          <w:rFonts w:ascii="Book Antiqua" w:hAnsi="Book Antiqua"/>
          <w:b/>
          <w:bCs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b/>
          <w:bCs/>
          <w:i/>
          <w:iCs/>
          <w:sz w:val="19"/>
          <w:szCs w:val="19"/>
        </w:rPr>
        <w:t>mudança de sexo</w:t>
      </w:r>
    </w:p>
    <w:p w14:paraId="5D0FE772" w14:textId="77777777" w:rsidR="00DD5077" w:rsidRP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O Tribunal de Justiça de São Paulo autorizou, na última semana, a mudança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de nome no registro civil de transexual antes da cirurgia de mudança de sexo. Em primeiro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grau ficou estabelecida a cirurgia de troca de sexo como condição para que fosse pedida 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mudança do sexo e nome no registro civil. O relator do recurso, desembargador Maia da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Cunha reconheceu que o nome tem sua “relevância como fator de segurança da sociedade”,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e por isso existe a “regra da definitividade”, mas lembrou que a regra não é absoluta, e 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nome pode ser mudado nos casos que o Judiciário considerar excepcionais. Maia da Cunha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ponderou que a cirurgia é o último estágio de “uma série de medidas de caráter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multidisciplinar” para ajustar “o sexo anatômico ao sexo físico”. “Durante este processo,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em que o corpo já se adapta ao sexo psíquico, notório o constrangimento daquele que,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aparentando um sexo, vê-se obrigado a mostrar documentos que sinalizam outro. Exigir-se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que se aguarde a realização da cirurgia é, com a devida vênia, atentar contra a dignidade da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pessoa humana, prevista no artigo 1º, III, da Constituição Federal”, escreveu.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1FFF550D" w14:textId="77777777" w:rsidR="00DD5077" w:rsidRP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A jurista Maria Berenice Dias, vice-presidente do IBDFAM, esclarece que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“psicanalistas norte-americanos consideram a cirurgia corretiva do sexo como a forma de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buscar a felicidade a um invertido condenado pela anatomia". E que, segundo Edvaldo Souza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Couto, o que define e caracteriza a transexualidade é a rejeição do sexo original e 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consequente estado de insatisfação. A cirurgia apenas corrige esse ‘defeito’ de alguém ter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nascido homem num corpo de mulher e ter nascido mulher num corpo de homem.</w:t>
      </w:r>
    </w:p>
    <w:p w14:paraId="24449594" w14:textId="092EA285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Por último, ganham destaque trechos do recente acórdão proferido pelo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Tribunal de Justiça do Estado do Piauí, que reconheceu a possibilidade de o prenome do trans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(transexuais e/ou travestis) que não havia passado por procedimento cirúrgico ser modificado,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por não ser adequado ao seu sexo psicossocial, bem como submetê-lo a situações vexatórias,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substituindo-o pelo nome social público e notório pelo qual é conhecido no meio em que vive.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Confira-se: </w:t>
      </w:r>
    </w:p>
    <w:p w14:paraId="617832B4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(…) entendo não ser justo e razoável forçar a pessoa e uma eventual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“mutilação” para só assim autorizar-se a troca do prenome e respectiva documentação,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situação essencial para a sua melhoria de vida em sociedade. E como será visto adiante,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embora ainda de forma não uníssona, os Tribunais Pátrios evoluíram nos seus julgados, não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mais exigindo a realização da cirurgia mencionada. (…) O direito ao nome e à dignidade da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pessoa humana distingue a pessoa na sua vida em sociedade, tutelando o seu nome, a sua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filiação, o seu sexo, dentre outros, distinguindo, individualizando e permitindo a constituição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de sua personalidade, maneira individual de cada ser humano. E a identidade sexual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constitui aspecto importante da identidade pessoal, pois, é cediço, está a sexualidade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presente nas manifestações inerentes ao ser humano. E para o transexual, a sua identidade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não é coincidente com o sexo anatômico, apontando, em verdade, para o sexo psicossocial.</w:t>
      </w:r>
    </w:p>
    <w:p w14:paraId="198E761E" w14:textId="77777777" w:rsidR="00DD5077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DD5077">
        <w:rPr>
          <w:rFonts w:ascii="Book Antiqua" w:hAnsi="Book Antiqua"/>
          <w:i/>
          <w:iCs/>
          <w:sz w:val="19"/>
          <w:szCs w:val="19"/>
        </w:rPr>
        <w:t>(…) Não se pode olvidar que no exercício de sua mais ampla e irrestrita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liberdade, o Sr. José Alberto tem direito de buscar melhor qualidade de vida por meio da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satisfação de suas aspirações, e sua pretensão está representada, nesse momento, pela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alteração de seu prenome, o que, segundo consta em seu recurso, ficará ela plenamente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satisfeita com a mudança do prenome. (...) De fato, o que se verifica é que sua satisfação é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sentir-se bem com a sua condição expressada por meio do seu nome e o que ele representa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para si e para a coletividade, concretizando o seu direito à liberdade e à dignidade. É 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identificação social e psicológica, conformação social entre o nome e sua aparência,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reconhecimento de sua condição de ser humano digno. (...) Suas ações, modo de vida e opção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 xml:space="preserve">pessoal não podem ser </w:t>
      </w:r>
      <w:proofErr w:type="gramStart"/>
      <w:r w:rsidRPr="00DD5077">
        <w:rPr>
          <w:rFonts w:ascii="Book Antiqua" w:hAnsi="Book Antiqua"/>
          <w:i/>
          <w:iCs/>
          <w:sz w:val="19"/>
          <w:szCs w:val="19"/>
        </w:rPr>
        <w:t>meio</w:t>
      </w:r>
      <w:proofErr w:type="gramEnd"/>
      <w:r w:rsidRPr="00DD5077">
        <w:rPr>
          <w:rFonts w:ascii="Book Antiqua" w:hAnsi="Book Antiqua"/>
          <w:i/>
          <w:iCs/>
          <w:sz w:val="19"/>
          <w:szCs w:val="19"/>
        </w:rPr>
        <w:t xml:space="preserve"> de discriminação, mas são motivos que revelam sua verdadeira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identidade. (…) José Alberto, além de se apresentar com características físicas e psíquicas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femininas, trajando-se como tal, deixa certo que o nome que melhor lhe identifica e que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 xml:space="preserve">satisfaz os seus anseios é o nome Safira. (…) Os </w:t>
      </w:r>
      <w:r w:rsidRPr="00DD5077">
        <w:rPr>
          <w:rFonts w:ascii="Book Antiqua" w:hAnsi="Book Antiqua"/>
          <w:i/>
          <w:iCs/>
          <w:sz w:val="19"/>
          <w:szCs w:val="19"/>
        </w:rPr>
        <w:lastRenderedPageBreak/>
        <w:t>recortes de jornais apresentados com 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exordial indicam que José Alberto há mais de 34 (trinta e quatro) anos é conhecida como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Safira, apresentando-se como mulher, e são datados a partir de 1979, de diversas cidades,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 xml:space="preserve">além de Teresina-PI, como São </w:t>
      </w:r>
      <w:proofErr w:type="spellStart"/>
      <w:r w:rsidRPr="00DD5077">
        <w:rPr>
          <w:rFonts w:ascii="Book Antiqua" w:hAnsi="Book Antiqua"/>
          <w:i/>
          <w:iCs/>
          <w:sz w:val="19"/>
          <w:szCs w:val="19"/>
        </w:rPr>
        <w:t>Paulo-SP</w:t>
      </w:r>
      <w:proofErr w:type="spellEnd"/>
      <w:r w:rsidRPr="00DD5077">
        <w:rPr>
          <w:rFonts w:ascii="Book Antiqua" w:hAnsi="Book Antiqua"/>
          <w:i/>
          <w:iCs/>
          <w:sz w:val="19"/>
          <w:szCs w:val="19"/>
        </w:rPr>
        <w:t>, Brasília-DF, Caxias do Sul-RS. As fotos constantes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dos seus documentos de identificação, RG, carteira profissional e carteira sindical indicam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que se apresenta como mulher. (…) É de conhecimento público e notório, não circunscrito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apenas aos limites de Teresina, do Estado do Piauí, mas sim de vários Estados do nosso país,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que o autor José Alberto é conhecido como Safira Bengell. (...) Destarte, ao meu sentir, a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solução é diversa da sentença recursada, e não pode ser outra que não o atendimento do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pedido da autora, não importando se ele fez ou fará cirurgia de transgenitalização. (TJPI,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AC 0024189-18.2012.8.18.0140, 2ª Câmara Especializada Cível, Relator Desembargador</w:t>
      </w:r>
      <w:r w:rsidR="00DD5077" w:rsidRPr="00DD5077">
        <w:rPr>
          <w:rFonts w:ascii="Book Antiqua" w:hAnsi="Book Antiqua"/>
          <w:i/>
          <w:iCs/>
          <w:sz w:val="19"/>
          <w:szCs w:val="19"/>
        </w:rPr>
        <w:t xml:space="preserve"> </w:t>
      </w:r>
      <w:r w:rsidRPr="00DD5077">
        <w:rPr>
          <w:rFonts w:ascii="Book Antiqua" w:hAnsi="Book Antiqua"/>
          <w:i/>
          <w:iCs/>
          <w:sz w:val="19"/>
          <w:szCs w:val="19"/>
        </w:rPr>
        <w:t>Luiz Gonzaga Brandão de Carvalho, DJE: 22/01/2014).</w:t>
      </w:r>
    </w:p>
    <w:p w14:paraId="10BEBFBF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Ainda nesse sentido, corrobora o entendimento do Tribunal de Justiça do Rio</w:t>
      </w:r>
      <w:r w:rsidR="00DD5077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Grande do Sul:</w:t>
      </w:r>
    </w:p>
    <w:p w14:paraId="12DF5328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Retificação de registro civil. Transexualismo. Alteração de prenome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independentemente da realização de cirurgia de transgenitalização. Direito à identidade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pessoal e à dignidade. Confirmação de sentença de primeiro grau. Acolhimento de parecer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do ministério público de segundo grau. A demonstração de que as características físicas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psíquicas do indivíduo, que se apresenta como mulher, não estão em conformidade com 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características que o seu nome masculino representa coletiva e individualmente são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suficientes para determinar a sua alteração. A distinção entre transexualidade e travestismo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não é requisito para a efetivação do direito à dignidade. Tais fatos autorizam, mesmo sem 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realização da cirurgia de transgenitalização, a retificação do nome da requerente para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conformá-lo com a sua identidade social. Negaram provimento. (TJRS, AC 70030772271, 8ª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Câmara Cível, Relator Desembargador Rui Portanova, j.16/07/2009).</w:t>
      </w:r>
    </w:p>
    <w:p w14:paraId="5353FECA" w14:textId="795BB830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Assim, verifica-se que as decisões proferidas hodiernamente têm reconhecido o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 à substituição dos prenomes e sexo dos trans (transexuais e/ou travestis), em seus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registros civis, visando adequá-los à sua realidade psíquica, física e social. Como visto, tal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 tem sido reconhecido independentemente da realização de cirurgia para a mudança de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sexo como condição para substituição de prenome dos trans (transexuais e/ou travestis), sob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pena de condená-los a situações vexatórias, quando, por exemplo, ao exibir seus documentos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pessoais, o trans (transexuais e/ou travestis), necessitado a expor a sua privacidade 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intimidade, constrange-se a explicar o porquê da sua identidade documental representar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realidade diferente daquela por ele vivenciada, social, psíquica e fisicamente.</w:t>
      </w:r>
    </w:p>
    <w:p w14:paraId="35D98A24" w14:textId="77777777" w:rsidR="00B95EE8" w:rsidRPr="00836854" w:rsidRDefault="00B95EE8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B3388FA" w14:textId="10CEBE2B" w:rsidR="00836854" w:rsidRPr="00B95EE8" w:rsidRDefault="00836854" w:rsidP="006162A7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 w:rsidRPr="00B95EE8">
        <w:rPr>
          <w:rFonts w:ascii="Book Antiqua" w:hAnsi="Book Antiqua"/>
          <w:b/>
          <w:bCs/>
          <w:sz w:val="19"/>
          <w:szCs w:val="19"/>
        </w:rPr>
        <w:t>5. O DIREITO A SER RECONHECIDO PELO NOME SOCIAL POR ÓRGÃOS DA</w:t>
      </w:r>
      <w:r w:rsidR="00B95EE8" w:rsidRPr="00B95EE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95EE8">
        <w:rPr>
          <w:rFonts w:ascii="Book Antiqua" w:hAnsi="Book Antiqua"/>
          <w:b/>
          <w:bCs/>
          <w:sz w:val="19"/>
          <w:szCs w:val="19"/>
        </w:rPr>
        <w:t>ADMINISTRAÇÃO PÚBLICA, INDEPENDENTEMENTE DO PROCEDIMENTO</w:t>
      </w:r>
      <w:r w:rsidR="00B95EE8" w:rsidRPr="00B95EE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95EE8">
        <w:rPr>
          <w:rFonts w:ascii="Book Antiqua" w:hAnsi="Book Antiqua"/>
          <w:b/>
          <w:bCs/>
          <w:sz w:val="19"/>
          <w:szCs w:val="19"/>
        </w:rPr>
        <w:t>JUDICIAL DE MUDANÇA DO NOME CIVIL</w:t>
      </w:r>
    </w:p>
    <w:p w14:paraId="30968F8F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Inúmeras pessoas integrantes da população denominada LGBTI, por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encontrarem-se constrangidas em razão de seus prenomes de registro não corresponderem à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sua identificação psicossocial, vindicam o reconhecimento, na convivência com outras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pessoas, especialmente perante a Administração Pública, de seus nomes sociais (ou apelidos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públicos notórios).</w:t>
      </w:r>
      <w:r w:rsidR="00B95EE8">
        <w:rPr>
          <w:rFonts w:ascii="Book Antiqua" w:hAnsi="Book Antiqua"/>
          <w:sz w:val="19"/>
          <w:szCs w:val="19"/>
        </w:rPr>
        <w:t xml:space="preserve"> </w:t>
      </w:r>
    </w:p>
    <w:p w14:paraId="2D450692" w14:textId="48B89E5E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B4DFF">
        <w:rPr>
          <w:rFonts w:ascii="Book Antiqua" w:hAnsi="Book Antiqua"/>
          <w:b/>
          <w:bCs/>
          <w:sz w:val="19"/>
          <w:szCs w:val="19"/>
        </w:rPr>
        <w:t>O processo judicial de alteração do nome civil é longo e demorado.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Usualmente, muito antes da alteração do nome civil já há a consolidação de uma apresentação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social em gênero diverso do constante do registro civil, com o uso de nome social adequado à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orientação de gênero</w:t>
      </w:r>
      <w:r w:rsidRPr="00836854">
        <w:rPr>
          <w:rFonts w:ascii="Book Antiqua" w:hAnsi="Book Antiqua"/>
          <w:sz w:val="19"/>
          <w:szCs w:val="19"/>
        </w:rPr>
        <w:t>.</w:t>
      </w:r>
      <w:r w:rsidR="004B4DFF">
        <w:rPr>
          <w:rFonts w:ascii="Book Antiqua" w:hAnsi="Book Antiqua"/>
          <w:sz w:val="19"/>
          <w:szCs w:val="19"/>
        </w:rPr>
        <w:t xml:space="preserve"> </w:t>
      </w:r>
      <w:r w:rsidR="004B4DF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6CBF7166" w14:textId="618C2EB5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B4DFF">
        <w:rPr>
          <w:rFonts w:ascii="Book Antiqua" w:hAnsi="Book Antiqua"/>
          <w:b/>
          <w:bCs/>
          <w:sz w:val="19"/>
          <w:szCs w:val="19"/>
        </w:rPr>
        <w:t>A ordem jurídica, constitucional, legal e infralegal, ampara o direito ao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 xml:space="preserve">reconhecimento do nome social da população LGBTI, razão pela qual a sua </w:t>
      </w:r>
      <w:proofErr w:type="spellStart"/>
      <w:r w:rsidRPr="004B4DFF">
        <w:rPr>
          <w:rFonts w:ascii="Book Antiqua" w:hAnsi="Book Antiqua"/>
          <w:b/>
          <w:bCs/>
          <w:sz w:val="19"/>
          <w:szCs w:val="19"/>
        </w:rPr>
        <w:t>obstaculização</w:t>
      </w:r>
      <w:proofErr w:type="spellEnd"/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afronta os valores e princípios constitucionais da vedação à discriminação odiosa, da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igualdade, da liberdade de consciência, da privacidade, da proscrição de todas as formas de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discriminação, da proibição de tratamentos desumanos ou degradantes, assim como ofende a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dignidade da pessoa humana (art. 1º, inciso III, art. 3º, inciso IV, art. 5º, caput, e incisos III,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VI, VIII, X e XLI, todos da CF/88)</w:t>
      </w:r>
      <w:r w:rsidRPr="00836854">
        <w:rPr>
          <w:rFonts w:ascii="Book Antiqua" w:hAnsi="Book Antiqua"/>
          <w:sz w:val="19"/>
          <w:szCs w:val="19"/>
        </w:rPr>
        <w:t>.</w:t>
      </w:r>
      <w:r w:rsidR="004B4DFF" w:rsidRPr="00836854">
        <w:rPr>
          <w:rStyle w:val="Refdenotaderodap"/>
          <w:rFonts w:ascii="Book Antiqua" w:hAnsi="Book Antiqua"/>
          <w:sz w:val="19"/>
          <w:szCs w:val="19"/>
        </w:rPr>
        <w:footnoteReference w:id="3"/>
      </w:r>
      <w:r w:rsidR="004B4DFF">
        <w:rPr>
          <w:rFonts w:ascii="Book Antiqua" w:hAnsi="Book Antiqua"/>
          <w:sz w:val="19"/>
          <w:szCs w:val="19"/>
        </w:rPr>
        <w:t xml:space="preserve"> </w:t>
      </w:r>
      <w:r w:rsidR="004B4DF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6E020CF3" w14:textId="29A35708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B4DFF">
        <w:rPr>
          <w:rFonts w:ascii="Book Antiqua" w:hAnsi="Book Antiqua"/>
          <w:b/>
          <w:bCs/>
          <w:sz w:val="19"/>
          <w:szCs w:val="19"/>
        </w:rPr>
        <w:lastRenderedPageBreak/>
        <w:t>Dessa forma, o tema em comento deve ser interpretado à luz da Constituição da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República de 1988, do Código Civil e da Lei nº 6.015/73, para, assim, viabilizar à população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LGBTI o direito ao reconhecimento de seus nomes sociais (ou apelidos públicos notórios)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perante a sociedade e a Administração Pública, juntamente com seu nome civil, mesmo antes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de eventual alteração do registro civil, como instrumento de proteção contra discriminações e</w:t>
      </w:r>
      <w:r w:rsidR="00B95EE8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não exposição a tratamentos desumanos ou degradantes</w:t>
      </w:r>
      <w:r w:rsidRPr="00836854">
        <w:rPr>
          <w:rFonts w:ascii="Book Antiqua" w:hAnsi="Book Antiqua"/>
          <w:sz w:val="19"/>
          <w:szCs w:val="19"/>
        </w:rPr>
        <w:t>.</w:t>
      </w:r>
      <w:r w:rsidR="004B4DFF">
        <w:rPr>
          <w:rFonts w:ascii="Book Antiqua" w:hAnsi="Book Antiqua"/>
          <w:sz w:val="19"/>
          <w:szCs w:val="19"/>
        </w:rPr>
        <w:t xml:space="preserve"> </w:t>
      </w:r>
      <w:r w:rsidR="004B4DF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4A451E57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Nesse sentido, há recomendação do Comitê de Direitos Humanos da ONU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(norma A/HRC/19/41, item “h”):</w:t>
      </w:r>
    </w:p>
    <w:p w14:paraId="036179EA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(H) Facilitar o reconhecimento legal do gênero preferido das pessoas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transsexuais e estabelecer disposições para permitir documentos de identidade relevantes 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serem reeditados refletindo gênero e nome preferido, sem violações de outros direitos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humanos.</w:t>
      </w:r>
    </w:p>
    <w:p w14:paraId="329D7276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 Brasil, diversas normas já caminham no sentido do reconhecimento desse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direito fundamental. A título de exemplo, veja-se o recomendado na Portaria nº 233, de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18/05/2010, que assegura o uso de nome social no âmbito da Administração Pública Federal:</w:t>
      </w:r>
    </w:p>
    <w:p w14:paraId="64BE7A7C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1º Fica assegurado aos servidores públicos, no âmbito da Administração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Pública Federal direta, autárquica e fundacional, o uso do nome social adotado por travestis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e transexuais.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22458729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Parágrafo único. Entende-se por nome social aquele pelo qual essas pessoas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se identificam e são identificadas pela sociedade.</w:t>
      </w:r>
    </w:p>
    <w:p w14:paraId="3D644A64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2° Fica assegurada a utilização do nome social, mediante requerimento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 xml:space="preserve">da pessoa interessada, nas seguintes situações: </w:t>
      </w:r>
    </w:p>
    <w:p w14:paraId="1ECC784A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 xml:space="preserve">I - </w:t>
      </w:r>
      <w:proofErr w:type="gramStart"/>
      <w:r w:rsidRPr="00B95EE8">
        <w:rPr>
          <w:rFonts w:ascii="Book Antiqua" w:hAnsi="Book Antiqua"/>
          <w:i/>
          <w:iCs/>
          <w:sz w:val="19"/>
          <w:szCs w:val="19"/>
        </w:rPr>
        <w:t>cadastro</w:t>
      </w:r>
      <w:proofErr w:type="gramEnd"/>
      <w:r w:rsidRPr="00B95EE8">
        <w:rPr>
          <w:rFonts w:ascii="Book Antiqua" w:hAnsi="Book Antiqua"/>
          <w:i/>
          <w:iCs/>
          <w:sz w:val="19"/>
          <w:szCs w:val="19"/>
        </w:rPr>
        <w:t xml:space="preserve"> de dados e informações de uso social;</w:t>
      </w:r>
    </w:p>
    <w:p w14:paraId="6B070359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 xml:space="preserve">II - </w:t>
      </w:r>
      <w:proofErr w:type="gramStart"/>
      <w:r w:rsidRPr="00B95EE8">
        <w:rPr>
          <w:rFonts w:ascii="Book Antiqua" w:hAnsi="Book Antiqua"/>
          <w:i/>
          <w:iCs/>
          <w:sz w:val="19"/>
          <w:szCs w:val="19"/>
        </w:rPr>
        <w:t>comunicações</w:t>
      </w:r>
      <w:proofErr w:type="gramEnd"/>
      <w:r w:rsidRPr="00B95EE8">
        <w:rPr>
          <w:rFonts w:ascii="Book Antiqua" w:hAnsi="Book Antiqua"/>
          <w:i/>
          <w:iCs/>
          <w:sz w:val="19"/>
          <w:szCs w:val="19"/>
        </w:rPr>
        <w:t xml:space="preserve"> internas de uso social;</w:t>
      </w:r>
    </w:p>
    <w:p w14:paraId="147E766F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III - endereço de correio eletrônico;</w:t>
      </w:r>
    </w:p>
    <w:p w14:paraId="18A8B96C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 xml:space="preserve">IV - </w:t>
      </w:r>
      <w:proofErr w:type="gramStart"/>
      <w:r w:rsidRPr="00B95EE8">
        <w:rPr>
          <w:rFonts w:ascii="Book Antiqua" w:hAnsi="Book Antiqua"/>
          <w:i/>
          <w:iCs/>
          <w:sz w:val="19"/>
          <w:szCs w:val="19"/>
        </w:rPr>
        <w:t>identificação</w:t>
      </w:r>
      <w:proofErr w:type="gramEnd"/>
      <w:r w:rsidRPr="00B95EE8">
        <w:rPr>
          <w:rFonts w:ascii="Book Antiqua" w:hAnsi="Book Antiqua"/>
          <w:i/>
          <w:iCs/>
          <w:sz w:val="19"/>
          <w:szCs w:val="19"/>
        </w:rPr>
        <w:t xml:space="preserve"> funcional de uso interno do órgão (crachá);</w:t>
      </w:r>
    </w:p>
    <w:p w14:paraId="74BEC1B4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 xml:space="preserve">V - </w:t>
      </w:r>
      <w:proofErr w:type="gramStart"/>
      <w:r w:rsidRPr="00B95EE8">
        <w:rPr>
          <w:rFonts w:ascii="Book Antiqua" w:hAnsi="Book Antiqua"/>
          <w:i/>
          <w:iCs/>
          <w:sz w:val="19"/>
          <w:szCs w:val="19"/>
        </w:rPr>
        <w:t>lista</w:t>
      </w:r>
      <w:proofErr w:type="gramEnd"/>
      <w:r w:rsidRPr="00B95EE8">
        <w:rPr>
          <w:rFonts w:ascii="Book Antiqua" w:hAnsi="Book Antiqua"/>
          <w:i/>
          <w:iCs/>
          <w:sz w:val="19"/>
          <w:szCs w:val="19"/>
        </w:rPr>
        <w:t xml:space="preserve"> de ramais do órgão; e</w:t>
      </w:r>
    </w:p>
    <w:p w14:paraId="768309A6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 xml:space="preserve">VI - </w:t>
      </w:r>
      <w:proofErr w:type="gramStart"/>
      <w:r w:rsidRPr="00B95EE8">
        <w:rPr>
          <w:rFonts w:ascii="Book Antiqua" w:hAnsi="Book Antiqua"/>
          <w:i/>
          <w:iCs/>
          <w:sz w:val="19"/>
          <w:szCs w:val="19"/>
        </w:rPr>
        <w:t>nome</w:t>
      </w:r>
      <w:proofErr w:type="gramEnd"/>
      <w:r w:rsidRPr="00B95EE8">
        <w:rPr>
          <w:rFonts w:ascii="Book Antiqua" w:hAnsi="Book Antiqua"/>
          <w:i/>
          <w:iCs/>
          <w:sz w:val="19"/>
          <w:szCs w:val="19"/>
        </w:rPr>
        <w:t xml:space="preserve"> de usuário em sistemas de informática.</w:t>
      </w:r>
    </w:p>
    <w:p w14:paraId="30ACB3ED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§1º No caso do inciso IV, o nome social deverá ser anotado no anverso, e 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nome civil no verso da identificação funcional.</w:t>
      </w:r>
    </w:p>
    <w:p w14:paraId="3687D87E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§2° No Sistema Integrado de Administração de Recursos Humanos – SIAPE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será implementado campo para a inscrição do nome social indicado pelo servidor.</w:t>
      </w:r>
    </w:p>
    <w:p w14:paraId="5C57406C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3° Os órgãos deverão, no prazo de noventa dias, promover as necessárias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adaptações nas normas e procedimentos internos, para a aplicação do disposto nesta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Portaria.</w:t>
      </w:r>
    </w:p>
    <w:p w14:paraId="517BFF13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 mesmo sentido, o Decreto nº 43.065, de 08/07/2011, do Estado do Rio de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Janeiro, que dispõe sobre o direito ao uso do nome social por travestis e transexuais na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administração direta e indireta daquele ente da federação:</w:t>
      </w:r>
    </w:p>
    <w:p w14:paraId="17F84959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lastRenderedPageBreak/>
        <w:t>Art. 1º – Fica assegurado às pessoas transexuais e travestis capazes, mediante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requerimento, o direito à escolha de utilização do nome social nos atos e procedimentos da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Administração Direta e Indireta do Estado do Rio de Janeiro.</w:t>
      </w:r>
    </w:p>
    <w:p w14:paraId="700A7FEE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Parágrafo único – Entende-se por nome social o modo como as pessoas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travestis e transexuais são reconhecidas, identificadas e denominadas na sua comunidade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meio social.</w:t>
      </w:r>
    </w:p>
    <w:p w14:paraId="6963090B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2º – Todos os registros do sistema de informação, cadastro, programas,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projetos, ações, serviços, fichas, requerimentos, formulários, prontuários e congêneres da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Administração Pública Estadual deverão conter o campo “Nome Social” em destaque,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fazendo-se acompanhar do nome civil, que será utilizado apenas para fins internos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administrativos.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7BD6BB65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Parágrafo único – A pessoa transexual ou travesti capaz poderá a qualquer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tempo requerer inclusão do nome social nos registros dos sistemas de informação, cadastro,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fichas, requerimentos, formulários, prontuários e congêneres.</w:t>
      </w:r>
    </w:p>
    <w:p w14:paraId="731D763D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3º – Nos documentos oficiais ou nos casos em que o interesse público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exigir, inclusive para salvaguardar direitos de terceiros, será considerado o nome civil da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pessoa travesti ou transexual, podendo fazer-se acompanhar do nome social, se requerido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pelo interessado.</w:t>
      </w:r>
    </w:p>
    <w:p w14:paraId="643012AD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4º – As denúncias referentes a não utilização do nome social pela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Administração Pública Direta deverão ser encaminhadas para a Comissão Processante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criada pela Resolução SEASDH nº 310, de 29 de dezembro de 2010, da Secretaria de Estado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 Assistência Social e Direitos Humanos, em razão da Lei nº 3.406/2000.</w:t>
      </w:r>
    </w:p>
    <w:p w14:paraId="36F8BCB2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5º – Caberá à Secretaria de Estado da Casa Civil estabelecer, no prazo de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120 (cento e vinte) dias, as regras porventura necessárias para a inclusão do campo nome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social em todos os formulários e assemelhados utilizados em sistemas de informação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congêneres do Estado, cabendo às demais Secretarias a complementação dessas regras.</w:t>
      </w:r>
    </w:p>
    <w:p w14:paraId="6750DC9D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6º – O presente Decreto entra em vigor na data de sua publicação.</w:t>
      </w:r>
      <w:r w:rsid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48AB2319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Ainda no mesmo sentido é o Decreto nº. 35.051, de 25 de maio de 2010, do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Governador do Estado de Pernambuco:</w:t>
      </w:r>
    </w:p>
    <w:p w14:paraId="11BEAFA9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1º Fica assegurado aos servidores públicos, no âmbito da administração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pública estadual direta, autárquica e fundacional, o uso do nome social adotado por travestis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e transexuais.</w:t>
      </w:r>
    </w:p>
    <w:p w14:paraId="76E8146F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§1º Entende-se por nome social aquele pelo qual travestis e transexuais se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identificam e são identificados pela sociedade.</w:t>
      </w:r>
    </w:p>
    <w:p w14:paraId="78671E65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§2º A utilização do nome social das pessoas indicadas no caput deste artigo na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identificação funcional de uso interno do órgão deverá ser procedida no anverso, e o nome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civil no verso.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7903DE3F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2º O nome civil de servidor travesti ou transexual deverá ser exigido para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uso interno da instituição, acompanhado do respectivo nome social, o qual será exteriorizado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nos atos e processos administrativos, salvo nos casos em que o interesse público exigir,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inclusive para salvaguardar direitos de terceiros, quando será considerado apenas o nome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civil.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3B8461E6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3º Este Decreto entra em vigor na data de sua publicação.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</w:p>
    <w:p w14:paraId="6C8B8274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4º Revogam-se as disposições em contrário.</w:t>
      </w:r>
    </w:p>
    <w:p w14:paraId="224B6368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Trilha idêntica senda o Parecer Plenária nº. 10/2009, do Conselho Estadual de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Educação do Estado de Mato Grosso, que se manifestou no seguinte sentido:</w:t>
      </w:r>
    </w:p>
    <w:p w14:paraId="2747D9D5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lastRenderedPageBreak/>
        <w:t>Assim, somos de parecer favorável que seja autorizado, no sistema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educacional do Estado de Mato Grosso, acrescentar o “nome social” de travestis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transexuais e transgêneros nos registros acadêmicos, exceto no histórico escolar e no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diploma, em que constará, tão somente, o nome civil.</w:t>
      </w:r>
    </w:p>
    <w:p w14:paraId="059ADE55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O Conselho Universitário da Universidade Federal de São Carlos editou a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Resolução </w:t>
      </w:r>
      <w:proofErr w:type="spellStart"/>
      <w:r w:rsidRPr="00836854">
        <w:rPr>
          <w:rFonts w:ascii="Book Antiqua" w:hAnsi="Book Antiqua"/>
          <w:sz w:val="19"/>
          <w:szCs w:val="19"/>
        </w:rPr>
        <w:t>ConsUni</w:t>
      </w:r>
      <w:proofErr w:type="spellEnd"/>
      <w:r w:rsidRPr="00836854">
        <w:rPr>
          <w:rFonts w:ascii="Book Antiqua" w:hAnsi="Book Antiqua"/>
          <w:sz w:val="19"/>
          <w:szCs w:val="19"/>
        </w:rPr>
        <w:t xml:space="preserve"> nº. 780, de 29 de agosto de 2014, que estabelece:</w:t>
      </w:r>
    </w:p>
    <w:p w14:paraId="60AD7D38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Art.1º. Fica assegurado, aos servidores e discentes travestis e transexuais, 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direito ao uso do nome social nos registros, documentos e atos da vida funcional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acadêmica, no âmbito da Universidade Federal de São Carlos.</w:t>
      </w:r>
    </w:p>
    <w:p w14:paraId="49E81FA7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§1º. O nome social é o prenome pelo qual travestis e transexuais se identificam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 xml:space="preserve">e são identificados em suas relações sociais. </w:t>
      </w:r>
    </w:p>
    <w:p w14:paraId="7F8B1A1B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§2º. Para os fins dessa resolução, equiparam-se aos servidores públicos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integrantes do quadro permanente da UFSCar os profissionais que possuam vínculo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temporário com a UFSCar, tais como professores substitutos ou visitantes e estagiários, 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ainda os colaboradores que prestem serviços voluntários.</w:t>
      </w:r>
    </w:p>
    <w:p w14:paraId="61B86F28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2º. O interessado deverá manifestar sua opção pelo uso do nome social,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 xml:space="preserve">mediante requerimento dirigido à </w:t>
      </w:r>
      <w:proofErr w:type="spellStart"/>
      <w:r w:rsidRPr="00B95EE8">
        <w:rPr>
          <w:rFonts w:ascii="Book Antiqua" w:hAnsi="Book Antiqua"/>
          <w:i/>
          <w:iCs/>
          <w:sz w:val="19"/>
          <w:szCs w:val="19"/>
        </w:rPr>
        <w:t>Pró-Reitoria</w:t>
      </w:r>
      <w:proofErr w:type="spellEnd"/>
      <w:r w:rsidRPr="00B95EE8">
        <w:rPr>
          <w:rFonts w:ascii="Book Antiqua" w:hAnsi="Book Antiqua"/>
          <w:i/>
          <w:iCs/>
          <w:sz w:val="19"/>
          <w:szCs w:val="19"/>
        </w:rPr>
        <w:t xml:space="preserve"> de Gestão de Pessoas – se servidor – ou à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proofErr w:type="spellStart"/>
      <w:r w:rsidRPr="00B95EE8">
        <w:rPr>
          <w:rFonts w:ascii="Book Antiqua" w:hAnsi="Book Antiqua"/>
          <w:i/>
          <w:iCs/>
          <w:sz w:val="19"/>
          <w:szCs w:val="19"/>
        </w:rPr>
        <w:t>Pró-Reitoria</w:t>
      </w:r>
      <w:proofErr w:type="spellEnd"/>
      <w:r w:rsidRPr="00B95EE8">
        <w:rPr>
          <w:rFonts w:ascii="Book Antiqua" w:hAnsi="Book Antiqua"/>
          <w:i/>
          <w:iCs/>
          <w:sz w:val="19"/>
          <w:szCs w:val="19"/>
        </w:rPr>
        <w:t xml:space="preserve"> acadêmica a qual se encontre vinculado (se estudante).</w:t>
      </w:r>
    </w:p>
    <w:p w14:paraId="3E496B6E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§1º. O requerimento poderá ser formalizado no ato da posse – se servidor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público, ou na Ficha de Matrícula (se estudante), ou a qualquer momento após seu ingresso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na UFSCar.</w:t>
      </w:r>
    </w:p>
    <w:p w14:paraId="65BAD3C6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§2º. Caso o estudante seja menor de 18 (dezoito) anos, seu requerimento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deverá ser subscrito juntamente com seus pais ou responsáveis legais.</w:t>
      </w:r>
    </w:p>
    <w:p w14:paraId="1627D0BE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3º. O uso do nome social será assegurado nas seguintes situações:</w:t>
      </w:r>
    </w:p>
    <w:p w14:paraId="13AF4D48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I. cadastro de dados e informações de uso social;</w:t>
      </w:r>
    </w:p>
    <w:p w14:paraId="414CB6E1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II. comunicações internas de uso social;</w:t>
      </w:r>
    </w:p>
    <w:p w14:paraId="69B76B1C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III. endereço de correio eletrônico;</w:t>
      </w:r>
    </w:p>
    <w:p w14:paraId="6EC63D77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IV. documento de identificação de uso interno da UFSCar (crachá), com 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identificação do nome civil no verso do documento;</w:t>
      </w:r>
    </w:p>
    <w:p w14:paraId="0A98C4D0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V. lista de ramais da UFSCar;</w:t>
      </w:r>
    </w:p>
    <w:p w14:paraId="555B94F1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VI. nome de usuário em sistemas de informática.</w:t>
      </w:r>
    </w:p>
    <w:p w14:paraId="514F7618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VII. documentos internos de natureza administrativo-acadêmica, tais como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diários de classe, cadastros, fichas, formulários, carteiras, divulgação de notas, divulgação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 resultados de processos seletivos, chamadas orais nominais para verificação de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frequência às atividades acadêmicas e em solenidades como entrega de certificados, colação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 grau, premiações e eventos similares.</w:t>
      </w:r>
    </w:p>
    <w:p w14:paraId="02AA03A5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4º. Após o requerimento do interessado, os procedimentos administrativos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deverão ser realizados em até 30 (trinta) dias visando à adoção do nome social nas situações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relacionadas no artigo 3º desta Resolução.</w:t>
      </w:r>
    </w:p>
    <w:p w14:paraId="0B41BB01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§1º. Caso o requerimento tenha sido feito pelo interessado no momento de seu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ingresso na UFSCar (ato da posse, se servidor, ou na matrícula, se estudante), então o nome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social será de imediato adotado em todos os registros da UFSCar, para uso nas situações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acima enumeradas.</w:t>
      </w:r>
    </w:p>
    <w:p w14:paraId="0FA5EF1F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5º. Os agentes públicos e demais integrantes da comunidade acadêmica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deverão tratar a pessoa pelo prenome por ela indicado, e que constará dos atos escritos.</w:t>
      </w:r>
    </w:p>
    <w:p w14:paraId="30EA5C84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lastRenderedPageBreak/>
        <w:t>Art. 6º. O nome civil dos servidores e estudantes será adotado nos documentos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oficiais que venham a ser editados pela UFSCar, tais como certidões, declarações, atestados,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 xml:space="preserve">históricos escolares, certificados, atas de colação de grau e diplomas. </w:t>
      </w:r>
    </w:p>
    <w:p w14:paraId="3C2BE7C6" w14:textId="77777777" w:rsidR="00B95EE8" w:rsidRP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7º. No caso em que o interesse público exigir, inclusive para salvaguardar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 xml:space="preserve">direitos de terceiros, será considerado o nome civil da pessoa travesti ou transexual. </w:t>
      </w:r>
    </w:p>
    <w:p w14:paraId="26B31FE0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B95EE8">
        <w:rPr>
          <w:rFonts w:ascii="Book Antiqua" w:hAnsi="Book Antiqua"/>
          <w:i/>
          <w:iCs/>
          <w:sz w:val="19"/>
          <w:szCs w:val="19"/>
        </w:rPr>
        <w:t>Art. 8º. Esta Resolução entrará em vigor nesta data, ficando revogadas as</w:t>
      </w:r>
      <w:r w:rsidR="00B95EE8" w:rsidRPr="00B95EE8">
        <w:rPr>
          <w:rFonts w:ascii="Book Antiqua" w:hAnsi="Book Antiqua"/>
          <w:i/>
          <w:iCs/>
          <w:sz w:val="19"/>
          <w:szCs w:val="19"/>
        </w:rPr>
        <w:t xml:space="preserve"> </w:t>
      </w:r>
      <w:r w:rsidRPr="00B95EE8">
        <w:rPr>
          <w:rFonts w:ascii="Book Antiqua" w:hAnsi="Book Antiqua"/>
          <w:i/>
          <w:iCs/>
          <w:sz w:val="19"/>
          <w:szCs w:val="19"/>
        </w:rPr>
        <w:t>disposições em contrário.</w:t>
      </w:r>
    </w:p>
    <w:p w14:paraId="31CD534E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No mesmo sentido, há diversas resoluções do Conselho Nacional de Combate à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Discriminação e Promoção dos Direitos de lésbicas, gays, travestis e transexuais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(CNCD/LGBT), especialmente a Resolução nº. 11, de 18 de dezembro de 2014, que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estabelece critérios para o uso do nome social nos boletins de ocorrência emitidos pelas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autoridades policiais no Brasil, a Resolução nº. 12, de 16 de janeiro de 2015, que estabelece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parâmetros para a garantia das condições de acesso e permanência de pessoas travestis e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transexuais nos sistemas e instituições de ensino, formulando orientações quanto ao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 xml:space="preserve">reconhecimento institucional da identidade de gênero e sua operacionalização. </w:t>
      </w:r>
      <w:r w:rsidR="00B95EE8">
        <w:rPr>
          <w:rFonts w:ascii="Book Antiqua" w:hAnsi="Book Antiqua"/>
          <w:sz w:val="19"/>
          <w:szCs w:val="19"/>
        </w:rPr>
        <w:t xml:space="preserve"> </w:t>
      </w:r>
    </w:p>
    <w:p w14:paraId="0492C648" w14:textId="77777777" w:rsidR="00B95EE8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Como se vê, o contexto atual em que estão inseridos os direitos da população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LGBT vem possibilitando o reconhecimento do direito ao nome social no tratamento pelos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órgãos públicos, ainda mais diante do atual cenário jurisprudencial, que vem admitindo a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possibilidade de alteração do prenome de transexuais e/ou travestis (denominados “trans”)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perante o registro civil, independentemente de prévia cirurgia de mudança de sexo, tendo em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vista o direito fundamental ao autorreconhecimento. O fato de não haver lei regulamentando o</w:t>
      </w:r>
      <w:r w:rsidR="00B95EE8">
        <w:rPr>
          <w:rFonts w:ascii="Book Antiqua" w:hAnsi="Book Antiqua"/>
          <w:sz w:val="19"/>
          <w:szCs w:val="19"/>
        </w:rPr>
        <w:t xml:space="preserve"> </w:t>
      </w:r>
      <w:r w:rsidRPr="00836854">
        <w:rPr>
          <w:rFonts w:ascii="Book Antiqua" w:hAnsi="Book Antiqua"/>
          <w:sz w:val="19"/>
          <w:szCs w:val="19"/>
        </w:rPr>
        <w:t>uso do nome social não impede a eficácia imediata dos direitos fundamentais imbrincados.</w:t>
      </w:r>
    </w:p>
    <w:p w14:paraId="19A457E3" w14:textId="34FF2DA6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B4DFF">
        <w:rPr>
          <w:rFonts w:ascii="Book Antiqua" w:hAnsi="Book Antiqua"/>
          <w:b/>
          <w:bCs/>
          <w:sz w:val="19"/>
          <w:szCs w:val="19"/>
        </w:rPr>
        <w:t>O direito ao reconhecimento da identidade de gênero também alcança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adolescentes, no seu tratamento escolar. A atuação nesses casos deve considerar o efetivo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amadurecimento desse autorreconhecimento pelo adolescente, em sua transição para uma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apresentação social distinta de seu sexo biológico, o acompanhamento a ser realizado pela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família do adolescente para que seja aceita sua identidade de gênero e a necessária mediação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com a comunidade escolar. Apenas poderiam ser rejeitados pedidos que claramente não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tivessem relação com orientação de gênero diversa do sexo biológico, por exemplo, de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chacotas maliciosas facilmente reconhecíveis. Eventuais peculiaridades nessa fase do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desenvolvimento humano não impedem a necessária proteção do adolescente contra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discriminações e tratamentos desumanos ou degradantes</w:t>
      </w:r>
      <w:r w:rsidRPr="00836854">
        <w:rPr>
          <w:rFonts w:ascii="Book Antiqua" w:hAnsi="Book Antiqua"/>
          <w:sz w:val="19"/>
          <w:szCs w:val="19"/>
        </w:rPr>
        <w:t>.</w:t>
      </w:r>
      <w:r w:rsidR="004B4DFF">
        <w:rPr>
          <w:rFonts w:ascii="Book Antiqua" w:hAnsi="Book Antiqua"/>
          <w:sz w:val="19"/>
          <w:szCs w:val="19"/>
        </w:rPr>
        <w:t xml:space="preserve"> </w:t>
      </w:r>
      <w:r w:rsidR="004B4DF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4D861421" w14:textId="77777777" w:rsidR="00901480" w:rsidRDefault="00901480" w:rsidP="006162A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50CC5EEE" w14:textId="60FFB9C1" w:rsidR="00836854" w:rsidRPr="00901480" w:rsidRDefault="00836854" w:rsidP="006162A7">
      <w:pPr>
        <w:spacing w:before="100" w:beforeAutospacing="1" w:after="100" w:afterAutospacing="1" w:line="240" w:lineRule="auto"/>
        <w:rPr>
          <w:rFonts w:ascii="Book Antiqua" w:hAnsi="Book Antiqua"/>
          <w:b/>
          <w:bCs/>
          <w:sz w:val="19"/>
          <w:szCs w:val="19"/>
        </w:rPr>
      </w:pPr>
      <w:r w:rsidRPr="00901480">
        <w:rPr>
          <w:rFonts w:ascii="Book Antiqua" w:hAnsi="Book Antiqua"/>
          <w:b/>
          <w:bCs/>
          <w:sz w:val="19"/>
          <w:szCs w:val="19"/>
        </w:rPr>
        <w:t>6. CONCLUSÃO</w:t>
      </w:r>
    </w:p>
    <w:p w14:paraId="0A1285E1" w14:textId="1C5943CC" w:rsidR="00836854" w:rsidRP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 xml:space="preserve">Feitas essas considerações, </w:t>
      </w:r>
      <w:r w:rsidRPr="004B4DFF">
        <w:rPr>
          <w:rFonts w:ascii="Book Antiqua" w:hAnsi="Book Antiqua"/>
          <w:b/>
          <w:bCs/>
          <w:sz w:val="19"/>
          <w:szCs w:val="19"/>
        </w:rPr>
        <w:t>a presente Nota Técnica expressa o posicionamento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desta Comissão de Defesa dos Direitos Fundamentais, no sentido de garantir o direito ao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reconhecimento e à adoção de nome social (ou apelido público notório) em benefício da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população LGBTI (Lésbicas, Gays, Bissexuais, Travestis, Transexuais e Intersexuais),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mediante solicitação do interessado, a ser garantido na rede pública federal, estadual e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municipal de ensino e saúde, mediante tratamento oral, identificado nos formulários e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sistemas de informação utilizados nos procedimentos internos, treinamento dos servidores e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demais providências, no âmbito da Administração Direta e Indireta da União, dos Estados e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dos Municípios. Cabe ao Ministério Público atuar para assegurar o respeito a esse direito</w:t>
      </w:r>
      <w:r w:rsidR="00901480" w:rsidRPr="004B4DF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B4DFF">
        <w:rPr>
          <w:rFonts w:ascii="Book Antiqua" w:hAnsi="Book Antiqua"/>
          <w:b/>
          <w:bCs/>
          <w:sz w:val="19"/>
          <w:szCs w:val="19"/>
        </w:rPr>
        <w:t>fundamental</w:t>
      </w:r>
      <w:r w:rsidRPr="00836854">
        <w:rPr>
          <w:rFonts w:ascii="Book Antiqua" w:hAnsi="Book Antiqua"/>
          <w:sz w:val="19"/>
          <w:szCs w:val="19"/>
        </w:rPr>
        <w:t>.</w:t>
      </w:r>
      <w:r w:rsidR="004B4DFF" w:rsidRPr="004B4DFF">
        <w:rPr>
          <w:rStyle w:val="Refdenotaderodap"/>
          <w:rFonts w:ascii="Book Antiqua" w:hAnsi="Book Antiqua"/>
          <w:sz w:val="19"/>
          <w:szCs w:val="19"/>
        </w:rPr>
        <w:t xml:space="preserve"> </w:t>
      </w:r>
      <w:r w:rsidR="004B4DFF" w:rsidRPr="00836854">
        <w:rPr>
          <w:rStyle w:val="Refdenotaderodap"/>
          <w:rFonts w:ascii="Book Antiqua" w:hAnsi="Book Antiqua"/>
          <w:sz w:val="19"/>
          <w:szCs w:val="19"/>
        </w:rPr>
        <w:footnoteReference w:id="4"/>
      </w:r>
      <w:r w:rsidR="004B4DFF">
        <w:rPr>
          <w:rFonts w:ascii="Book Antiqua" w:hAnsi="Book Antiqua"/>
          <w:sz w:val="19"/>
          <w:szCs w:val="19"/>
        </w:rPr>
        <w:t xml:space="preserve"> </w:t>
      </w:r>
      <w:r w:rsidR="004B4DF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(MPRO-2024)</w:t>
      </w:r>
    </w:p>
    <w:p w14:paraId="61277E2B" w14:textId="77777777" w:rsidR="00901480" w:rsidRDefault="00901480" w:rsidP="006162A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03A6CCED" w14:textId="579A9A8A" w:rsidR="00836854" w:rsidRDefault="00836854" w:rsidP="006162A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lastRenderedPageBreak/>
        <w:t>Brasília-DF, 15 de março de 2016.</w:t>
      </w:r>
    </w:p>
    <w:p w14:paraId="400E5041" w14:textId="77777777" w:rsidR="00901480" w:rsidRDefault="00901480" w:rsidP="006162A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5A712EA5" w14:textId="77777777" w:rsidR="00901480" w:rsidRPr="00836854" w:rsidRDefault="00901480" w:rsidP="006162A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31105ED0" w14:textId="77777777" w:rsidR="00836854" w:rsidRPr="00836854" w:rsidRDefault="00836854" w:rsidP="006162A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RODRIGO JANOT MONTEIRO DE BARROS</w:t>
      </w:r>
    </w:p>
    <w:p w14:paraId="4E0875F2" w14:textId="5C122CAD" w:rsidR="00836854" w:rsidRPr="00836854" w:rsidRDefault="00836854" w:rsidP="006162A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36854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836854" w:rsidRPr="00836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D2BE" w14:textId="77777777" w:rsidR="003B3B47" w:rsidRDefault="003B3B47" w:rsidP="00836854">
      <w:pPr>
        <w:spacing w:after="0" w:line="240" w:lineRule="auto"/>
      </w:pPr>
      <w:r>
        <w:separator/>
      </w:r>
    </w:p>
  </w:endnote>
  <w:endnote w:type="continuationSeparator" w:id="0">
    <w:p w14:paraId="65C8F826" w14:textId="77777777" w:rsidR="003B3B47" w:rsidRDefault="003B3B47" w:rsidP="0083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0A5F" w14:textId="77777777" w:rsidR="003B3B47" w:rsidRDefault="003B3B47" w:rsidP="00836854">
      <w:pPr>
        <w:spacing w:after="0" w:line="240" w:lineRule="auto"/>
      </w:pPr>
      <w:r>
        <w:separator/>
      </w:r>
    </w:p>
  </w:footnote>
  <w:footnote w:type="continuationSeparator" w:id="0">
    <w:p w14:paraId="3591DDD5" w14:textId="77777777" w:rsidR="003B3B47" w:rsidRDefault="003B3B47" w:rsidP="00836854">
      <w:pPr>
        <w:spacing w:after="0" w:line="240" w:lineRule="auto"/>
      </w:pPr>
      <w:r>
        <w:continuationSeparator/>
      </w:r>
    </w:p>
  </w:footnote>
  <w:footnote w:id="1">
    <w:p w14:paraId="7DD26C85" w14:textId="6509D3F6" w:rsidR="00836854" w:rsidRPr="004B4DFF" w:rsidRDefault="00836854" w:rsidP="004B4DFF">
      <w:pPr>
        <w:pStyle w:val="Textodenotaderodap"/>
        <w:jc w:val="both"/>
        <w:rPr>
          <w:rFonts w:ascii="Book Antiqua" w:hAnsi="Book Antiqua"/>
        </w:rPr>
      </w:pPr>
      <w:r w:rsidRPr="004B4DFF">
        <w:rPr>
          <w:rStyle w:val="Refdenotaderodap"/>
          <w:rFonts w:ascii="Book Antiqua" w:hAnsi="Book Antiqua"/>
          <w:sz w:val="18"/>
          <w:szCs w:val="18"/>
        </w:rPr>
        <w:footnoteRef/>
      </w:r>
      <w:r w:rsidRPr="004B4DFF">
        <w:rPr>
          <w:rFonts w:ascii="Book Antiqua" w:hAnsi="Book Antiqua"/>
          <w:sz w:val="18"/>
          <w:szCs w:val="18"/>
        </w:rPr>
        <w:t xml:space="preserve"> Ver: VARELLA, Drauzio. O sexo </w:t>
      </w:r>
      <w:proofErr w:type="spellStart"/>
      <w:r w:rsidRPr="004B4DFF">
        <w:rPr>
          <w:rFonts w:ascii="Book Antiqua" w:hAnsi="Book Antiqua"/>
          <w:sz w:val="18"/>
          <w:szCs w:val="18"/>
        </w:rPr>
        <w:t>redefenido</w:t>
      </w:r>
      <w:proofErr w:type="spellEnd"/>
      <w:r w:rsidRPr="004B4DFF">
        <w:rPr>
          <w:rFonts w:ascii="Book Antiqua" w:hAnsi="Book Antiqua"/>
          <w:sz w:val="18"/>
          <w:szCs w:val="18"/>
        </w:rPr>
        <w:t>. Folha de São Paulo.18 de abr. 2015.</w:t>
      </w:r>
    </w:p>
  </w:footnote>
  <w:footnote w:id="2">
    <w:p w14:paraId="0434E9AD" w14:textId="0700FB28" w:rsidR="00836854" w:rsidRDefault="00836854" w:rsidP="00836854">
      <w:pPr>
        <w:pStyle w:val="Textodenotaderodap"/>
      </w:pPr>
      <w:r>
        <w:rPr>
          <w:rStyle w:val="Refdenotaderodap"/>
        </w:rPr>
        <w:footnoteRef/>
      </w:r>
      <w:r>
        <w:t xml:space="preserve"> Disponível em: http://www.stj.gov.br/portal_stj/publicacao/engine.wsp?tmp.area=398&amp;tmp.texto=107072. </w:t>
      </w:r>
    </w:p>
    <w:p w14:paraId="7A5E4B64" w14:textId="7CF54000" w:rsidR="00836854" w:rsidRDefault="00836854" w:rsidP="00836854">
      <w:pPr>
        <w:pStyle w:val="Textodenotaderodap"/>
      </w:pPr>
      <w:r>
        <w:t>Acesso em 27 de fevereiro de 2014.</w:t>
      </w:r>
    </w:p>
  </w:footnote>
  <w:footnote w:id="3">
    <w:p w14:paraId="57727F5D" w14:textId="7135A760" w:rsidR="004B4DFF" w:rsidRPr="004B4DFF" w:rsidRDefault="004B4DFF" w:rsidP="004B4DFF">
      <w:pPr>
        <w:pStyle w:val="Textodenotaderodap"/>
        <w:jc w:val="both"/>
        <w:rPr>
          <w:rFonts w:ascii="Book Antiqua" w:hAnsi="Book Antiqua"/>
        </w:rPr>
      </w:pPr>
      <w:r w:rsidRPr="004B4DFF">
        <w:rPr>
          <w:rStyle w:val="Refdenotaderodap"/>
          <w:rFonts w:ascii="Book Antiqua" w:hAnsi="Book Antiqua"/>
          <w:sz w:val="18"/>
          <w:szCs w:val="18"/>
        </w:rPr>
        <w:footnoteRef/>
      </w:r>
      <w:r w:rsidRPr="004B4DFF">
        <w:rPr>
          <w:rFonts w:ascii="Book Antiqua" w:hAnsi="Book Antiqua"/>
          <w:sz w:val="18"/>
          <w:szCs w:val="18"/>
        </w:rPr>
        <w:t xml:space="preserve"> </w:t>
      </w:r>
      <w:r>
        <w:rPr>
          <w:rFonts w:ascii="Book Antiqua" w:hAnsi="Book Antiqua"/>
          <w:b/>
          <w:bCs/>
          <w:sz w:val="18"/>
          <w:szCs w:val="18"/>
        </w:rPr>
        <w:t>(MPRO-2024-VUNESP)</w:t>
      </w:r>
      <w:r>
        <w:rPr>
          <w:rFonts w:ascii="Book Antiqua" w:hAnsi="Book Antiqua"/>
          <w:sz w:val="18"/>
          <w:szCs w:val="18"/>
        </w:rPr>
        <w:t xml:space="preserve">: </w:t>
      </w:r>
      <w:r w:rsidRPr="004B4DFF">
        <w:rPr>
          <w:rFonts w:ascii="Book Antiqua" w:hAnsi="Book Antiqua"/>
          <w:sz w:val="18"/>
          <w:szCs w:val="18"/>
        </w:rPr>
        <w:t>Hipoteticamente, Joana Antunes é uma mulher transexual, que não fez cirurgia para alteração de sexo biológico e que, na universidade pública estadual em que está matriculada, pretende assim ser tratada, e não pelo seu nome registral, que atualmente é João Antunes.</w:t>
      </w:r>
      <w:r>
        <w:rPr>
          <w:rFonts w:ascii="Book Antiqua" w:hAnsi="Book Antiqua"/>
          <w:sz w:val="18"/>
          <w:szCs w:val="18"/>
        </w:rPr>
        <w:t xml:space="preserve"> </w:t>
      </w:r>
      <w:r w:rsidRPr="004B4DFF">
        <w:rPr>
          <w:rFonts w:ascii="Book Antiqua" w:hAnsi="Book Antiqua"/>
          <w:sz w:val="18"/>
          <w:szCs w:val="18"/>
        </w:rPr>
        <w:t>De acordo com a Nota Técnica 08/2016 do CNMP, assinale a alternativa correta</w:t>
      </w:r>
      <w:r>
        <w:rPr>
          <w:rFonts w:ascii="Book Antiqua" w:hAnsi="Book Antiqua"/>
          <w:sz w:val="18"/>
          <w:szCs w:val="18"/>
        </w:rPr>
        <w:t>:</w:t>
      </w:r>
      <w:r w:rsidRPr="004B4DFF">
        <w:t xml:space="preserve"> </w:t>
      </w:r>
      <w:r w:rsidRPr="004B4DFF">
        <w:rPr>
          <w:rFonts w:ascii="Book Antiqua" w:hAnsi="Book Antiqua"/>
          <w:sz w:val="18"/>
          <w:szCs w:val="18"/>
        </w:rPr>
        <w:t>Deve-se garantir o direito ao reconhecimento e à adoção de nome social em benefício de Joana, mediante solicitação dela perante a universidade.</w:t>
      </w:r>
    </w:p>
  </w:footnote>
  <w:footnote w:id="4">
    <w:p w14:paraId="1408455A" w14:textId="77777777" w:rsidR="004B4DFF" w:rsidRPr="004B4DFF" w:rsidRDefault="004B4DFF" w:rsidP="004B4DFF">
      <w:pPr>
        <w:pStyle w:val="Textodenotaderodap"/>
        <w:jc w:val="both"/>
        <w:rPr>
          <w:rFonts w:ascii="Book Antiqua" w:hAnsi="Book Antiqua"/>
        </w:rPr>
      </w:pPr>
      <w:r w:rsidRPr="004B4DFF">
        <w:rPr>
          <w:rStyle w:val="Refdenotaderodap"/>
          <w:rFonts w:ascii="Book Antiqua" w:hAnsi="Book Antiqua"/>
          <w:sz w:val="18"/>
          <w:szCs w:val="18"/>
        </w:rPr>
        <w:footnoteRef/>
      </w:r>
      <w:r w:rsidRPr="004B4DFF">
        <w:rPr>
          <w:rFonts w:ascii="Book Antiqua" w:hAnsi="Book Antiqua"/>
          <w:sz w:val="18"/>
          <w:szCs w:val="18"/>
        </w:rPr>
        <w:t xml:space="preserve"> </w:t>
      </w:r>
      <w:r>
        <w:rPr>
          <w:rFonts w:ascii="Book Antiqua" w:hAnsi="Book Antiqua"/>
          <w:b/>
          <w:bCs/>
          <w:sz w:val="18"/>
          <w:szCs w:val="18"/>
        </w:rPr>
        <w:t>(MPRO-2024-VUNESP)</w:t>
      </w:r>
      <w:r>
        <w:rPr>
          <w:rFonts w:ascii="Book Antiqua" w:hAnsi="Book Antiqua"/>
          <w:sz w:val="18"/>
          <w:szCs w:val="18"/>
        </w:rPr>
        <w:t xml:space="preserve">: </w:t>
      </w:r>
      <w:r w:rsidRPr="004B4DFF">
        <w:rPr>
          <w:rFonts w:ascii="Book Antiqua" w:hAnsi="Book Antiqua"/>
          <w:sz w:val="18"/>
          <w:szCs w:val="18"/>
        </w:rPr>
        <w:t>Hipoteticamente, Joana Antunes é uma mulher transexual, que não fez cirurgia para alteração de sexo biológico e que, na universidade pública estadual em que está matriculada, pretende assim ser tratada, e não pelo seu nome registral, que atualmente é João Antunes.</w:t>
      </w:r>
      <w:r>
        <w:rPr>
          <w:rFonts w:ascii="Book Antiqua" w:hAnsi="Book Antiqua"/>
          <w:sz w:val="18"/>
          <w:szCs w:val="18"/>
        </w:rPr>
        <w:t xml:space="preserve"> </w:t>
      </w:r>
      <w:r w:rsidRPr="004B4DFF">
        <w:rPr>
          <w:rFonts w:ascii="Book Antiqua" w:hAnsi="Book Antiqua"/>
          <w:sz w:val="18"/>
          <w:szCs w:val="18"/>
        </w:rPr>
        <w:t>De acordo com a Nota Técnica 08/2016 do CNMP, assinale a alternativa correta</w:t>
      </w:r>
      <w:r>
        <w:rPr>
          <w:rFonts w:ascii="Book Antiqua" w:hAnsi="Book Antiqua"/>
          <w:sz w:val="18"/>
          <w:szCs w:val="18"/>
        </w:rPr>
        <w:t>:</w:t>
      </w:r>
      <w:r w:rsidRPr="004B4DFF">
        <w:t xml:space="preserve"> </w:t>
      </w:r>
      <w:r w:rsidRPr="004B4DFF">
        <w:rPr>
          <w:rFonts w:ascii="Book Antiqua" w:hAnsi="Book Antiqua"/>
          <w:sz w:val="18"/>
          <w:szCs w:val="18"/>
        </w:rPr>
        <w:t>Deve-se garantir o direito ao reconhecimento e à adoção de nome social em benefício de Joana, mediante solicitação dela perante a universidade.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8C"/>
    <w:rsid w:val="00056442"/>
    <w:rsid w:val="00095DB1"/>
    <w:rsid w:val="001D058C"/>
    <w:rsid w:val="002D241C"/>
    <w:rsid w:val="002E01C5"/>
    <w:rsid w:val="003B3B47"/>
    <w:rsid w:val="0047655E"/>
    <w:rsid w:val="004B4DFF"/>
    <w:rsid w:val="006162A7"/>
    <w:rsid w:val="00836854"/>
    <w:rsid w:val="00901480"/>
    <w:rsid w:val="00B95EE8"/>
    <w:rsid w:val="00BB7FE6"/>
    <w:rsid w:val="00CA33D5"/>
    <w:rsid w:val="00D346F6"/>
    <w:rsid w:val="00DD5077"/>
    <w:rsid w:val="00E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73EF"/>
  <w15:chartTrackingRefBased/>
  <w15:docId w15:val="{2F3056FE-791C-43C3-A7F3-017931DB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0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0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0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05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05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0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05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0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0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05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05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05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05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058C"/>
    <w:rPr>
      <w:b/>
      <w:bCs/>
      <w:smallCaps/>
      <w:color w:val="2F5496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3685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3685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36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C400F-3D67-40CE-B5D5-D53414A1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4919</Words>
  <Characters>26566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2026-02-12T22:55:00Z</dcterms:created>
  <dcterms:modified xsi:type="dcterms:W3CDTF">2026-02-13T16:37:00Z</dcterms:modified>
</cp:coreProperties>
</file>