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6CC4" w14:textId="4FDC6381" w:rsidR="005F7696" w:rsidRPr="005F7696" w:rsidRDefault="005F7696" w:rsidP="005F7696">
      <w:pPr>
        <w:jc w:val="center"/>
        <w:rPr>
          <w:rFonts w:ascii="Book Antiqua" w:hAnsi="Book Antiqua"/>
          <w:b/>
          <w:bCs/>
          <w:color w:val="EE0000"/>
          <w:sz w:val="19"/>
          <w:szCs w:val="19"/>
        </w:rPr>
      </w:pPr>
      <w:r w:rsidRPr="005F7696">
        <w:rPr>
          <w:rFonts w:ascii="Book Antiqua" w:hAnsi="Book Antiqua"/>
          <w:b/>
          <w:bCs/>
          <w:color w:val="EE0000"/>
          <w:sz w:val="19"/>
          <w:szCs w:val="19"/>
        </w:rPr>
        <w:t xml:space="preserve">(Atualização em </w:t>
      </w:r>
      <w:r w:rsidR="00621587">
        <w:rPr>
          <w:rFonts w:ascii="Book Antiqua" w:hAnsi="Book Antiqua"/>
          <w:b/>
          <w:bCs/>
          <w:color w:val="EE0000"/>
          <w:sz w:val="19"/>
          <w:szCs w:val="19"/>
        </w:rPr>
        <w:t>12/02/2026</w:t>
      </w:r>
      <w:r w:rsidRPr="005F7696">
        <w:rPr>
          <w:rFonts w:ascii="Book Antiqua" w:hAnsi="Book Antiqua"/>
          <w:b/>
          <w:bCs/>
          <w:color w:val="EE0000"/>
          <w:sz w:val="19"/>
          <w:szCs w:val="19"/>
        </w:rPr>
        <w:t>: questões de concurso)</w:t>
      </w:r>
    </w:p>
    <w:p w14:paraId="664432AF" w14:textId="52323FAB" w:rsidR="005F7696" w:rsidRPr="005F7696" w:rsidRDefault="005F7696" w:rsidP="005F7696">
      <w:pPr>
        <w:jc w:val="center"/>
        <w:rPr>
          <w:rFonts w:ascii="Book Antiqua" w:hAnsi="Book Antiqua"/>
          <w:b/>
          <w:bCs/>
          <w:sz w:val="19"/>
          <w:szCs w:val="19"/>
        </w:rPr>
      </w:pPr>
      <w:r w:rsidRPr="005F7696">
        <w:rPr>
          <w:rFonts w:ascii="Book Antiqua" w:hAnsi="Book Antiqua"/>
          <w:b/>
          <w:bCs/>
          <w:sz w:val="19"/>
          <w:szCs w:val="19"/>
        </w:rPr>
        <w:t>RESOLUÇÃO N° 73, DE 15 DE JUNHO DE 2011.</w:t>
      </w:r>
    </w:p>
    <w:p w14:paraId="2D6597D9" w14:textId="2386CFC9" w:rsidR="005F7696" w:rsidRPr="005F7696" w:rsidRDefault="005F7696" w:rsidP="005F7696">
      <w:pPr>
        <w:ind w:left="2268"/>
        <w:jc w:val="both"/>
        <w:rPr>
          <w:rFonts w:ascii="Book Antiqua" w:hAnsi="Book Antiqua"/>
          <w:sz w:val="19"/>
          <w:szCs w:val="19"/>
        </w:rPr>
      </w:pPr>
      <w:r w:rsidRPr="005F7696">
        <w:rPr>
          <w:rFonts w:ascii="Book Antiqua" w:hAnsi="Book Antiqua"/>
          <w:sz w:val="19"/>
          <w:szCs w:val="19"/>
        </w:rPr>
        <w:t>Dispõe sobre o acúmulo do exercício das funções ministeriais com o exercício do magistério por</w:t>
      </w:r>
      <w:r>
        <w:rPr>
          <w:rFonts w:ascii="Book Antiqua" w:hAnsi="Book Antiqua"/>
          <w:sz w:val="19"/>
          <w:szCs w:val="19"/>
        </w:rPr>
        <w:t xml:space="preserve"> </w:t>
      </w:r>
      <w:r w:rsidRPr="005F7696">
        <w:rPr>
          <w:rFonts w:ascii="Book Antiqua" w:hAnsi="Book Antiqua"/>
          <w:sz w:val="19"/>
          <w:szCs w:val="19"/>
        </w:rPr>
        <w:t>membros do Ministério Público da União e dos Estados.</w:t>
      </w:r>
    </w:p>
    <w:p w14:paraId="2178F9B7"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O CONSELHO NACIONAL DO MINISTÉRIO PÚBLICO, no exercício das suas atribuições conferidas pelo artigo 130-A, parágrafo 2º, inciso I, da Constituição da República e no artigo 19 do seu Regimento Interno;</w:t>
      </w:r>
    </w:p>
    <w:p w14:paraId="61CD254A"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Considerando que aos membros do Ministério Público é vedada a acumulação de funções ministeriais com quaisquer outras, exceto as de magistério, nos termos do art. 128, II, “d”, da Constituição;</w:t>
      </w:r>
    </w:p>
    <w:p w14:paraId="150E9195"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Considerando a importância de serem delineados os contornos objetivos da atividade de magistério, para os efeitos previstos na Constituição; e</w:t>
      </w:r>
    </w:p>
    <w:p w14:paraId="7E3BE469"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Considerando ainda, o decidido na sessão plenária de 15 de junho de 2011, no processo nº 2346/2010-22,</w:t>
      </w:r>
    </w:p>
    <w:p w14:paraId="36BAFC0C"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RESOLVE:</w:t>
      </w:r>
    </w:p>
    <w:p w14:paraId="100313E4" w14:textId="218B2E96" w:rsidR="005F7696" w:rsidRDefault="005F7696" w:rsidP="005F7696">
      <w:pPr>
        <w:ind w:firstLine="567"/>
        <w:jc w:val="both"/>
        <w:rPr>
          <w:rFonts w:ascii="Book Antiqua" w:hAnsi="Book Antiqua"/>
          <w:sz w:val="19"/>
          <w:szCs w:val="19"/>
        </w:rPr>
      </w:pPr>
      <w:r w:rsidRPr="005F7696">
        <w:rPr>
          <w:rFonts w:ascii="Book Antiqua" w:hAnsi="Book Antiqua"/>
          <w:b/>
          <w:bCs/>
          <w:sz w:val="19"/>
          <w:szCs w:val="19"/>
          <w:highlight w:val="magenta"/>
        </w:rPr>
        <w:t>Art. 1º</w:t>
      </w:r>
      <w:r w:rsidRPr="005F7696">
        <w:rPr>
          <w:rFonts w:ascii="Book Antiqua" w:hAnsi="Book Antiqua"/>
          <w:b/>
          <w:bCs/>
          <w:sz w:val="19"/>
          <w:szCs w:val="19"/>
        </w:rPr>
        <w:t xml:space="preserve"> Ao membro do Ministério Público da União e dos Estados, ainda que em disponibilidade, é defeso o exercício de outro cargo ou função pública, ressalvado o magistério, público ou particular</w:t>
      </w:r>
      <w:r w:rsidRPr="005F7696">
        <w:rPr>
          <w:rFonts w:ascii="Book Antiqua" w:hAnsi="Book Antiqua"/>
          <w:sz w:val="19"/>
          <w:szCs w:val="19"/>
        </w:rPr>
        <w:t>. (Redação dada pela Resolução n° 133, de 22 de setembro de 2015)</w:t>
      </w:r>
      <w:r>
        <w:rPr>
          <w:rFonts w:ascii="Book Antiqua" w:hAnsi="Book Antiqua"/>
          <w:sz w:val="19"/>
          <w:szCs w:val="19"/>
        </w:rPr>
        <w:t xml:space="preserve"> </w:t>
      </w:r>
      <w:r>
        <w:rPr>
          <w:rFonts w:ascii="Book Antiqua" w:eastAsia="Times New Roman" w:hAnsi="Book Antiqua" w:cs="Times New Roman"/>
          <w:b/>
          <w:bCs/>
          <w:color w:val="FF0000"/>
          <w:sz w:val="16"/>
          <w:szCs w:val="16"/>
          <w:u w:val="single"/>
          <w:lang w:eastAsia="pt-BR"/>
        </w:rPr>
        <w:t>(MPSC-2024)</w:t>
      </w:r>
    </w:p>
    <w:p w14:paraId="0742D79E" w14:textId="1D754084" w:rsidR="005F7696" w:rsidRDefault="005F7696" w:rsidP="005F7696">
      <w:pPr>
        <w:ind w:firstLine="567"/>
        <w:jc w:val="both"/>
        <w:rPr>
          <w:rFonts w:ascii="Book Antiqua" w:hAnsi="Book Antiqua"/>
          <w:sz w:val="19"/>
          <w:szCs w:val="19"/>
        </w:rPr>
      </w:pPr>
      <w:r w:rsidRPr="005F7696">
        <w:rPr>
          <w:rFonts w:ascii="Book Antiqua" w:hAnsi="Book Antiqua"/>
          <w:b/>
          <w:bCs/>
          <w:sz w:val="19"/>
          <w:szCs w:val="19"/>
          <w:highlight w:val="magenta"/>
        </w:rPr>
        <w:t>§ 1º</w:t>
      </w:r>
      <w:r w:rsidRPr="005F7696">
        <w:rPr>
          <w:rFonts w:ascii="Book Antiqua" w:hAnsi="Book Antiqua"/>
          <w:b/>
          <w:bCs/>
          <w:sz w:val="19"/>
          <w:szCs w:val="19"/>
        </w:rPr>
        <w:t xml:space="preserve"> A coordenação de ensino ou de curso é considerada compreendida no magistério e poderá ser exercida pelo membro do Ministério Público se houver compatibilidade de horário com as funções ministeriais</w:t>
      </w:r>
      <w:r w:rsidRPr="005F7696">
        <w:rPr>
          <w:rFonts w:ascii="Book Antiqua" w:hAnsi="Book Antiqua"/>
          <w:sz w:val="19"/>
          <w:szCs w:val="19"/>
        </w:rPr>
        <w:t>.</w:t>
      </w:r>
      <w:r>
        <w:rPr>
          <w:rFonts w:ascii="Book Antiqua" w:hAnsi="Book Antiqua"/>
          <w:sz w:val="19"/>
          <w:szCs w:val="19"/>
        </w:rPr>
        <w:t xml:space="preserve"> </w:t>
      </w:r>
      <w:bookmarkStart w:id="0" w:name="_Hlk203997679"/>
      <w:r>
        <w:rPr>
          <w:rFonts w:ascii="Book Antiqua" w:eastAsia="Times New Roman" w:hAnsi="Book Antiqua" w:cs="Times New Roman"/>
          <w:b/>
          <w:bCs/>
          <w:color w:val="FF0000"/>
          <w:sz w:val="16"/>
          <w:szCs w:val="16"/>
          <w:u w:val="single"/>
          <w:lang w:eastAsia="pt-BR"/>
        </w:rPr>
        <w:t>(MPSC-2024)</w:t>
      </w:r>
      <w:bookmarkEnd w:id="0"/>
    </w:p>
    <w:p w14:paraId="000B7CE1"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2º Haverá compatibilidade de horário quando do exercício da atividade docente não conflitar com o período em que o membro deverá estar disponível para o exercício de suas funções institucionais, especialmente perante o público e o Poder Judiciário.</w:t>
      </w:r>
    </w:p>
    <w:p w14:paraId="13E047DE"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3º Consideram-se atividades de coordenação de ensino ou de curso, para os efeitos</w:t>
      </w:r>
      <w:r>
        <w:rPr>
          <w:rFonts w:ascii="Book Antiqua" w:hAnsi="Book Antiqua"/>
          <w:sz w:val="19"/>
          <w:szCs w:val="19"/>
        </w:rPr>
        <w:t xml:space="preserve"> </w:t>
      </w:r>
      <w:r w:rsidRPr="005F7696">
        <w:rPr>
          <w:rFonts w:ascii="Book Antiqua" w:hAnsi="Book Antiqua"/>
          <w:sz w:val="19"/>
          <w:szCs w:val="19"/>
        </w:rPr>
        <w:t>do parágrafo anterior, as de natureza formadora e transformadora, como o acompanhamento e a promoção do projeto pedagógico da instituição de ensino, a formação e orientação de professores, a articulação entre corpo docente e discente para a formação do ambiente acadêmico participativo, a iniciação científica, a orientação de acadêmicos, a promoção e a orientação da pesquisa e outras ações relacionadas diretamente com o processo de ensino e aprendizagem.</w:t>
      </w:r>
    </w:p>
    <w:p w14:paraId="3EDD02FA" w14:textId="1851554C" w:rsidR="005F7696" w:rsidRPr="009D4AC4" w:rsidRDefault="005F7696" w:rsidP="005F7696">
      <w:pPr>
        <w:ind w:firstLine="567"/>
        <w:jc w:val="both"/>
        <w:rPr>
          <w:rFonts w:ascii="Book Antiqua" w:hAnsi="Book Antiqua"/>
          <w:b/>
          <w:bCs/>
          <w:sz w:val="19"/>
          <w:szCs w:val="19"/>
        </w:rPr>
      </w:pPr>
      <w:r w:rsidRPr="009D4AC4">
        <w:rPr>
          <w:rFonts w:ascii="Book Antiqua" w:hAnsi="Book Antiqua"/>
          <w:b/>
          <w:bCs/>
          <w:sz w:val="19"/>
          <w:szCs w:val="19"/>
          <w:highlight w:val="magenta"/>
        </w:rPr>
        <w:t>§ 4º</w:t>
      </w:r>
      <w:r w:rsidRPr="009D4AC4">
        <w:rPr>
          <w:rFonts w:ascii="Book Antiqua" w:hAnsi="Book Antiqua"/>
          <w:b/>
          <w:bCs/>
          <w:sz w:val="19"/>
          <w:szCs w:val="19"/>
        </w:rPr>
        <w:t xml:space="preserve"> Não estão compreendidas nas atividades previstas no parágrafo anterior as de natureza administrativo-institucional e outras atribuições relacionadas à gestão da instituição de ensino.</w:t>
      </w:r>
      <w:r w:rsidR="009D4AC4" w:rsidRPr="009D4AC4">
        <w:rPr>
          <w:rFonts w:ascii="Book Antiqua" w:hAnsi="Book Antiqua"/>
          <w:b/>
          <w:bCs/>
          <w:sz w:val="19"/>
          <w:szCs w:val="19"/>
        </w:rPr>
        <w:t xml:space="preserve"> </w:t>
      </w:r>
      <w:r w:rsidR="009D4AC4" w:rsidRPr="009D4AC4">
        <w:rPr>
          <w:rFonts w:ascii="Book Antiqua" w:eastAsia="Times New Roman" w:hAnsi="Book Antiqua" w:cs="Times New Roman"/>
          <w:b/>
          <w:bCs/>
          <w:color w:val="FF0000"/>
          <w:sz w:val="16"/>
          <w:szCs w:val="16"/>
          <w:u w:val="single"/>
          <w:lang w:eastAsia="pt-BR"/>
        </w:rPr>
        <w:t>(MPSC-2024)</w:t>
      </w:r>
    </w:p>
    <w:p w14:paraId="601BA82E"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5º As atividades remuneradas de coaching, destinadas à assessoria individual ou coletiva de pessoas, inclusive na preparação de candidatos a concursos públicos, não são consideradas atividade docente, sendo vedada a sua prática por membros do Ministério Público. (Incluído pela Resolução nº 224, de 26 de fevereiro de 2021 e com redação dada pela Resolução nº 273, de 14 de novembro de 2023)</w:t>
      </w:r>
    </w:p>
    <w:p w14:paraId="1A7DD0F6"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2º. Somente será permitido o exercício da docência ao membro, em qualquer hipótese, se houver compatibilidade de horário com o do exercício das funções ministeriais, e desde que o faça em sua comarca ou circunscrição de lotação, ou na mesma região metropolitana. (Redação dada pela Resolução n° 132, de 22 de setembro de 2015)</w:t>
      </w:r>
    </w:p>
    <w:p w14:paraId="108C0B41"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1º Fora das hipóteses previstas no caput deste artigo, a unidade do Ministério Público, através do órgão competente, poderá autorizar o exercício da docência por membro do Ministério Público, quando se tratar de instituição de ensino sediada em comarca ou circunscrição próxima, nos termos de ato normativo e em hipóteses excepcionais, devidamente fundamentadas. (Redação dada pela Resolução n° 132, de 22 de setembro de 2015)</w:t>
      </w:r>
    </w:p>
    <w:p w14:paraId="0ADE1582"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lastRenderedPageBreak/>
        <w:t>§ 2º. O cargo ou função de direção nas entidades de ensino não é considerado exercício de magistério, sendo vedado aos membros do Ministério Público.</w:t>
      </w:r>
    </w:p>
    <w:p w14:paraId="64028259"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3º. Não se incluem nas vedações referidas nos artigos anteriores as funções exercidas em curso ou escola de aperfeiçoamento do próprio Ministério Público ou aqueles mantidos por associações de classe ou fundações a ele vinculadas estatutariamente, desde que essas atividades não sejam remuneradas.</w:t>
      </w:r>
    </w:p>
    <w:p w14:paraId="411B81F2"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4º. O exercício de docência deverá ser comunicado pelo membro ao CorregedorGeral da respectiva unidade do Ministério Público, ocasião em que informará o nome da entidade de ensino, sua localização e os horários das aulas que ministrará.</w:t>
      </w:r>
    </w:p>
    <w:p w14:paraId="0F14135C"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Parágrafo único. O Corregedor de cada unidade do Ministério Público deverá informar anualmente à Corregedoria Nacional os nomes dos membros de seu órgão que exerçam atividades de docência e os casos em que foi autorizado pela unidade o exercício da docência fora do município de lotação.</w:t>
      </w:r>
    </w:p>
    <w:p w14:paraId="5AC780A3"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5º. Ciente de eventual exercício do magistério em desconformidade com a presente Resolução, o Corregedor-Geral, após oitiva do membro, não sendo solucionado o problema, tomará as medidas necessárias, no âmbito de suas atribuições.</w:t>
      </w:r>
    </w:p>
    <w:p w14:paraId="13111570"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6º. Esta Resolução entra em vigor na data de sua publicação, revogando-se a Resolução 3, de 16 de dezembro de 2005.</w:t>
      </w:r>
    </w:p>
    <w:p w14:paraId="4A58D055" w14:textId="7E9E1ED0" w:rsidR="005F7696" w:rsidRPr="005F7696" w:rsidRDefault="005F7696" w:rsidP="005F7696">
      <w:pPr>
        <w:ind w:firstLine="567"/>
        <w:jc w:val="both"/>
        <w:rPr>
          <w:rFonts w:ascii="Book Antiqua" w:hAnsi="Book Antiqua"/>
          <w:sz w:val="19"/>
          <w:szCs w:val="19"/>
        </w:rPr>
      </w:pPr>
      <w:r w:rsidRPr="005F7696">
        <w:rPr>
          <w:rFonts w:ascii="Book Antiqua" w:hAnsi="Book Antiqua"/>
          <w:sz w:val="19"/>
          <w:szCs w:val="19"/>
        </w:rPr>
        <w:t>Brasília, 15 de junho de 2011.</w:t>
      </w:r>
    </w:p>
    <w:p w14:paraId="400025E0" w14:textId="77777777" w:rsidR="005F7696" w:rsidRDefault="005F7696" w:rsidP="005F7696">
      <w:pPr>
        <w:rPr>
          <w:rFonts w:ascii="Book Antiqua" w:hAnsi="Book Antiqua"/>
          <w:sz w:val="19"/>
          <w:szCs w:val="19"/>
        </w:rPr>
      </w:pPr>
    </w:p>
    <w:p w14:paraId="4C3D3BC6" w14:textId="4EB2E4CB" w:rsidR="005F7696" w:rsidRPr="005F7696" w:rsidRDefault="005F7696" w:rsidP="005F7696">
      <w:pPr>
        <w:jc w:val="center"/>
        <w:rPr>
          <w:rFonts w:ascii="Book Antiqua" w:hAnsi="Book Antiqua"/>
          <w:sz w:val="19"/>
          <w:szCs w:val="19"/>
        </w:rPr>
      </w:pPr>
      <w:r w:rsidRPr="005F7696">
        <w:rPr>
          <w:rFonts w:ascii="Book Antiqua" w:hAnsi="Book Antiqua"/>
          <w:sz w:val="19"/>
          <w:szCs w:val="19"/>
        </w:rPr>
        <w:t>ROBERTO MONTEIRO GURGEL SANTOS</w:t>
      </w:r>
    </w:p>
    <w:p w14:paraId="5E0010D6" w14:textId="5E00069E" w:rsidR="005F7696" w:rsidRPr="005F7696" w:rsidRDefault="005F7696" w:rsidP="005F7696">
      <w:pPr>
        <w:jc w:val="center"/>
        <w:rPr>
          <w:rFonts w:ascii="Book Antiqua" w:hAnsi="Book Antiqua"/>
          <w:sz w:val="19"/>
          <w:szCs w:val="19"/>
        </w:rPr>
      </w:pPr>
      <w:r w:rsidRPr="005F7696">
        <w:rPr>
          <w:rFonts w:ascii="Book Antiqua" w:hAnsi="Book Antiqua"/>
          <w:sz w:val="19"/>
          <w:szCs w:val="19"/>
        </w:rPr>
        <w:t>Presidente do Conselho Nacional do Ministério Público</w:t>
      </w:r>
    </w:p>
    <w:sectPr w:rsidR="005F7696" w:rsidRPr="005F7696" w:rsidSect="005F7696">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ED"/>
    <w:rsid w:val="00056442"/>
    <w:rsid w:val="00095DB1"/>
    <w:rsid w:val="0047655E"/>
    <w:rsid w:val="005F7696"/>
    <w:rsid w:val="00621587"/>
    <w:rsid w:val="007A67ED"/>
    <w:rsid w:val="0090712A"/>
    <w:rsid w:val="009D4AC4"/>
    <w:rsid w:val="00BB7FE6"/>
    <w:rsid w:val="00BD19F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549A"/>
  <w15:chartTrackingRefBased/>
  <w15:docId w15:val="{C6CDDF89-F50B-4AA6-9F75-30665570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A6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A6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A67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A67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A67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A67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67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67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67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67E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A67E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A67E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A67E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A67E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A67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67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67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67ED"/>
    <w:rPr>
      <w:rFonts w:eastAsiaTheme="majorEastAsia" w:cstheme="majorBidi"/>
      <w:color w:val="272727" w:themeColor="text1" w:themeTint="D8"/>
    </w:rPr>
  </w:style>
  <w:style w:type="paragraph" w:styleId="Ttulo">
    <w:name w:val="Title"/>
    <w:basedOn w:val="Normal"/>
    <w:next w:val="Normal"/>
    <w:link w:val="TtuloChar"/>
    <w:uiPriority w:val="10"/>
    <w:qFormat/>
    <w:rsid w:val="007A6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67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67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67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67ED"/>
    <w:pPr>
      <w:spacing w:before="160"/>
      <w:jc w:val="center"/>
    </w:pPr>
    <w:rPr>
      <w:i/>
      <w:iCs/>
      <w:color w:val="404040" w:themeColor="text1" w:themeTint="BF"/>
    </w:rPr>
  </w:style>
  <w:style w:type="character" w:customStyle="1" w:styleId="CitaoChar">
    <w:name w:val="Citação Char"/>
    <w:basedOn w:val="Fontepargpadro"/>
    <w:link w:val="Citao"/>
    <w:uiPriority w:val="29"/>
    <w:rsid w:val="007A67ED"/>
    <w:rPr>
      <w:i/>
      <w:iCs/>
      <w:color w:val="404040" w:themeColor="text1" w:themeTint="BF"/>
    </w:rPr>
  </w:style>
  <w:style w:type="paragraph" w:styleId="PargrafodaLista">
    <w:name w:val="List Paragraph"/>
    <w:basedOn w:val="Normal"/>
    <w:uiPriority w:val="34"/>
    <w:qFormat/>
    <w:rsid w:val="007A67ED"/>
    <w:pPr>
      <w:ind w:left="720"/>
      <w:contextualSpacing/>
    </w:pPr>
  </w:style>
  <w:style w:type="character" w:styleId="nfaseIntensa">
    <w:name w:val="Intense Emphasis"/>
    <w:basedOn w:val="Fontepargpadro"/>
    <w:uiPriority w:val="21"/>
    <w:qFormat/>
    <w:rsid w:val="007A67ED"/>
    <w:rPr>
      <w:i/>
      <w:iCs/>
      <w:color w:val="2F5496" w:themeColor="accent1" w:themeShade="BF"/>
    </w:rPr>
  </w:style>
  <w:style w:type="paragraph" w:styleId="CitaoIntensa">
    <w:name w:val="Intense Quote"/>
    <w:basedOn w:val="Normal"/>
    <w:next w:val="Normal"/>
    <w:link w:val="CitaoIntensaChar"/>
    <w:uiPriority w:val="30"/>
    <w:qFormat/>
    <w:rsid w:val="007A6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A67ED"/>
    <w:rPr>
      <w:i/>
      <w:iCs/>
      <w:color w:val="2F5496" w:themeColor="accent1" w:themeShade="BF"/>
    </w:rPr>
  </w:style>
  <w:style w:type="character" w:styleId="RefernciaIntensa">
    <w:name w:val="Intense Reference"/>
    <w:basedOn w:val="Fontepargpadro"/>
    <w:uiPriority w:val="32"/>
    <w:qFormat/>
    <w:rsid w:val="007A6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778</Words>
  <Characters>4207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2025-07-21T16:19:00Z</dcterms:created>
  <dcterms:modified xsi:type="dcterms:W3CDTF">2026-02-12T21:34:00Z</dcterms:modified>
</cp:coreProperties>
</file>