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search-report-pilot-test-1"/>
    <w:p>
      <w:pPr>
        <w:pStyle w:val="Heading1"/>
      </w:pPr>
      <w:r>
        <w:t xml:space="preserve">Research Report: pilot-test-1</w:t>
      </w:r>
    </w:p>
    <w:bookmarkStart w:id="12" w:name="method"/>
    <w:p>
      <w:pPr>
        <w:pStyle w:val="Heading2"/>
      </w:pPr>
      <w:r>
        <w:t xml:space="preserve">Method</w:t>
      </w:r>
    </w:p>
    <w:bookmarkStart w:id="9" w:name="sample"/>
    <w:p>
      <w:pPr>
        <w:pStyle w:val="Heading3"/>
      </w:pPr>
      <w:r>
        <w:t xml:space="preserve">Sample</w:t>
      </w:r>
    </w:p>
    <w:p>
      <w:pPr>
        <w:pStyle w:val="FirstParagraph"/>
      </w:pPr>
      <w:r>
        <w:t xml:space="preserve">The sample comprised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synthetic participants generated via Large Language Model (LLM) simulation in batched subagents. Subject profiles were drawn randomly from a parameterized population model representing US adults with a specified mean age of 35.0 years (</w:t>
      </w:r>
      <m:oMath>
        <m:r>
          <m:t>S</m:t>
        </m:r>
        <m:r>
          <m:t>D</m:t>
        </m:r>
        <m:r>
          <m:rPr>
            <m:sty m:val="p"/>
          </m:rPr>
          <m:t>=</m:t>
        </m:r>
        <m:r>
          <m:t>10.0</m:t>
        </m:r>
      </m:oMath>
      <w:r>
        <w:t xml:space="preserve">, bounded within</w:t>
      </w:r>
      <w:r>
        <w:t xml:space="preserve"> </w:t>
      </w:r>
      <m:oMath>
        <m:r>
          <m:rPr>
            <m:sty m:val="p"/>
          </m:rPr>
          <m:t>[</m:t>
        </m:r>
        <m:r>
          <m:t>18</m:t>
        </m:r>
        <m:r>
          <m:rPr>
            <m:sty m:val="p"/>
          </m:rPr>
          <m:t>,</m:t>
        </m:r>
        <m:r>
          <m:t>85</m:t>
        </m:r>
        <m:r>
          <m:rPr>
            <m:sty m:val="p"/>
          </m:rPr>
          <m:t>]</m:t>
        </m:r>
      </m:oMath>
      <w:r>
        <w:t xml:space="preserve">).</w:t>
      </w:r>
    </w:p>
    <w:p>
      <w:pPr>
        <w:pStyle w:val="BodyText"/>
      </w:pPr>
      <w:r>
        <w:t xml:space="preserve">Participants were randomly assigned between-subject in an equal allocation ratio to either the control condition (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) or the treatment condition (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). Simulations were conducted using subagent batches with distinct persona conditioning, eliciting independent choice decisions and first-person reasoning without cross-subject contamination.</w:t>
      </w:r>
    </w:p>
    <w:bookmarkEnd w:id="9"/>
    <w:bookmarkStart w:id="10" w:name="design-and-stimuli"/>
    <w:p>
      <w:pPr>
        <w:pStyle w:val="Heading3"/>
      </w:pPr>
      <w:r>
        <w:t xml:space="preserve">Design and Stimuli</w:t>
      </w:r>
    </w:p>
    <w:p>
      <w:pPr>
        <w:pStyle w:val="FirstParagraph"/>
      </w:pPr>
      <w:r>
        <w:t xml:space="preserve">The experiment employed a two-condition, between-subjects randomized design evaluating the impact of beneficiary framing on financial savings decisions. Each participant was presented with a savings prompt followed by a binary decision whether to sign up: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 condition:</w:t>
      </w:r>
      <w:r>
        <w:t xml:space="preserve"> </w:t>
      </w:r>
      <w:r>
        <w:t xml:space="preserve">Presented the baseline savings prompt: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“Save $5 today.”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Treatment condition:</w:t>
      </w:r>
      <w:r>
        <w:t xml:space="preserve"> </w:t>
      </w:r>
      <w:r>
        <w:t xml:space="preserve">Presented the savings prompt augmented with beneficiary / family framing: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“Save $5 today — for your family’s future.”</w:t>
      </w:r>
    </w:p>
    <w:p>
      <w:pPr>
        <w:pStyle w:val="FirstParagraph"/>
      </w:pPr>
      <w:r>
        <w:t xml:space="preserve">Both conditions presented identical decision options:</w:t>
      </w:r>
      <w:r>
        <w:t xml:space="preserve"> </w:t>
      </w:r>
      <w:r>
        <w:rPr>
          <w:rStyle w:val="VerbatimChar"/>
        </w:rPr>
        <w:t xml:space="preserve">"Not now"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"Sign Up"</w:t>
      </w:r>
      <w:r>
        <w:t xml:space="preserve">.</w:t>
      </w:r>
    </w:p>
    <w:bookmarkEnd w:id="10"/>
    <w:bookmarkStart w:id="11" w:name="outcome-variable"/>
    <w:p>
      <w:pPr>
        <w:pStyle w:val="Heading3"/>
      </w:pPr>
      <w:r>
        <w:t xml:space="preserve">Outcome Variable</w:t>
      </w:r>
    </w:p>
    <w:p>
      <w:pPr>
        <w:pStyle w:val="FirstParagraph"/>
      </w:pPr>
      <w:r>
        <w:t xml:space="preserve">The primary dependent variable was sign-up uptake (</w:t>
      </w:r>
      <w:r>
        <w:rPr>
          <w:rStyle w:val="VerbatimChar"/>
        </w:rPr>
        <w:t xml:space="preserve">click_sign_up</w:t>
      </w:r>
      <w:r>
        <w:t xml:space="preserve">), recorded as a binary choice: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Declined / chose</w:t>
      </w:r>
      <w:r>
        <w:t xml:space="preserve"> </w:t>
      </w:r>
      <w:r>
        <w:rPr>
          <w:rStyle w:val="VerbatimChar"/>
        </w:rPr>
        <w:t xml:space="preserve">"Not now"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Accepted / chose</w:t>
      </w:r>
      <w:r>
        <w:t xml:space="preserve"> </w:t>
      </w:r>
      <w:r>
        <w:rPr>
          <w:rStyle w:val="VerbatimChar"/>
        </w:rPr>
        <w:t xml:space="preserve">"Sign Up"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summary-statistics-and-balance"/>
    <w:p>
      <w:pPr>
        <w:pStyle w:val="Heading2"/>
      </w:pPr>
      <w:r>
        <w:t xml:space="preserve">Summary Statistics and Balance</w:t>
      </w:r>
    </w:p>
    <w:p>
      <w:pPr>
        <w:pStyle w:val="FirstParagraph"/>
      </w:pPr>
      <w:r>
        <w:t xml:space="preserve">Randomization balance across conditions was evaluated on the sampled demographic covariate (age). Table 1 reports descriptive statistics by condition arm and across the overall sample.</w:t>
      </w:r>
    </w:p>
    <w:bookmarkStart w:id="13" w:name="table-1-sample-demographics-by-condition"/>
    <w:p>
      <w:pPr>
        <w:pStyle w:val="Heading3"/>
      </w:pPr>
      <w:r>
        <w:t xml:space="preserve">Table 1: Sample Demographics by Condition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Age 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Age</w:t>
            </w:r>
            <w:r>
              <w:t xml:space="preserve"> </w:t>
            </w:r>
            <m:oMath>
              <m:r>
                <m:t>S</m:t>
              </m:r>
              <m:r>
                <m:t>D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Treatment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</w:t>
            </w:r>
          </w:p>
        </w:tc>
      </w:tr>
    </w:tbl>
    <w:p>
      <w:pPr>
        <w:pStyle w:val="BodyText"/>
      </w:pPr>
      <w:r>
        <w:t xml:space="preserve">A one-way ANOVA F-test indicates that mean age did not differ significantly between the control and treatment conditions (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0.196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=</m:t>
        </m:r>
        <m:r>
          <m:t>0.670</m:t>
        </m:r>
      </m:oMath>
      <w:r>
        <w:t xml:space="preserve">). Additionally, Bartlett’s test confirmed homogeneity of variance across conditions (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1.041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=</m:t>
        </m:r>
        <m:r>
          <m:t>0.308</m:t>
        </m:r>
      </m:oMath>
      <w:r>
        <w:t xml:space="preserve">). Randomization was therefore well-balanced with respect to age.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results"/>
    <w:p>
      <w:pPr>
        <w:pStyle w:val="Heading2"/>
      </w:pPr>
      <w:r>
        <w:t xml:space="preserve">Results</w:t>
      </w:r>
    </w:p>
    <w:bookmarkStart w:id="18" w:name="Xc58b844975821f6e195b5334579d3b56e8c6872"/>
    <w:p>
      <w:pPr>
        <w:pStyle w:val="Heading3"/>
      </w:pPr>
      <w:r>
        <w:t xml:space="preserve">Primary Outcome: Sign-Up Uptake (</w:t>
      </w:r>
      <w:r>
        <w:rPr>
          <w:rStyle w:val="VerbatimChar"/>
        </w:rPr>
        <w:t xml:space="preserve">click_sign_up</w:t>
      </w:r>
      <w:r>
        <w:t xml:space="preserve">)</w:t>
      </w:r>
    </w:p>
    <w:p>
      <w:pPr>
        <w:pStyle w:val="FirstParagraph"/>
      </w:pPr>
      <w:r>
        <w:t xml:space="preserve">A binary logistic regression was estimated modeling the log-odds of signing up as a function of the treatment indicator (</w:t>
      </w:r>
      <m:oMath>
        <m:r>
          <m:t>0</m:t>
        </m:r>
        <m:r>
          <m:rPr>
            <m:sty m:val="p"/>
          </m:rPr>
          <m:t>=</m:t>
        </m:r>
        <m:r>
          <m:rPr>
            <m:nor/>
            <m:sty m:val="p"/>
          </m:rPr>
          <m:t>Control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=</m:t>
        </m:r>
        <m:r>
          <m:rPr>
            <m:nor/>
            <m:sty m:val="p"/>
          </m:rPr>
          <m:t>Treatment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click_sign_up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1.386</m:t>
          </m:r>
          <m:r>
            <m:rPr>
              <m:sty m:val="p"/>
            </m:rPr>
            <m:t>+</m:t>
          </m:r>
          <m:r>
            <m:t>1.792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Treatment</m:t>
          </m:r>
        </m:oMath>
      </m:oMathPara>
    </w:p>
    <w:p>
      <w:pPr>
        <w:pStyle w:val="FirstParagraph"/>
      </w:pPr>
      <w:r>
        <w:t xml:space="preserve">In the control condition, 20.0% of participants (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5</m:t>
        </m:r>
      </m:oMath>
      <w:r>
        <w:t xml:space="preserve">,</w:t>
      </w:r>
      <w:r>
        <w:t xml:space="preserve"> </w:t>
      </w:r>
      <m:oMath>
        <m:r>
          <m:t>S</m:t>
        </m:r>
        <m:r>
          <m:t>E</m:t>
        </m:r>
        <m:r>
          <m:rPr>
            <m:sty m:val="p"/>
          </m:rPr>
          <m:t>=</m:t>
        </m:r>
        <m:r>
          <m:t>20.0</m:t>
        </m:r>
        <m:r>
          <m:rPr>
            <m:sty m:val="p"/>
          </m:rPr>
          <m:t>%</m:t>
        </m:r>
      </m:oMath>
      <w:r>
        <w:t xml:space="preserve">) chose to sign up. In the treatment condition, sign-up uptake was 60.0% (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5</m:t>
        </m:r>
      </m:oMath>
      <w:r>
        <w:t xml:space="preserve">,</w:t>
      </w:r>
      <w:r>
        <w:t xml:space="preserve"> </w:t>
      </w:r>
      <m:oMath>
        <m:r>
          <m:t>S</m:t>
        </m:r>
        <m:r>
          <m:t>E</m:t>
        </m:r>
        <m:r>
          <m:rPr>
            <m:sty m:val="p"/>
          </m:rPr>
          <m:t>=</m:t>
        </m:r>
        <m:r>
          <m:t>24.5</m:t>
        </m:r>
        <m:r>
          <m:rPr>
            <m:sty m:val="p"/>
          </m:rPr>
          <m:t>%</m:t>
        </m:r>
      </m:oMath>
      <w:r>
        <w:t xml:space="preserve">).</w:t>
      </w:r>
    </w:p>
    <w:p>
      <w:pPr>
        <w:pStyle w:val="BodyText"/>
      </w:pPr>
      <w:r>
        <w:t xml:space="preserve">The logistic regression estimate for the treatment effect was positive (</w:t>
      </w:r>
      <m:oMath>
        <m:r>
          <m:t>B</m:t>
        </m:r>
        <m:r>
          <m:rPr>
            <m:sty m:val="p"/>
          </m:rPr>
          <m:t>=</m:t>
        </m:r>
        <m:r>
          <m:t>1.792</m:t>
        </m:r>
        <m:r>
          <m:rPr>
            <m:sty m:val="p"/>
          </m:rPr>
          <m:t>,</m:t>
        </m:r>
        <m:r>
          <m:t>S</m:t>
        </m:r>
        <m:r>
          <m:t>E</m:t>
        </m:r>
        <m:r>
          <m:rPr>
            <m:sty m:val="p"/>
          </m:rPr>
          <m:t>=</m:t>
        </m:r>
        <m:r>
          <m:t>1.443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=</m:t>
        </m:r>
        <m:r>
          <m:t>1.241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=</m:t>
        </m:r>
        <m:r>
          <m:t>0.214</m:t>
        </m:r>
        <m:r>
          <m:rPr>
            <m:sty m:val="p"/>
          </m:rPr>
          <m:t>,</m:t>
        </m:r>
        <m:r>
          <m:t>95</m:t>
        </m:r>
        <m:r>
          <m:rPr>
            <m:sty m:val="p"/>
          </m:rPr>
          <m:t>%</m:t>
        </m:r>
        <m:r>
          <m:rPr>
            <m:nor/>
            <m:sty m:val="p"/>
          </m:rPr>
          <m:t> CI 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1.037</m:t>
        </m:r>
        <m:r>
          <m:rPr>
            <m:sty m:val="p"/>
          </m:rPr>
          <m:t>,</m:t>
        </m:r>
        <m:r>
          <m:t>4.621</m:t>
        </m:r>
        <m:r>
          <m:rPr>
            <m:sty m:val="p"/>
          </m:rPr>
          <m:t>]</m:t>
        </m:r>
      </m:oMath>
      <w:r>
        <w:t xml:space="preserve">), corresponding to an odds ratio of</w:t>
      </w:r>
      <w:r>
        <w:t xml:space="preserve"> </w:t>
      </w:r>
      <m:oMath>
        <m:r>
          <m:rPr>
            <m:nor/>
            <m:sty m:val="p"/>
          </m:rPr>
          <m:t>OR</m:t>
        </m:r>
        <m:r>
          <m:rPr>
            <m:sty m:val="p"/>
          </m:rPr>
          <m:t>=</m:t>
        </m:r>
        <m:r>
          <m:t>6.00</m:t>
        </m:r>
      </m:oMath>
      <w:r>
        <w:t xml:space="preserve">. In this small exploratory pilot sample (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), this positive directional effect did not reach conventional statistical significance (</w:t>
      </w:r>
      <m:oMath>
        <m:r>
          <m:t>p</m:t>
        </m:r>
        <m:r>
          <m:rPr>
            <m:sty m:val="p"/>
          </m:rPr>
          <m:t>=</m:t>
        </m:r>
        <m:r>
          <m:t>0.214</m:t>
        </m:r>
      </m:oMath>
      <w:r>
        <w:t xml:space="preserve">).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Sign-Up Uptake by Condition" title="" id="16" name="Picture"/>
            <a:graphic>
              <a:graphicData uri="http://schemas.openxmlformats.org/drawingml/2006/picture">
                <pic:pic>
                  <pic:nvPicPr>
                    <pic:cNvPr descr="../05_analysis/charts/click_sign_up_by_condition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Sign-Up Uptake by Condition</w:t>
      </w:r>
    </w:p>
    <w:p>
      <w:pPr>
        <w:pStyle w:val="BodyText"/>
      </w:pPr>
      <w:r>
        <w:t xml:space="preserve">Qualitative examination of participant reasoning indicates that participants in the treatment condition frequently referenced familial responsibilities (e.g.,</w:t>
      </w:r>
      <w:r>
        <w:t xml:space="preserve"> </w:t>
      </w:r>
      <w:r>
        <w:rPr>
          <w:i/>
          <w:iCs/>
        </w:rPr>
        <w:t xml:space="preserve">“seeing</w:t>
      </w:r>
      <w:r>
        <w:rPr>
          <w:i/>
          <w:iCs/>
        </w:rPr>
        <w:t xml:space="preserve"> </w:t>
      </w:r>
      <w:r>
        <w:rPr>
          <w:i/>
          <w:iCs/>
        </w:rPr>
        <w:t xml:space="preserve">‘for your family’s future’</w:t>
      </w:r>
      <w:r>
        <w:rPr>
          <w:i/>
          <w:iCs/>
        </w:rPr>
        <w:t xml:space="preserve"> </w:t>
      </w:r>
      <w:r>
        <w:rPr>
          <w:i/>
          <w:iCs/>
        </w:rPr>
        <w:t xml:space="preserve">really caught my attention with two kids at home”</w:t>
      </w:r>
      <w:r>
        <w:t xml:space="preserve">), whereas younger unattached respondents found the prompt less personally relevant. While directionally supporting the hypothesis that relational framing boosts perceived value, confirmatory testing with a higher-powered sample size is required to substantiate the statistical significance of this effect.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2026-09-03T20:14:45Z</dcterms:created>
  <dcterms:modified xsi:type="dcterms:W3CDTF">2026-09-03T20:14:45Z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