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80"/>
        <w:gridCol w:w="2380"/>
        <w:gridCol w:w="2380"/>
        <w:gridCol w:w="2380"/>
        <w:gridCol w:w="2380"/>
        <w:gridCol w:w="2380"/>
        <w:tblGridChange w:id="0">
          <w:tblGrid>
            <w:gridCol w:w="2380"/>
            <w:gridCol w:w="2380"/>
            <w:gridCol w:w="2380"/>
            <w:gridCol w:w="2380"/>
            <w:gridCol w:w="2380"/>
            <w:gridCol w:w="238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OBRAS PRINCIPAIS / FONTES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INFLUÊNCIA PITAGÓRICA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INFLUÊNCIA ESTÓICA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INFLUÊNCIA ARISTOTÉLICA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ORIENTAÇÃO GERAL E COMENTÁRIOS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4.252929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Antíoco de Ascalon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(c. 125–68 a.C.)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Fragmentos preservados em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Cícero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Acad. Priora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Finibus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Pouca presença explícita; admite uma harmonia entre doutrinas antigas, mas sem ênfase numérica.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Adota noções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conhecimento kataleptikón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(representação compreensiva), defendendo a possibilidade da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cognição certa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contra o ceticismo. Ética próxima da estóica, embora com nuances.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Recorre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categorias lógicas e éticas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aristotélicas (virtude média, noção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telos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para articular a síntese dogmática.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Fundador do platonismo eclético; buscou “restaurar” a doutrina antiga unindo Platão, Aristóteles e o Estoicismo sob um mesmo ideal racionalista.</w:t>
            </w:r>
          </w:p>
        </w:tc>
      </w:tr>
      <w:tr>
        <w:trPr>
          <w:cantSplit w:val="0"/>
          <w:trHeight w:val="2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Filão de Alexandria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(c. 20 a.C.–50 d.C.)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Opificio Mundi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Vita Mosis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Legum Allegoriae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Forte presença: cosmologia numérica, simbolismo das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decádas e tetrádas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 hierarquia da alma.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Vocabulário moral e físico: “logos seminal”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spermatikós logos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ideia de providência, e ética do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viver segundo a natureza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reinterpretada como “viver segundo Deus”.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categorias de ato e potência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distinguir Deus e criação; concepção de forma e matéria inspirada em Aristóteles.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 o platonismo à tradição bíblica, usando alegoria e exegese simbólica; 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Logos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é mediador entre Deus transcendente e o mundo sensível.</w:t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Plutarco de Queroneia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(c. 45–120 d.C.)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animae procreatione in Timaeo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Iside et Osiride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defectu oraculorum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Cosmologia harmônica e hierárquica; mitos lidos em chave pitagórica; crença na imortalidade e transmigração da alma.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Emprega conceitos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pneuma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logos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providência universal; ética da autarquia e domínio das paixões.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 categorias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causa formal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e o vocabulário da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phronesis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mesotes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explicar virtudes.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Propõe uma teologia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providencial e moral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combate o materialismo epicurista; destaca a purificação da alma e a piedade filosófica.</w:t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Alcino / Albino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(séc. II d.C.)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Didaskalikos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(Ἐπιτομὴ τῶν Πλάτωνος δογμάτων)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Adota o esquema tripartido da realidade (Uno, Intelecto, Alma) e harmonia numérica das esferas.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 a noção estóica de “logos” ao Intelecto divino; incorpora ideias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oikeiôsis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(apropriação natural) na ética.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Recorre amplamente 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categorias aristotélicas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(substância, acidente, ato/potência) para sistematizar Platão; lógica inspirada no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Organon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Produz um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manual didático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apresentando Platão como filósofo sistemático; busca compatibilizar ontologia platônica com terminologia aristotélica.</w:t>
            </w:r>
          </w:p>
        </w:tc>
      </w:tr>
      <w:tr>
        <w:trPr>
          <w:cantSplit w:val="0"/>
          <w:trHeight w:val="1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Numênio de Apameia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(séc. II d.C.)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Fragmentos (em Eusébio, Orígenes, Proclo)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Forte: lê Platão como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sucessor de Pitágoras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defende a origem pitagórica do platonismo; estrutura triádica (Deus Primeiro, Demiurgo, Alma).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Pouco uso direto, mas absorve da física estóica a ideia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providência cósmica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crítica ao materialismo estóico.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Inspira-se na distinção aristotélica entre ato e potência para explicar a processão dos níveis do ser.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Elo entre Médio e Neo-Platonismo; teólogo especulativo; vê a filosofia como via de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purificação e retorno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ao princípio divino.</w:t>
            </w:r>
          </w:p>
        </w:tc>
      </w:tr>
      <w:tr>
        <w:trPr>
          <w:cantSplit w:val="0"/>
          <w:trHeight w:val="30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Apuleio de Madaura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(c. 125–180 d.C.)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Platone et eius dogmate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Deo Socratis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Retoma noções pitagóricas de harmonia e simbolismo numérico; ênfase em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daimôns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mediações espirituais.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Ética inspirada na autarquia estóica e na razão como guia; concepção de destino providencial.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 lógica e categorias aristotélicas no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 Platone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estruturar doutrina; dialoga com a metafísica de ato/potência.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Divulgador do platonismo latino; destaca a mediação espiritual entre deuses e homens e a moral racionalista.</w:t>
            </w:r>
          </w:p>
        </w:tc>
      </w:tr>
    </w:tbl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quadro mostra que o </w:t>
      </w:r>
      <w:r w:rsidDel="00000000" w:rsidR="00000000" w:rsidRPr="00000000">
        <w:rPr>
          <w:b w:val="1"/>
          <w:bCs w:val="1"/>
          <w:rtl w:val="0"/>
        </w:rPr>
        <w:t xml:space="preserve">Médio-Platonismo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Assume Platão como teólogo e metafísico</w:t>
      </w:r>
      <w:r w:rsidDel="00000000" w:rsidR="00000000" w:rsidRPr="00000000">
        <w:rPr>
          <w:rtl w:val="0"/>
        </w:rPr>
        <w:t xml:space="preserve">, enfatizando o transcendente (influência pitagórica).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Adota o Estoicismo como ferramenta ética e cosmológica</w:t>
      </w:r>
      <w:r w:rsidDel="00000000" w:rsidR="00000000" w:rsidRPr="00000000">
        <w:rPr>
          <w:rtl w:val="0"/>
        </w:rPr>
        <w:t xml:space="preserve">, sem o materialismo, mas com a ideia de um cosmos providente.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 o vocabulário e método aristotélico</w:t>
      </w:r>
      <w:r w:rsidDel="00000000" w:rsidR="00000000" w:rsidRPr="00000000">
        <w:rPr>
          <w:rtl w:val="0"/>
        </w:rPr>
        <w:t xml:space="preserve"> (sobretudo categorias e lógica), visando </w:t>
      </w:r>
      <w:r w:rsidDel="00000000" w:rsidR="00000000" w:rsidRPr="00000000">
        <w:rPr>
          <w:b w:val="1"/>
          <w:bCs w:val="1"/>
          <w:rtl w:val="0"/>
        </w:rPr>
        <w:t xml:space="preserve">sistematizar</w:t>
      </w:r>
      <w:r w:rsidDel="00000000" w:rsidR="00000000" w:rsidRPr="00000000">
        <w:rPr>
          <w:rtl w:val="0"/>
        </w:rPr>
        <w:t xml:space="preserve"> o platonismo num corpo doutrinário claro.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a tríplice influência atua em </w:t>
      </w:r>
      <w:r w:rsidDel="00000000" w:rsidR="00000000" w:rsidRPr="00000000">
        <w:rPr>
          <w:b w:val="1"/>
          <w:bCs w:val="1"/>
          <w:rtl w:val="0"/>
        </w:rPr>
        <w:t xml:space="preserve">níveis distintos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Pitagorismo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visão hierárquica e simbólica do real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Estoicismo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ética racional e cosmologia providencial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Aristotelismo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linguagem técnica e estrutura sistemática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fusão prepara o caminho para o </w:t>
      </w:r>
      <w:r w:rsidDel="00000000" w:rsidR="00000000" w:rsidRPr="00000000">
        <w:rPr>
          <w:b w:val="1"/>
          <w:bCs w:val="1"/>
          <w:rtl w:val="0"/>
        </w:rPr>
        <w:t xml:space="preserve">Neoplatonismo</w:t>
      </w:r>
      <w:r w:rsidDel="00000000" w:rsidR="00000000" w:rsidRPr="00000000">
        <w:rPr>
          <w:rtl w:val="0"/>
        </w:rPr>
        <w:t xml:space="preserve">, especialmente em Plotino, que herdará: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pitagorismo, a estrutura triádica;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estoicismo, a noção de racionalidade cósmica;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aristotelismo, a concepção de ato/potência e de substância.</w:t>
        <w:br w:type="textWrapping"/>
      </w:r>
    </w:p>
    <w:p w:rsidR="00000000" w:rsidDel="00000000" w:rsidP="00000000" w:rsidRDefault="00000000" w:rsidRPr="00000000" w14:paraId="0000003A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John Dillon.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Middle Platonists: 80 B.C. to A.D. 220</w:t>
      </w:r>
      <w:r w:rsidDel="00000000" w:rsidR="00000000" w:rsidRPr="00000000">
        <w:rPr>
          <w:rtl w:val="0"/>
        </w:rPr>
        <w:t xml:space="preserve">. Cornell University Press, 1996.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Pierre Hadot.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Plotino ou a Simplicidade do Olhar</w:t>
      </w:r>
      <w:r w:rsidDel="00000000" w:rsidR="00000000" w:rsidRPr="00000000">
        <w:rPr>
          <w:rtl w:val="0"/>
        </w:rPr>
        <w:t xml:space="preserve">. Loyola, 1999.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Stanford Encyclopedia of Philosophy</w:t>
      </w:r>
      <w:r w:rsidDel="00000000" w:rsidR="00000000" w:rsidRPr="00000000">
        <w:rPr>
          <w:rtl w:val="0"/>
        </w:rPr>
        <w:t xml:space="preserve">: verbetes </w:t>
      </w:r>
      <w:r w:rsidDel="00000000" w:rsidR="00000000" w:rsidRPr="00000000">
        <w:rPr>
          <w:i w:val="1"/>
          <w:iCs w:val="1"/>
          <w:rtl w:val="0"/>
        </w:rPr>
        <w:t xml:space="preserve">Plutarch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Philo of Alexandria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Middle Platonism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Numenius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Apuleius.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De Platone et eius dogmate</w:t>
      </w:r>
      <w:r w:rsidDel="00000000" w:rsidR="00000000" w:rsidRPr="00000000">
        <w:rPr>
          <w:rtl w:val="0"/>
        </w:rPr>
        <w:t xml:space="preserve">, ed. e trad. John J. O’Meara.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Alcinous.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Handbook of Platonism</w:t>
      </w:r>
      <w:r w:rsidDel="00000000" w:rsidR="00000000" w:rsidRPr="00000000">
        <w:rPr>
          <w:rtl w:val="0"/>
        </w:rPr>
        <w:t xml:space="preserve">, ed. John Dillon.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426.61417322834666" w:top="566.9291338582677" w:left="1440" w:right="1440" w:header="566.929133858267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