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144F4" w14:textId="24BAFABC" w:rsidR="00CA1255" w:rsidRDefault="00CA1255">
      <w:pPr>
        <w:rPr>
          <w:b/>
          <w:bCs/>
        </w:rPr>
      </w:pPr>
      <w:r w:rsidRPr="00CA1255">
        <w:rPr>
          <w:b/>
          <w:bCs/>
        </w:rPr>
        <w:t xml:space="preserve">ESERCIZIO </w:t>
      </w:r>
      <w:r w:rsidR="00437407">
        <w:rPr>
          <w:b/>
          <w:bCs/>
        </w:rPr>
        <w:t>1</w:t>
      </w:r>
    </w:p>
    <w:p w14:paraId="799E7466" w14:textId="1D8A7795" w:rsidR="00CA1255" w:rsidRDefault="00CA1255">
      <w:r>
        <w:t xml:space="preserve">Presenta </w:t>
      </w:r>
      <w:r w:rsidR="00530BEA">
        <w:t>gli SP riclassificati secondo i criteri finanziari</w:t>
      </w:r>
      <w:r>
        <w:t xml:space="preserve"> tenendo conto dei seguenti dati: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98"/>
        <w:gridCol w:w="1843"/>
      </w:tblGrid>
      <w:tr w:rsidR="00AF6CDE" w14:paraId="1E4C866E" w14:textId="77777777" w:rsidTr="0092289D">
        <w:tc>
          <w:tcPr>
            <w:tcW w:w="5098" w:type="dxa"/>
          </w:tcPr>
          <w:p w14:paraId="05E160D7" w14:textId="2CAAE42C" w:rsidR="00AF6CDE" w:rsidRPr="00C12DB4" w:rsidRDefault="00AF6CDE">
            <w:pPr>
              <w:rPr>
                <w:b/>
                <w:bCs/>
              </w:rPr>
            </w:pPr>
            <w:r w:rsidRPr="00C12DB4">
              <w:rPr>
                <w:b/>
                <w:bCs/>
              </w:rPr>
              <w:t>Dati</w:t>
            </w:r>
          </w:p>
        </w:tc>
        <w:tc>
          <w:tcPr>
            <w:tcW w:w="1843" w:type="dxa"/>
          </w:tcPr>
          <w:p w14:paraId="47EE5C02" w14:textId="1A6844B1" w:rsidR="00AF6CDE" w:rsidRPr="00C12DB4" w:rsidRDefault="00AF6CDE">
            <w:pPr>
              <w:rPr>
                <w:b/>
                <w:bCs/>
              </w:rPr>
            </w:pPr>
            <w:r w:rsidRPr="00C12DB4">
              <w:rPr>
                <w:b/>
                <w:bCs/>
              </w:rPr>
              <w:t>Anno N-1</w:t>
            </w:r>
          </w:p>
        </w:tc>
      </w:tr>
      <w:tr w:rsidR="00AF6CDE" w14:paraId="31765C64" w14:textId="77777777" w:rsidTr="0092289D">
        <w:tc>
          <w:tcPr>
            <w:tcW w:w="5098" w:type="dxa"/>
          </w:tcPr>
          <w:p w14:paraId="1DF201DF" w14:textId="2DA85326" w:rsidR="00AF6CDE" w:rsidRDefault="00437407">
            <w:r>
              <w:t>ROE</w:t>
            </w:r>
          </w:p>
        </w:tc>
        <w:tc>
          <w:tcPr>
            <w:tcW w:w="1843" w:type="dxa"/>
          </w:tcPr>
          <w:p w14:paraId="43D730C2" w14:textId="3939E08D" w:rsidR="00AF6CDE" w:rsidRDefault="00437407">
            <w:r>
              <w:t>5%</w:t>
            </w:r>
          </w:p>
        </w:tc>
      </w:tr>
      <w:tr w:rsidR="00AF6CDE" w14:paraId="7183D6E2" w14:textId="77777777" w:rsidTr="0092289D">
        <w:tc>
          <w:tcPr>
            <w:tcW w:w="5098" w:type="dxa"/>
          </w:tcPr>
          <w:p w14:paraId="45AE9E04" w14:textId="43E85EF0" w:rsidR="00AF6CDE" w:rsidRDefault="00437407">
            <w:r>
              <w:t>Immobilizzazioni nette</w:t>
            </w:r>
          </w:p>
        </w:tc>
        <w:tc>
          <w:tcPr>
            <w:tcW w:w="1843" w:type="dxa"/>
          </w:tcPr>
          <w:p w14:paraId="70E3E2E1" w14:textId="41B6D5A2" w:rsidR="00AF6CDE" w:rsidRDefault="00437407">
            <w:r>
              <w:t>6.200.000</w:t>
            </w:r>
          </w:p>
        </w:tc>
      </w:tr>
      <w:tr w:rsidR="00C74133" w14:paraId="1AEB4AA9" w14:textId="77777777" w:rsidTr="0092289D">
        <w:tc>
          <w:tcPr>
            <w:tcW w:w="5098" w:type="dxa"/>
          </w:tcPr>
          <w:p w14:paraId="282DFC4F" w14:textId="71879CDA" w:rsidR="00C74133" w:rsidRDefault="00437407">
            <w:r>
              <w:t>Indice di autocopertura immobilizzazioni</w:t>
            </w:r>
          </w:p>
        </w:tc>
        <w:tc>
          <w:tcPr>
            <w:tcW w:w="1843" w:type="dxa"/>
          </w:tcPr>
          <w:p w14:paraId="07351820" w14:textId="7E66D3D5" w:rsidR="00C74133" w:rsidRDefault="00437407">
            <w:r>
              <w:t>0,80</w:t>
            </w:r>
          </w:p>
        </w:tc>
      </w:tr>
      <w:tr w:rsidR="00AF6CDE" w14:paraId="5AF174F0" w14:textId="77777777" w:rsidTr="0092289D">
        <w:tc>
          <w:tcPr>
            <w:tcW w:w="5098" w:type="dxa"/>
          </w:tcPr>
          <w:p w14:paraId="5EE7580C" w14:textId="11429B17" w:rsidR="00AF6CDE" w:rsidRDefault="00437407">
            <w:r>
              <w:t>Indice di copertura globale delle immobilizzazioni</w:t>
            </w:r>
          </w:p>
        </w:tc>
        <w:tc>
          <w:tcPr>
            <w:tcW w:w="1843" w:type="dxa"/>
          </w:tcPr>
          <w:p w14:paraId="184CF220" w14:textId="16008C19" w:rsidR="00AF6CDE" w:rsidRDefault="00437407">
            <w:r>
              <w:t>1,20</w:t>
            </w:r>
          </w:p>
        </w:tc>
      </w:tr>
      <w:tr w:rsidR="00AF6CDE" w14:paraId="392F9B39" w14:textId="77777777" w:rsidTr="0092289D">
        <w:tc>
          <w:tcPr>
            <w:tcW w:w="5098" w:type="dxa"/>
          </w:tcPr>
          <w:p w14:paraId="062360AA" w14:textId="26A8C50B" w:rsidR="00AF6CDE" w:rsidRDefault="00437407">
            <w:r>
              <w:t>Indice di liquidità secondaria</w:t>
            </w:r>
          </w:p>
        </w:tc>
        <w:tc>
          <w:tcPr>
            <w:tcW w:w="1843" w:type="dxa"/>
          </w:tcPr>
          <w:p w14:paraId="33149F4A" w14:textId="78FDBC88" w:rsidR="00AF6CDE" w:rsidRDefault="00437407">
            <w:r>
              <w:t>0,90</w:t>
            </w:r>
          </w:p>
        </w:tc>
      </w:tr>
      <w:tr w:rsidR="00926795" w14:paraId="354597E6" w14:textId="77777777" w:rsidTr="0092289D">
        <w:tc>
          <w:tcPr>
            <w:tcW w:w="5098" w:type="dxa"/>
          </w:tcPr>
          <w:p w14:paraId="3441B618" w14:textId="79AA159E" w:rsidR="00926795" w:rsidRDefault="0092289D">
            <w:r>
              <w:t>Indice di elasticità</w:t>
            </w:r>
          </w:p>
        </w:tc>
        <w:tc>
          <w:tcPr>
            <w:tcW w:w="1843" w:type="dxa"/>
          </w:tcPr>
          <w:p w14:paraId="57F38BC3" w14:textId="7DDAF9D2" w:rsidR="00926795" w:rsidRDefault="0092289D">
            <w:r>
              <w:t>0.80</w:t>
            </w:r>
          </w:p>
        </w:tc>
      </w:tr>
      <w:tr w:rsidR="0092289D" w14:paraId="4BE9D8AE" w14:textId="77777777" w:rsidTr="0092289D">
        <w:tc>
          <w:tcPr>
            <w:tcW w:w="5098" w:type="dxa"/>
          </w:tcPr>
          <w:p w14:paraId="3C2B7BAB" w14:textId="768596BD" w:rsidR="0092289D" w:rsidRDefault="0092289D" w:rsidP="0092289D">
            <w:r>
              <w:t>Immobil. Imm, mat, fin.</w:t>
            </w:r>
          </w:p>
        </w:tc>
        <w:tc>
          <w:tcPr>
            <w:tcW w:w="1843" w:type="dxa"/>
          </w:tcPr>
          <w:p w14:paraId="4B02F7D1" w14:textId="74887D42" w:rsidR="0092289D" w:rsidRDefault="0092289D" w:rsidP="0092289D">
            <w:r>
              <w:t>30%, 50%, 20%</w:t>
            </w:r>
          </w:p>
        </w:tc>
      </w:tr>
      <w:tr w:rsidR="0092289D" w14:paraId="0D710D92" w14:textId="77777777" w:rsidTr="0092289D">
        <w:tc>
          <w:tcPr>
            <w:tcW w:w="5098" w:type="dxa"/>
          </w:tcPr>
          <w:p w14:paraId="1A73AF99" w14:textId="385FD7E6" w:rsidR="0092289D" w:rsidRDefault="0092289D" w:rsidP="0092289D">
            <w:r>
              <w:t>Dividendo</w:t>
            </w:r>
          </w:p>
        </w:tc>
        <w:tc>
          <w:tcPr>
            <w:tcW w:w="1843" w:type="dxa"/>
          </w:tcPr>
          <w:p w14:paraId="01329B00" w14:textId="60EC8EEB" w:rsidR="0092289D" w:rsidRDefault="0092289D" w:rsidP="0092289D">
            <w:r>
              <w:t>120.000</w:t>
            </w:r>
          </w:p>
        </w:tc>
      </w:tr>
      <w:tr w:rsidR="0092289D" w14:paraId="57FC37B3" w14:textId="77777777" w:rsidTr="0092289D">
        <w:tc>
          <w:tcPr>
            <w:tcW w:w="5098" w:type="dxa"/>
          </w:tcPr>
          <w:p w14:paraId="2D334A44" w14:textId="6D1F7719" w:rsidR="0092289D" w:rsidRDefault="001E0A83" w:rsidP="0092289D">
            <w:r>
              <w:t>Disponibilità liquide</w:t>
            </w:r>
          </w:p>
        </w:tc>
        <w:tc>
          <w:tcPr>
            <w:tcW w:w="1843" w:type="dxa"/>
          </w:tcPr>
          <w:p w14:paraId="6B87E8D6" w14:textId="0F6C4A8A" w:rsidR="0092289D" w:rsidRDefault="001E0A83" w:rsidP="0092289D">
            <w:r>
              <w:t>348.000</w:t>
            </w:r>
          </w:p>
        </w:tc>
      </w:tr>
    </w:tbl>
    <w:p w14:paraId="1F37EB48" w14:textId="10B55AE8" w:rsidR="00CA1255" w:rsidRDefault="00CA1255"/>
    <w:p w14:paraId="0BA96E89" w14:textId="06B3F603" w:rsidR="00AF6CDE" w:rsidRDefault="00AF6CDE" w:rsidP="00AF6CDE">
      <w:pPr>
        <w:rPr>
          <w:b/>
          <w:bCs/>
        </w:rPr>
      </w:pPr>
      <w:r w:rsidRPr="00CA1255">
        <w:rPr>
          <w:b/>
          <w:bCs/>
        </w:rPr>
        <w:t xml:space="preserve">ESERCIZIO </w:t>
      </w:r>
      <w:r>
        <w:rPr>
          <w:b/>
          <w:bCs/>
        </w:rPr>
        <w:t>2</w:t>
      </w:r>
    </w:p>
    <w:p w14:paraId="787CE35C" w14:textId="77777777" w:rsidR="00530BEA" w:rsidRDefault="00530BEA" w:rsidP="00530BEA">
      <w:r>
        <w:t xml:space="preserve">Presenta gli SP riclassificati secondo i criteri finanziari tenendo conto dei seguenti dati: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2409"/>
      </w:tblGrid>
      <w:tr w:rsidR="00AF6CDE" w14:paraId="2CA8C78D" w14:textId="77777777" w:rsidTr="00800E4F">
        <w:tc>
          <w:tcPr>
            <w:tcW w:w="3256" w:type="dxa"/>
          </w:tcPr>
          <w:p w14:paraId="33480528" w14:textId="77777777" w:rsidR="00AF6CDE" w:rsidRPr="00C12DB4" w:rsidRDefault="00AF6CDE" w:rsidP="00963E7A">
            <w:pPr>
              <w:rPr>
                <w:b/>
                <w:bCs/>
              </w:rPr>
            </w:pPr>
            <w:r w:rsidRPr="00C12DB4">
              <w:rPr>
                <w:b/>
                <w:bCs/>
              </w:rPr>
              <w:t>Dati</w:t>
            </w:r>
          </w:p>
        </w:tc>
        <w:tc>
          <w:tcPr>
            <w:tcW w:w="2409" w:type="dxa"/>
          </w:tcPr>
          <w:p w14:paraId="6CFAA6AC" w14:textId="77777777" w:rsidR="00AF6CDE" w:rsidRPr="00C12DB4" w:rsidRDefault="00AF6CDE" w:rsidP="00963E7A">
            <w:pPr>
              <w:rPr>
                <w:b/>
                <w:bCs/>
              </w:rPr>
            </w:pPr>
            <w:r w:rsidRPr="00C12DB4">
              <w:rPr>
                <w:b/>
                <w:bCs/>
              </w:rPr>
              <w:t>Anno N</w:t>
            </w:r>
          </w:p>
        </w:tc>
      </w:tr>
      <w:tr w:rsidR="00AF6CDE" w14:paraId="6A9C6BB3" w14:textId="77777777" w:rsidTr="00800E4F">
        <w:tc>
          <w:tcPr>
            <w:tcW w:w="3256" w:type="dxa"/>
          </w:tcPr>
          <w:p w14:paraId="61FC3AE5" w14:textId="4E75594A" w:rsidR="00AF6CDE" w:rsidRDefault="00800E4F" w:rsidP="00963E7A">
            <w:r>
              <w:t>Immobilizzazioni nette</w:t>
            </w:r>
          </w:p>
        </w:tc>
        <w:tc>
          <w:tcPr>
            <w:tcW w:w="2409" w:type="dxa"/>
          </w:tcPr>
          <w:p w14:paraId="246C58C2" w14:textId="4A38C1B8" w:rsidR="00AF6CDE" w:rsidRDefault="00800E4F" w:rsidP="00963E7A">
            <w:r>
              <w:t>5.460.000</w:t>
            </w:r>
          </w:p>
        </w:tc>
      </w:tr>
      <w:tr w:rsidR="00AF6CDE" w14:paraId="286D8761" w14:textId="77777777" w:rsidTr="00800E4F">
        <w:tc>
          <w:tcPr>
            <w:tcW w:w="3256" w:type="dxa"/>
          </w:tcPr>
          <w:p w14:paraId="0DDC97DC" w14:textId="783D8420" w:rsidR="00AF6CDE" w:rsidRDefault="00800E4F" w:rsidP="00963E7A">
            <w:r>
              <w:t>Immobilizzazioni nette</w:t>
            </w:r>
          </w:p>
        </w:tc>
        <w:tc>
          <w:tcPr>
            <w:tcW w:w="2409" w:type="dxa"/>
          </w:tcPr>
          <w:p w14:paraId="62BA80A0" w14:textId="14D42E11" w:rsidR="00AF6CDE" w:rsidRDefault="00800E4F" w:rsidP="00963E7A">
            <w:r>
              <w:t>65% degli impieghi</w:t>
            </w:r>
          </w:p>
        </w:tc>
      </w:tr>
      <w:tr w:rsidR="00AF6CDE" w14:paraId="72FD3C4F" w14:textId="77777777" w:rsidTr="00800E4F">
        <w:tc>
          <w:tcPr>
            <w:tcW w:w="3256" w:type="dxa"/>
          </w:tcPr>
          <w:p w14:paraId="0CEF6BFC" w14:textId="29BA8FAE" w:rsidR="00AF6CDE" w:rsidRDefault="00800E4F" w:rsidP="00963E7A">
            <w:r>
              <w:t>ROE</w:t>
            </w:r>
          </w:p>
        </w:tc>
        <w:tc>
          <w:tcPr>
            <w:tcW w:w="2409" w:type="dxa"/>
          </w:tcPr>
          <w:p w14:paraId="580E4A8F" w14:textId="6D2C5E63" w:rsidR="00AF6CDE" w:rsidRDefault="00800E4F" w:rsidP="00963E7A">
            <w:r>
              <w:t>6%</w:t>
            </w:r>
          </w:p>
        </w:tc>
      </w:tr>
      <w:tr w:rsidR="00AF6CDE" w14:paraId="431EC0F6" w14:textId="77777777" w:rsidTr="00800E4F">
        <w:tc>
          <w:tcPr>
            <w:tcW w:w="3256" w:type="dxa"/>
          </w:tcPr>
          <w:p w14:paraId="77FFAAB1" w14:textId="7164AFCA" w:rsidR="00AF6CDE" w:rsidRDefault="00800E4F" w:rsidP="00963E7A">
            <w:r>
              <w:t>Margine di copertura globale</w:t>
            </w:r>
          </w:p>
        </w:tc>
        <w:tc>
          <w:tcPr>
            <w:tcW w:w="2409" w:type="dxa"/>
          </w:tcPr>
          <w:p w14:paraId="26443C37" w14:textId="71FC052E" w:rsidR="00AF6CDE" w:rsidRDefault="00800E4F" w:rsidP="00963E7A">
            <w:r>
              <w:t>Negativo</w:t>
            </w:r>
            <w:r w:rsidR="00AD3B57">
              <w:t xml:space="preserve"> (da ipotizzare)</w:t>
            </w:r>
          </w:p>
        </w:tc>
      </w:tr>
      <w:tr w:rsidR="00AF6CDE" w14:paraId="4987166B" w14:textId="77777777" w:rsidTr="00800E4F">
        <w:tc>
          <w:tcPr>
            <w:tcW w:w="3256" w:type="dxa"/>
          </w:tcPr>
          <w:p w14:paraId="0DDD76C3" w14:textId="73C24A2E" w:rsidR="00AF6CDE" w:rsidRDefault="004333B7" w:rsidP="00963E7A">
            <w:r>
              <w:t>Utile d’esercizio</w:t>
            </w:r>
          </w:p>
        </w:tc>
        <w:tc>
          <w:tcPr>
            <w:tcW w:w="2409" w:type="dxa"/>
          </w:tcPr>
          <w:p w14:paraId="0421BEB5" w14:textId="6D378C57" w:rsidR="00AF6CDE" w:rsidRDefault="004333B7" w:rsidP="00963E7A">
            <w:r>
              <w:t>120.000</w:t>
            </w:r>
          </w:p>
        </w:tc>
      </w:tr>
      <w:tr w:rsidR="00AF6CDE" w14:paraId="2A064237" w14:textId="77777777" w:rsidTr="00800E4F">
        <w:tc>
          <w:tcPr>
            <w:tcW w:w="3256" w:type="dxa"/>
          </w:tcPr>
          <w:p w14:paraId="5E73E7C0" w14:textId="4ABF58A1" w:rsidR="00AF6CDE" w:rsidRDefault="004333B7" w:rsidP="00963E7A">
            <w:r>
              <w:t xml:space="preserve">Indice di liquidità </w:t>
            </w:r>
            <w:r w:rsidR="00E06F2E">
              <w:t>primaria</w:t>
            </w:r>
          </w:p>
        </w:tc>
        <w:tc>
          <w:tcPr>
            <w:tcW w:w="2409" w:type="dxa"/>
          </w:tcPr>
          <w:p w14:paraId="1F8EABA2" w14:textId="0C794084" w:rsidR="00AF6CDE" w:rsidRDefault="004333B7" w:rsidP="00963E7A">
            <w:r>
              <w:t>0,05</w:t>
            </w:r>
          </w:p>
        </w:tc>
      </w:tr>
      <w:tr w:rsidR="00AF6CDE" w14:paraId="6C8B452E" w14:textId="77777777" w:rsidTr="00800E4F">
        <w:tc>
          <w:tcPr>
            <w:tcW w:w="3256" w:type="dxa"/>
          </w:tcPr>
          <w:p w14:paraId="4D2711F8" w14:textId="1C6FF85C" w:rsidR="00AF6CDE" w:rsidRDefault="004333B7" w:rsidP="00963E7A">
            <w:r>
              <w:t>Dividendo</w:t>
            </w:r>
          </w:p>
        </w:tc>
        <w:tc>
          <w:tcPr>
            <w:tcW w:w="2409" w:type="dxa"/>
          </w:tcPr>
          <w:p w14:paraId="6EE936B3" w14:textId="07123074" w:rsidR="00AF6CDE" w:rsidRDefault="004333B7" w:rsidP="00963E7A">
            <w:r>
              <w:t>50.000</w:t>
            </w:r>
          </w:p>
        </w:tc>
      </w:tr>
      <w:tr w:rsidR="004333B7" w14:paraId="6DC08806" w14:textId="77777777" w:rsidTr="00800E4F">
        <w:tc>
          <w:tcPr>
            <w:tcW w:w="3256" w:type="dxa"/>
          </w:tcPr>
          <w:p w14:paraId="494F987F" w14:textId="65970E87" w:rsidR="004333B7" w:rsidRDefault="004333B7" w:rsidP="00963E7A">
            <w:r>
              <w:t>Margine di tesoreria</w:t>
            </w:r>
          </w:p>
        </w:tc>
        <w:tc>
          <w:tcPr>
            <w:tcW w:w="2409" w:type="dxa"/>
          </w:tcPr>
          <w:p w14:paraId="0D9A266B" w14:textId="678215D7" w:rsidR="004333B7" w:rsidRDefault="004333B7" w:rsidP="00963E7A">
            <w:r>
              <w:t>Negativo</w:t>
            </w:r>
            <w:r w:rsidR="00AD3B57">
              <w:t xml:space="preserve"> (da ipotizzare)</w:t>
            </w:r>
          </w:p>
        </w:tc>
      </w:tr>
    </w:tbl>
    <w:p w14:paraId="35E9E7C1" w14:textId="77777777" w:rsidR="00AF6CDE" w:rsidRDefault="00AF6CDE" w:rsidP="00AF6CDE"/>
    <w:p w14:paraId="22995D62" w14:textId="77777777" w:rsidR="00437407" w:rsidRDefault="00437407" w:rsidP="00437407">
      <w:pPr>
        <w:rPr>
          <w:b/>
          <w:bCs/>
        </w:rPr>
      </w:pPr>
      <w:r w:rsidRPr="00CA1255">
        <w:rPr>
          <w:b/>
          <w:bCs/>
        </w:rPr>
        <w:t xml:space="preserve">ESERCIZIO </w:t>
      </w:r>
      <w:r>
        <w:rPr>
          <w:b/>
          <w:bCs/>
        </w:rPr>
        <w:t>3</w:t>
      </w:r>
    </w:p>
    <w:p w14:paraId="70A03404" w14:textId="77777777" w:rsidR="00437407" w:rsidRDefault="00437407" w:rsidP="00437407">
      <w:r>
        <w:t xml:space="preserve">Presenta gli SP riclassificati secondo i criteri finanziari tenendo conto dei seguenti dati: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1701"/>
      </w:tblGrid>
      <w:tr w:rsidR="00437407" w14:paraId="4DD2ED7C" w14:textId="77777777" w:rsidTr="00195DC7">
        <w:tc>
          <w:tcPr>
            <w:tcW w:w="3256" w:type="dxa"/>
          </w:tcPr>
          <w:p w14:paraId="4CF87F3A" w14:textId="77777777" w:rsidR="00437407" w:rsidRPr="00C12DB4" w:rsidRDefault="00437407" w:rsidP="00195DC7">
            <w:pPr>
              <w:rPr>
                <w:b/>
                <w:bCs/>
              </w:rPr>
            </w:pPr>
            <w:r w:rsidRPr="00C12DB4">
              <w:rPr>
                <w:b/>
                <w:bCs/>
              </w:rPr>
              <w:t>Dati</w:t>
            </w:r>
          </w:p>
        </w:tc>
        <w:tc>
          <w:tcPr>
            <w:tcW w:w="1701" w:type="dxa"/>
          </w:tcPr>
          <w:p w14:paraId="7435C4FC" w14:textId="77777777" w:rsidR="00437407" w:rsidRPr="00C12DB4" w:rsidRDefault="00437407" w:rsidP="00195DC7">
            <w:pPr>
              <w:rPr>
                <w:b/>
                <w:bCs/>
              </w:rPr>
            </w:pPr>
            <w:r w:rsidRPr="00C12DB4">
              <w:rPr>
                <w:b/>
                <w:bCs/>
              </w:rPr>
              <w:t>Anno N-1</w:t>
            </w:r>
          </w:p>
        </w:tc>
      </w:tr>
      <w:tr w:rsidR="00437407" w14:paraId="78CFFA59" w14:textId="77777777" w:rsidTr="00195DC7">
        <w:tc>
          <w:tcPr>
            <w:tcW w:w="3256" w:type="dxa"/>
          </w:tcPr>
          <w:p w14:paraId="2FED844A" w14:textId="77777777" w:rsidR="00437407" w:rsidRDefault="00437407" w:rsidP="00195DC7">
            <w:r>
              <w:t>Patrimonio netto</w:t>
            </w:r>
          </w:p>
        </w:tc>
        <w:tc>
          <w:tcPr>
            <w:tcW w:w="1701" w:type="dxa"/>
          </w:tcPr>
          <w:p w14:paraId="45F8E758" w14:textId="77777777" w:rsidR="00437407" w:rsidRDefault="00437407" w:rsidP="00195DC7">
            <w:r>
              <w:t>7.150.000</w:t>
            </w:r>
          </w:p>
        </w:tc>
      </w:tr>
      <w:tr w:rsidR="00437407" w14:paraId="182AEAA7" w14:textId="77777777" w:rsidTr="00195DC7">
        <w:tc>
          <w:tcPr>
            <w:tcW w:w="3256" w:type="dxa"/>
          </w:tcPr>
          <w:p w14:paraId="5DC4314D" w14:textId="77777777" w:rsidR="00437407" w:rsidRDefault="00437407" w:rsidP="00195DC7">
            <w:r>
              <w:t>Immobilizzazioni nette</w:t>
            </w:r>
          </w:p>
        </w:tc>
        <w:tc>
          <w:tcPr>
            <w:tcW w:w="1701" w:type="dxa"/>
          </w:tcPr>
          <w:p w14:paraId="4AA4324F" w14:textId="77777777" w:rsidR="00437407" w:rsidRDefault="00437407" w:rsidP="00195DC7">
            <w:r>
              <w:t>8.776.000</w:t>
            </w:r>
          </w:p>
        </w:tc>
      </w:tr>
      <w:tr w:rsidR="00437407" w14:paraId="2694ABE4" w14:textId="77777777" w:rsidTr="00195DC7">
        <w:tc>
          <w:tcPr>
            <w:tcW w:w="3256" w:type="dxa"/>
          </w:tcPr>
          <w:p w14:paraId="4178B600" w14:textId="77777777" w:rsidR="00437407" w:rsidRDefault="00437407" w:rsidP="00195DC7">
            <w:r>
              <w:t>Immobil. Imm, mat, fin</w:t>
            </w:r>
          </w:p>
        </w:tc>
        <w:tc>
          <w:tcPr>
            <w:tcW w:w="1701" w:type="dxa"/>
          </w:tcPr>
          <w:p w14:paraId="4EEAF3B8" w14:textId="77777777" w:rsidR="00437407" w:rsidRDefault="00437407" w:rsidP="00195DC7">
            <w:r>
              <w:t>30%, 50%, 20%</w:t>
            </w:r>
          </w:p>
        </w:tc>
      </w:tr>
      <w:tr w:rsidR="00437407" w14:paraId="39B1E0EE" w14:textId="77777777" w:rsidTr="00195DC7">
        <w:tc>
          <w:tcPr>
            <w:tcW w:w="3256" w:type="dxa"/>
          </w:tcPr>
          <w:p w14:paraId="30931FB2" w14:textId="77777777" w:rsidR="00437407" w:rsidRDefault="00437407" w:rsidP="00195DC7">
            <w:r>
              <w:t>Patrimonio circolante netto</w:t>
            </w:r>
          </w:p>
        </w:tc>
        <w:tc>
          <w:tcPr>
            <w:tcW w:w="1701" w:type="dxa"/>
          </w:tcPr>
          <w:p w14:paraId="1733CFA6" w14:textId="77777777" w:rsidR="00437407" w:rsidRDefault="00437407" w:rsidP="00195DC7">
            <w:r>
              <w:t>350.000</w:t>
            </w:r>
          </w:p>
        </w:tc>
      </w:tr>
      <w:tr w:rsidR="00437407" w14:paraId="0FD3B46D" w14:textId="77777777" w:rsidTr="00195DC7">
        <w:tc>
          <w:tcPr>
            <w:tcW w:w="3256" w:type="dxa"/>
          </w:tcPr>
          <w:p w14:paraId="780EEB31" w14:textId="77777777" w:rsidR="00437407" w:rsidRDefault="00437407" w:rsidP="00195DC7">
            <w:r>
              <w:t>Margine di tesoreria</w:t>
            </w:r>
          </w:p>
        </w:tc>
        <w:tc>
          <w:tcPr>
            <w:tcW w:w="1701" w:type="dxa"/>
          </w:tcPr>
          <w:p w14:paraId="6F61A3BE" w14:textId="77777777" w:rsidR="00437407" w:rsidRDefault="00437407" w:rsidP="00195DC7">
            <w:r>
              <w:t>- 150.000</w:t>
            </w:r>
          </w:p>
        </w:tc>
      </w:tr>
      <w:tr w:rsidR="00437407" w14:paraId="25C2F1FB" w14:textId="77777777" w:rsidTr="00195DC7">
        <w:tc>
          <w:tcPr>
            <w:tcW w:w="3256" w:type="dxa"/>
          </w:tcPr>
          <w:p w14:paraId="47BD6B93" w14:textId="77777777" w:rsidR="00437407" w:rsidRDefault="00437407" w:rsidP="00195DC7">
            <w:r>
              <w:t>Disponibilità liquide</w:t>
            </w:r>
          </w:p>
        </w:tc>
        <w:tc>
          <w:tcPr>
            <w:tcW w:w="1701" w:type="dxa"/>
          </w:tcPr>
          <w:p w14:paraId="48D4C629" w14:textId="77777777" w:rsidR="00437407" w:rsidRDefault="00437407" w:rsidP="00195DC7">
            <w:r>
              <w:t>524.000</w:t>
            </w:r>
          </w:p>
        </w:tc>
      </w:tr>
      <w:tr w:rsidR="00437407" w14:paraId="31C0A978" w14:textId="77777777" w:rsidTr="00195DC7">
        <w:tc>
          <w:tcPr>
            <w:tcW w:w="3256" w:type="dxa"/>
          </w:tcPr>
          <w:p w14:paraId="42C9F0EB" w14:textId="77777777" w:rsidR="00437407" w:rsidRDefault="00437407" w:rsidP="00195DC7">
            <w:r>
              <w:t xml:space="preserve">Indice di indebitamento </w:t>
            </w:r>
          </w:p>
        </w:tc>
        <w:tc>
          <w:tcPr>
            <w:tcW w:w="1701" w:type="dxa"/>
          </w:tcPr>
          <w:p w14:paraId="582C2CD4" w14:textId="77777777" w:rsidR="00437407" w:rsidRDefault="00437407" w:rsidP="00195DC7">
            <w:r>
              <w:t>2,2</w:t>
            </w:r>
          </w:p>
        </w:tc>
      </w:tr>
      <w:tr w:rsidR="00437407" w14:paraId="318D716B" w14:textId="77777777" w:rsidTr="00195DC7">
        <w:tc>
          <w:tcPr>
            <w:tcW w:w="3256" w:type="dxa"/>
          </w:tcPr>
          <w:p w14:paraId="47321C03" w14:textId="77777777" w:rsidR="00437407" w:rsidRDefault="00437407" w:rsidP="00195DC7">
            <w:r>
              <w:t>ROE</w:t>
            </w:r>
          </w:p>
        </w:tc>
        <w:tc>
          <w:tcPr>
            <w:tcW w:w="1701" w:type="dxa"/>
          </w:tcPr>
          <w:p w14:paraId="68697A80" w14:textId="77777777" w:rsidR="00437407" w:rsidRDefault="00437407" w:rsidP="00195DC7">
            <w:r>
              <w:t>10%</w:t>
            </w:r>
          </w:p>
        </w:tc>
      </w:tr>
      <w:tr w:rsidR="00437407" w14:paraId="3E0975C0" w14:textId="77777777" w:rsidTr="00195DC7">
        <w:tc>
          <w:tcPr>
            <w:tcW w:w="3256" w:type="dxa"/>
          </w:tcPr>
          <w:p w14:paraId="1A44E573" w14:textId="77777777" w:rsidR="00437407" w:rsidRDefault="00437407" w:rsidP="00195DC7">
            <w:r>
              <w:t>Dividendo</w:t>
            </w:r>
          </w:p>
        </w:tc>
        <w:tc>
          <w:tcPr>
            <w:tcW w:w="1701" w:type="dxa"/>
          </w:tcPr>
          <w:p w14:paraId="60231C81" w14:textId="77777777" w:rsidR="00437407" w:rsidRDefault="00437407" w:rsidP="00195DC7">
            <w:r>
              <w:t>150.000</w:t>
            </w:r>
          </w:p>
        </w:tc>
      </w:tr>
    </w:tbl>
    <w:p w14:paraId="14C0760A" w14:textId="367D1BF9" w:rsidR="00E447F2" w:rsidRDefault="00E447F2"/>
    <w:sectPr w:rsidR="00E447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DE4F5" w14:textId="77777777" w:rsidR="00B557F8" w:rsidRDefault="00B557F8" w:rsidP="00CA1255">
      <w:pPr>
        <w:spacing w:after="0" w:line="240" w:lineRule="auto"/>
      </w:pPr>
      <w:r>
        <w:separator/>
      </w:r>
    </w:p>
  </w:endnote>
  <w:endnote w:type="continuationSeparator" w:id="0">
    <w:p w14:paraId="02CE376A" w14:textId="77777777" w:rsidR="00B557F8" w:rsidRDefault="00B557F8" w:rsidP="00CA1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8E058" w14:textId="77777777" w:rsidR="00B557F8" w:rsidRDefault="00B557F8" w:rsidP="00CA1255">
      <w:pPr>
        <w:spacing w:after="0" w:line="240" w:lineRule="auto"/>
      </w:pPr>
      <w:r>
        <w:separator/>
      </w:r>
    </w:p>
  </w:footnote>
  <w:footnote w:type="continuationSeparator" w:id="0">
    <w:p w14:paraId="7F754EB1" w14:textId="77777777" w:rsidR="00B557F8" w:rsidRDefault="00B557F8" w:rsidP="00CA12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0A2C"/>
    <w:multiLevelType w:val="hybridMultilevel"/>
    <w:tmpl w:val="C972D42A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3C3C7D5D"/>
    <w:multiLevelType w:val="hybridMultilevel"/>
    <w:tmpl w:val="69CC53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837956">
    <w:abstractNumId w:val="0"/>
  </w:num>
  <w:num w:numId="2" w16cid:durableId="809052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65"/>
    <w:rsid w:val="00070A65"/>
    <w:rsid w:val="00075859"/>
    <w:rsid w:val="001102FB"/>
    <w:rsid w:val="001663CA"/>
    <w:rsid w:val="001A2212"/>
    <w:rsid w:val="001E0A83"/>
    <w:rsid w:val="00220849"/>
    <w:rsid w:val="00320A95"/>
    <w:rsid w:val="00383EC9"/>
    <w:rsid w:val="00393A1E"/>
    <w:rsid w:val="003A0FAC"/>
    <w:rsid w:val="004333B7"/>
    <w:rsid w:val="00437407"/>
    <w:rsid w:val="00530BEA"/>
    <w:rsid w:val="00683EBB"/>
    <w:rsid w:val="00800E4F"/>
    <w:rsid w:val="008760A6"/>
    <w:rsid w:val="0092289D"/>
    <w:rsid w:val="00926795"/>
    <w:rsid w:val="00A10FE2"/>
    <w:rsid w:val="00A20B5D"/>
    <w:rsid w:val="00AA0837"/>
    <w:rsid w:val="00AD3B57"/>
    <w:rsid w:val="00AF6CDE"/>
    <w:rsid w:val="00B557F8"/>
    <w:rsid w:val="00B925EB"/>
    <w:rsid w:val="00B96597"/>
    <w:rsid w:val="00C12DB4"/>
    <w:rsid w:val="00C644F4"/>
    <w:rsid w:val="00C74133"/>
    <w:rsid w:val="00CA1255"/>
    <w:rsid w:val="00D76754"/>
    <w:rsid w:val="00E06F2E"/>
    <w:rsid w:val="00E22468"/>
    <w:rsid w:val="00E447F2"/>
    <w:rsid w:val="00E63B86"/>
    <w:rsid w:val="00F36731"/>
    <w:rsid w:val="00FC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1DC2B"/>
  <w15:chartTrackingRefBased/>
  <w15:docId w15:val="{AA4C574B-BA13-4E6F-A425-1CC9BA7D8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A12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A1255"/>
  </w:style>
  <w:style w:type="paragraph" w:styleId="Pidipagina">
    <w:name w:val="footer"/>
    <w:basedOn w:val="Normale"/>
    <w:link w:val="PidipaginaCarattere"/>
    <w:uiPriority w:val="99"/>
    <w:unhideWhenUsed/>
    <w:rsid w:val="00CA12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A1255"/>
  </w:style>
  <w:style w:type="table" w:styleId="Grigliatabella">
    <w:name w:val="Table Grid"/>
    <w:basedOn w:val="Tabellanormale"/>
    <w:uiPriority w:val="39"/>
    <w:rsid w:val="00CA1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C12DB4"/>
    <w:rPr>
      <w:color w:val="808080"/>
    </w:rPr>
  </w:style>
  <w:style w:type="paragraph" w:styleId="Paragrafoelenco">
    <w:name w:val="List Paragraph"/>
    <w:basedOn w:val="Normale"/>
    <w:uiPriority w:val="34"/>
    <w:qFormat/>
    <w:rsid w:val="00383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Caruso</dc:creator>
  <cp:keywords/>
  <dc:description/>
  <cp:lastModifiedBy>Luigi Caruso</cp:lastModifiedBy>
  <cp:revision>14</cp:revision>
  <dcterms:created xsi:type="dcterms:W3CDTF">2022-11-27T17:02:00Z</dcterms:created>
  <dcterms:modified xsi:type="dcterms:W3CDTF">2023-11-30T16:04:00Z</dcterms:modified>
</cp:coreProperties>
</file>