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ind w:firstLine="0"/>
        <w:jc w:val="center"/>
      </w:pPr>
      <w:r>
        <w:rPr>
          <w:b/>
          <w:sz w:val="24"/>
        </w:rPr>
        <w:t>[NOME DA ORGANIZAÇÃO OU EMPRESA]</w:t>
        <w:br/>
        <w:t>[UNIDADE DE TECNOLOGIA DA INFORMAÇÃO E COMUNICAÇÃO]</w:t>
      </w: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ind w:firstLine="0"/>
        <w:jc w:val="center"/>
      </w:pPr>
      <w:r>
        <w:rPr>
          <w:b/>
          <w:sz w:val="28"/>
        </w:rPr>
        <w:t>PLANO DIRETOR DE GOVERNANÇA DE TI – PDGTI</w:t>
      </w:r>
    </w:p>
    <w:p>
      <w:pPr>
        <w:spacing w:before="240"/>
        <w:ind w:firstLine="0"/>
        <w:jc w:val="center"/>
      </w:pPr>
      <w:r>
        <w:rPr>
          <w:b/>
          <w:sz w:val="24"/>
        </w:rPr>
        <w:t>PERÍODO DE VIGÊNCIA: [2026 – 2029]</w:t>
      </w: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after="0"/>
        <w:ind w:firstLine="0"/>
        <w:jc w:val="center"/>
      </w:pPr>
      <w:r>
        <w:rPr>
          <w:b/>
          <w:sz w:val="24"/>
        </w:rPr>
        <w:t>[CIDADE – UF]</w:t>
        <w:br/>
        <w:t>[ANO]</w:t>
      </w:r>
    </w:p>
    <w:p>
      <w:r>
        <w:br w:type="page"/>
      </w:r>
    </w:p>
    <w:p>
      <w:pPr>
        <w:spacing w:before="480"/>
        <w:ind w:firstLine="0"/>
        <w:jc w:val="center"/>
      </w:pPr>
      <w:r>
        <w:rPr>
          <w:b/>
          <w:sz w:val="24"/>
        </w:rPr>
        <w:t>[NOME DA ORGANIZAÇÃO OU EMPRESA]</w:t>
      </w:r>
    </w:p>
    <w:p/>
    <w:p/>
    <w:p/>
    <w:p/>
    <w:p>
      <w:pPr>
        <w:ind w:firstLine="0"/>
        <w:jc w:val="center"/>
      </w:pPr>
      <w:r>
        <w:rPr>
          <w:b/>
          <w:sz w:val="28"/>
        </w:rPr>
        <w:t>PLANO DIRETOR DE GOVERNANÇA DE TI – PDGTI</w:t>
      </w:r>
    </w:p>
    <w:p>
      <w:pPr>
        <w:spacing w:before="120"/>
        <w:ind w:firstLine="0"/>
        <w:jc w:val="center"/>
      </w:pPr>
      <w:r>
        <w:rPr>
          <w:b/>
          <w:sz w:val="24"/>
        </w:rPr>
        <w:t>PERÍODO DE VIGÊNCIA: [2026 – 2029]</w:t>
      </w:r>
    </w:p>
    <w:p/>
    <w:p/>
    <w:p/>
    <w:p>
      <w:pPr>
        <w:spacing w:line="240" w:lineRule="auto"/>
        <w:ind w:left="4535" w:firstLine="0"/>
        <w:jc w:val="both"/>
      </w:pPr>
      <w:r>
        <w:rPr>
          <w:sz w:val="20"/>
        </w:rPr>
        <w:t>Trabalho final / Documento institucional desenvolvido para a disciplina de Governança de TI. Apresenta o Plano Diretor de Governança de TI (PDGTI) estruturado em 9 capítulos, contendo a caracterização da organização, diagnóstico AS-IS, alinhamento estratégico via BSC, estrutura de governança com Matriz RACI, sistema de KPIs, gestão de riscos, justificativa de frameworks, melhoria de qualidade e o roadmap de implantação com CAPEX/OPEX.</w:t>
      </w:r>
    </w:p>
    <w:p/>
    <w:p/>
    <w:p/>
    <w:p/>
    <w:p/>
    <w:p>
      <w:pPr>
        <w:ind w:firstLine="0"/>
        <w:jc w:val="center"/>
      </w:pPr>
      <w:r>
        <w:rPr>
          <w:b/>
          <w:sz w:val="24"/>
        </w:rPr>
        <w:t>[CIDADE – UF]</w:t>
        <w:br/>
        <w:t>[ANO]</w:t>
      </w:r>
    </w:p>
    <w:p>
      <w:r>
        <w:br w:type="page"/>
      </w:r>
    </w:p>
    <w:p>
      <w:pPr>
        <w:pStyle w:val="TítuloNãoNumerado"/>
        <w:jc w:val="center"/>
      </w:pPr>
      <w:r>
        <w:t>[NOME DA ORGANIZAÇÃO OU EMPRESA]</w:t>
      </w:r>
    </w:p>
    <w:p>
      <w:pPr>
        <w:pStyle w:val="TítuloNãoNumerado"/>
        <w:jc w:val="center"/>
      </w:pPr>
      <w:r>
        <w:t>FOLHA DE APROVAÇÃO</w:t>
      </w:r>
    </w:p>
    <w:p>
      <w:r>
        <w:t>O PLANO DIRETOR DE GOVERNANÇA DE TI – PDGTI (2026–2029) foi apreciado e aprovado pelos membros do Comitê Estratégico de TI e pela Alta Administração na reunião realizada em [Data de Aprovação].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CCCCCC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EAEAE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Membro do Comitê</w:t>
            </w:r>
          </w:p>
        </w:tc>
        <w:tc>
          <w:tcPr>
            <w:tcW w:type="dxa" w:w="3024"/>
            <w:shd w:fill="EAEAE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Cargo / Função</w:t>
            </w:r>
          </w:p>
        </w:tc>
        <w:tc>
          <w:tcPr>
            <w:tcW w:type="dxa" w:w="3024"/>
            <w:shd w:fill="EAEAE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Assinatura / Data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[Nome do Dirigente Máximo / CEO]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Presidente do Comitê de Governança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[Nome do Gestor de TI / CIO]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Chief Information Officer (CIO)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[Nome do Gestor de Operações / COO]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Diretor de Operações e Negócios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[Nome do Encarregado LGPD / DPO]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_______________________</w:t>
            </w:r>
          </w:p>
        </w:tc>
      </w:tr>
    </w:tbl>
    <w:p>
      <w:r>
        <w:br w:type="page"/>
      </w:r>
    </w:p>
    <w:p>
      <w:pPr>
        <w:pStyle w:val="TítuloNãoNumerado"/>
      </w:pPr>
      <w:r>
        <w:t>LISTA DE SIGLAS E ABREVIATURAS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CCCCCC"/>
          <w:insideV w:val="none"/>
        </w:tblBorders>
      </w:tblPr>
      <w:tblGrid>
        <w:gridCol w:w="4535"/>
        <w:gridCol w:w="4535"/>
      </w:tblGrid>
      <w:tr>
        <w:tc>
          <w:tcPr>
            <w:tcW w:type="dxa" w:w="4535"/>
            <w:shd w:fill="EAEAEA"/>
          </w:tcPr>
          <w:p>
            <w:r>
              <w:rPr>
                <w:b/>
                <w:sz w:val="20"/>
              </w:rPr>
              <w:t>Sigla</w:t>
            </w:r>
          </w:p>
        </w:tc>
        <w:tc>
          <w:tcPr>
            <w:tcW w:type="dxa" w:w="4535"/>
            <w:shd w:fill="EAEAEA"/>
          </w:tcPr>
          <w:p>
            <w:r>
              <w:rPr>
                <w:b/>
                <w:sz w:val="20"/>
              </w:rPr>
              <w:t>Significado / Denominação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ABNT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Associação Brasileira de Normas Técnicas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BSC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Balanced Scorecard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CAPEX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Capital Expenditure (Investimentos em Ativos de Capital)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CISO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Chief Information Security Officer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CMMI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Capability Maturity Model Integration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COBIT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Control Objectives for Information and Related Technology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FCS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Fatores Críticos de Sucesso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ISO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International Organization for Standardization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ITIL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Information Technology Infrastructure Library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KPI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Key Performance Indicator (Indicador-Chave de Desempenho)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LGPD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Lei Geral de Proteção de Dados Pessoais (Lei nº 13.709/2018)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MPS-SW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Melhoria de Processos do Software Brasileiro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OPEX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Operational Expenditure (Despesas Operacionais)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PDGTI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Plano Diretor de Governança de TI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RACI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Responsible, Accountable, Consulted, Informed (Matriz de Responsabilidades)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SLA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Service Level Agreement (Acordo de Nível de Serviço)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SOX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Sarbanes-Oxley Act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SWOT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Strengths, Weaknesses, Opportunities, Threats (FOFA)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TIC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Tecnologia da Informação e Comunicação</w:t>
            </w:r>
          </w:p>
        </w:tc>
      </w:tr>
    </w:tbl>
    <w:p>
      <w:r>
        <w:br w:type="page"/>
      </w:r>
    </w:p>
    <w:p>
      <w:pPr>
        <w:pStyle w:val="TítuloNãoNumerado"/>
      </w:pPr>
      <w:r>
        <w:t>SUMÁRIO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40" w:type="dxa"/>
              <w:bottom w:w="140" w:type="dxa"/>
              <w:left w:w="200" w:type="dxa"/>
              <w:right w:w="200" w:type="dxa"/>
            </w:tcMar>
            <w:shd w:fill="F2F5F9"/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pStyle w:val="Instrução"/>
            </w:pPr>
            <w:r>
              <w:rPr>
                <w:b/>
                <w:sz w:val="21"/>
              </w:rPr>
              <w:t>💡 Instrução do Sumário Automático</w:t>
              <w:br/>
            </w:r>
            <w:r>
              <w:rPr>
                <w:sz w:val="19"/>
              </w:rPr>
              <w:t>Este sumário está vinculado aos Estilos 'Heading 1' a 'Heading 3' do Microsoft Word via campo XML dinâmico.</w:t>
              <w:br/>
              <w:t>Para atualizar a lista de capítulos e números de página:</w:t>
              <w:br/>
              <w:t>1. Clique com o botão direito no espaço abaixo e selecione 'Atualizar Campo' (ou pressione a tecla F9).</w:t>
              <w:br/>
              <w:t>2. Selecione a opção 'Atualizar o índice inteiro'.</w:t>
            </w:r>
          </w:p>
        </w:tc>
      </w:tr>
    </w:tbl>
    <w:p>
      <w:pPr>
        <w:spacing w:before="0" w:after="120"/>
      </w:pPr>
    </w:p>
    <w:p>
      <w:pPr>
        <w:ind w:firstLine="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1 CARACTERIZAÇÃO DA ORGANIZAÇÃO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40" w:type="dxa"/>
              <w:bottom w:w="140" w:type="dxa"/>
              <w:left w:w="200" w:type="dxa"/>
              <w:right w:w="200" w:type="dxa"/>
            </w:tcMar>
            <w:shd w:fill="F2F5F9"/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pStyle w:val="Instrução"/>
            </w:pPr>
            <w:r>
              <w:rPr>
                <w:b/>
                <w:sz w:val="21"/>
              </w:rPr>
              <w:t>💡 Orientação de Preenchimento - Capítulo 1</w:t>
              <w:br/>
            </w:r>
            <w:r>
              <w:rPr>
                <w:sz w:val="19"/>
              </w:rPr>
              <w:t>Descreva detalhadamente a empresa (real ou fictícia): porte, setor de atuação, missão, visão, valores, estrutura organizacional e o estado atual da área de TI (organograma, equipe e infraestrutura).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1.1 Visão Geral e Perfil Institucional</w:t>
      </w:r>
    </w:p>
    <w:p>
      <w:r>
        <w:t>A [Nome da Empresa/Organização] é uma instituição atenta ao setor de [Ex: Serviços Financeiros / Varejo / Saúde / Setor Público], classificada como empresa de [Porte: Médio/Grande Porte], com cerca de [X] colaboradores diretos e presença em [Abrangência Geográfica].</w:t>
      </w:r>
    </w:p>
    <w:p>
      <w:r>
        <w:t>A organização fundamenta-se nos seguintes direcionadores estratégicos corporativos:</w:t>
      </w:r>
    </w:p>
    <w:p>
      <w:r>
        <w:rPr>
          <w:b/>
        </w:rPr>
        <w:t xml:space="preserve">Missão Organizacional: </w:t>
      </w:r>
      <w:r>
        <w:t>Oferecer soluções de excelência com inovação, agilidade e sustentabilidade, promovendo valor contínuo para clientes e acionistas.</w:t>
      </w:r>
    </w:p>
    <w:p>
      <w:r>
        <w:rPr>
          <w:b/>
        </w:rPr>
        <w:t xml:space="preserve">Visão Estratégica: </w:t>
      </w:r>
      <w:r>
        <w:t>Consolidar-se como referência nacional no setor até 2029, destacando-se pela transformação digital e eficiência operacional.</w:t>
      </w:r>
    </w:p>
    <w:p>
      <w:pPr>
        <w:pStyle w:val="Heading2"/>
      </w:pPr>
      <w:r>
        <w:t>1.2 Estrutura Organizacional e Organograma de TI</w:t>
      </w:r>
    </w:p>
    <w:p>
      <w:r>
        <w:t>A estrutura organizacional da TI é chefiada pela Diretoria de Tecnologia da Informação (CIO), reportando-se à Presidência. A divisão interna compreende três gerências principais: Governança &amp; Segurança, Infraestrutura &amp; Redes e Desenvolvimento de Sistemas.</w:t>
      </w:r>
    </w:p>
    <w:p>
      <w:pPr>
        <w:pStyle w:val="Heading2"/>
      </w:pPr>
      <w:r>
        <w:t>1.3 Infraestrutura Tecnológica e Quadro de Pessoal</w:t>
      </w:r>
    </w:p>
    <w:p>
      <w:r>
        <w:t>A Tabela 1 sintetiza a infraestrutura de TI atual e o perfil da equipe técnica.</w:t>
      </w:r>
    </w:p>
    <w:p>
      <w:pPr>
        <w:spacing w:before="120" w:after="40"/>
        <w:ind w:firstLine="0"/>
      </w:pPr>
      <w:r>
        <w:rPr>
          <w:b/>
          <w:sz w:val="20"/>
        </w:rPr>
        <w:t>Tabela 1 – Resumo do Parque Tecnológico e Equipe de TI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CCCCCC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Componente / Eixo</w:t>
            </w:r>
          </w:p>
        </w:tc>
        <w:tc>
          <w:tcPr>
            <w:tcW w:type="dxa" w:w="30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Descrição Atual</w:t>
            </w:r>
          </w:p>
        </w:tc>
        <w:tc>
          <w:tcPr>
            <w:tcW w:type="dxa" w:w="30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Quantidade / Capacidade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Servidores &amp; Virtualização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Datacenter On-Premise (Dell PowerEdge) + Nuvem Híbrida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12 Servidores Físicos / 80 VMs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Redes &amp; Conectividade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Switches Gerenciáveis + Link de Internet Redundante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1 Gbps Principal / 500 Mbps Backup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Sistemas Corporativos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ERP Integrado + CRM + Sistema de Cobrança Interno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15 Aplicações Críticas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Equipe Técnica de TI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Analistas de Suporte, Desenvolvedores, DBA e CISO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28 Colaboradores (20 Efetivos / 8 Terceirizados)</w:t>
            </w:r>
          </w:p>
        </w:tc>
      </w:tr>
    </w:tbl>
    <w:p>
      <w:pPr>
        <w:spacing w:before="40" w:after="240"/>
        <w:ind w:firstLine="0"/>
      </w:pPr>
      <w:r>
        <w:rPr>
          <w:sz w:val="19"/>
        </w:rPr>
        <w:t>Fonte: Dados internos da organização (2026).</w:t>
      </w:r>
    </w:p>
    <w:p>
      <w:pPr>
        <w:pStyle w:val="Heading1"/>
      </w:pPr>
      <w:r>
        <w:t>2 DIAGNÓSTICO DA SITUAÇÃO ATUAL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40" w:type="dxa"/>
              <w:bottom w:w="140" w:type="dxa"/>
              <w:left w:w="200" w:type="dxa"/>
              <w:right w:w="200" w:type="dxa"/>
            </w:tcMar>
            <w:shd w:fill="F2F5F9"/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pStyle w:val="Instrução"/>
            </w:pPr>
            <w:r>
              <w:rPr>
                <w:b/>
                <w:sz w:val="21"/>
              </w:rPr>
              <w:t>💡 Orientação de Preenchimento - Capítulo 2</w:t>
              <w:br/>
            </w:r>
            <w:r>
              <w:rPr>
                <w:sz w:val="19"/>
              </w:rPr>
              <w:t>Apresente a avaliação AS-IS da TI: Matriz SWOT, principais dores e gargalos, histórico de indisponibilidades e a avaliação preliminar do nível de maturidade dos processos.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2.1 Análise SWOT / FOFA da Tecnologia da Informação</w:t>
      </w:r>
    </w:p>
    <w:p>
      <w:r>
        <w:t>O diagnóstico ambiental da TI identificou os fatores internos (Forças e Fraquezas) e externos (Oportunidades e Ameaças), conforme apresentado na Tabela 2.</w:t>
      </w:r>
    </w:p>
    <w:p>
      <w:pPr>
        <w:spacing w:before="120" w:after="40"/>
        <w:ind w:firstLine="0"/>
      </w:pPr>
      <w:r>
        <w:rPr>
          <w:b/>
          <w:sz w:val="20"/>
        </w:rPr>
        <w:t>Tabela 2 – Matriz SWOT da Unidade de TI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CCCCCC"/>
          <w:insideV w:val="none"/>
        </w:tblBorders>
      </w:tblPr>
      <w:tblGrid>
        <w:gridCol w:w="4535"/>
        <w:gridCol w:w="4535"/>
      </w:tblGrid>
      <w:tr>
        <w:tc>
          <w:tcPr>
            <w:tcW w:type="dxa" w:w="4535"/>
            <w:shd w:fill="EAEAEA"/>
          </w:tcPr>
          <w:p>
            <w:pPr>
              <w:jc w:val="center"/>
            </w:pPr>
            <w:r>
              <w:rPr>
                <w:b/>
                <w:sz w:val="20"/>
              </w:rPr>
              <w:t>Fatores Internos</w:t>
            </w:r>
          </w:p>
        </w:tc>
        <w:tc>
          <w:tcPr>
            <w:tcW w:type="dxa" w:w="4535"/>
            <w:shd w:fill="EAEAEA"/>
          </w:tcPr>
          <w:p>
            <w:pPr>
              <w:jc w:val="center"/>
            </w:pPr>
            <w:r>
              <w:rPr>
                <w:b/>
                <w:sz w:val="20"/>
              </w:rPr>
              <w:t>Fatores Externos</w:t>
            </w:r>
          </w:p>
        </w:tc>
      </w:tr>
      <w:tr>
        <w:tc>
          <w:tcPr>
            <w:tcW w:type="dxa" w:w="4535"/>
          </w:tcPr>
          <w:p>
            <w:r>
              <w:rPr>
                <w:b/>
                <w:sz w:val="19"/>
              </w:rPr>
              <w:t>FORÇAS (STRENGTHS):</w:t>
              <w:br/>
            </w:r>
            <w:r>
              <w:rPr>
                <w:sz w:val="19"/>
              </w:rPr>
              <w:t>• Equipe técnica comprometida;</w:t>
              <w:br/>
              <w:t>• Datacenter moderno;</w:t>
              <w:br/>
              <w:t>• Apoio formal da diretoria.</w:t>
            </w:r>
          </w:p>
        </w:tc>
        <w:tc>
          <w:tcPr>
            <w:tcW w:type="dxa" w:w="4535"/>
          </w:tcPr>
          <w:p>
            <w:r>
              <w:rPr>
                <w:b/>
                <w:sz w:val="19"/>
              </w:rPr>
              <w:t>OPORTUNIDADES (OPPORTUNITIES):</w:t>
              <w:br/>
            </w:r>
            <w:r>
              <w:rPr>
                <w:sz w:val="19"/>
              </w:rPr>
              <w:t>• Adoção de arquitetura Cloud Native;</w:t>
              <w:br/>
              <w:t>• Automação de processos operacionais;</w:t>
              <w:br/>
              <w:t>• Modelos SaaS de baixo custo.</w:t>
            </w:r>
          </w:p>
        </w:tc>
      </w:tr>
      <w:tr>
        <w:tc>
          <w:tcPr>
            <w:tcW w:type="dxa" w:w="4535"/>
          </w:tcPr>
          <w:p>
            <w:r>
              <w:rPr>
                <w:b/>
                <w:sz w:val="19"/>
              </w:rPr>
              <w:t>FRAQUEZAS (WEAKNESSES):</w:t>
              <w:br/>
            </w:r>
            <w:r>
              <w:rPr>
                <w:sz w:val="19"/>
              </w:rPr>
              <w:t>• Falta de processos formais de TI;</w:t>
              <w:br/>
              <w:t>• Baixa documentação de sistemas;</w:t>
              <w:br/>
              <w:t>• Ausência de catálogo de serviços com SLA.</w:t>
            </w:r>
          </w:p>
        </w:tc>
        <w:tc>
          <w:tcPr>
            <w:tcW w:type="dxa" w:w="4535"/>
          </w:tcPr>
          <w:p>
            <w:r>
              <w:rPr>
                <w:b/>
                <w:sz w:val="19"/>
              </w:rPr>
              <w:t>AMEAÇAS (THREATS):</w:t>
              <w:br/>
            </w:r>
            <w:r>
              <w:rPr>
                <w:sz w:val="19"/>
              </w:rPr>
              <w:t>• Ataques cibernéticos crescentes (Ransomware);</w:t>
              <w:br/>
              <w:t>• Rigidez de requisitos da LGPD/SOX;</w:t>
              <w:br/>
              <w:t>• Retenção de talentos de TI.</w:t>
            </w:r>
          </w:p>
        </w:tc>
      </w:tr>
    </w:tbl>
    <w:p>
      <w:pPr>
        <w:spacing w:before="40" w:after="240"/>
        <w:ind w:firstLine="0"/>
      </w:pPr>
      <w:r>
        <w:rPr>
          <w:sz w:val="19"/>
        </w:rPr>
        <w:t>Fonte: Diagnóstico AS-IS elaborado pelos autores (2026).</w:t>
      </w:r>
    </w:p>
    <w:p>
      <w:pPr>
        <w:pStyle w:val="Heading2"/>
      </w:pPr>
      <w:r>
        <w:t>2.2 Mapeamento de Dores, Gargalos e Indisponibilidades</w:t>
      </w:r>
    </w:p>
    <w:p>
      <w:r>
        <w:t>A análise operacional evidenciou que a falta de governança estruturada resulta em reatividade excessiva. No último ano, foram registradas 14 indisponibilidades críticas em sistemas essenciais, totalizando mais de 38 horas de downtime.</w:t>
      </w:r>
    </w:p>
    <w:p>
      <w:pPr>
        <w:pStyle w:val="Heading2"/>
      </w:pPr>
      <w:r>
        <w:t>2.3 Avaliação Preliminar do Nível de Maturidade de TI</w:t>
      </w:r>
    </w:p>
    <w:p>
      <w:r>
        <w:t>Com base nos níveis de maturidade do COBIT/CMMI (Níveis 0 a 5), estima-se que a TI encontra-se atualmente no Nível 1 (Ad-Hoc / Inicial), onde os processos são informais, inconsistentes e fortemente dependentes de esforços individuais.</w:t>
      </w:r>
    </w:p>
    <w:p>
      <w:pPr>
        <w:pStyle w:val="Heading1"/>
      </w:pPr>
      <w:r>
        <w:t>3 OBJETIVOS ESTRATÉGICOS &amp; MAPA ESTRATÉGICO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40" w:type="dxa"/>
              <w:bottom w:w="140" w:type="dxa"/>
              <w:left w:w="200" w:type="dxa"/>
              <w:right w:w="200" w:type="dxa"/>
            </w:tcMar>
            <w:shd w:fill="F2F5F9"/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pStyle w:val="Instrução"/>
            </w:pPr>
            <w:r>
              <w:rPr>
                <w:b/>
                <w:sz w:val="21"/>
              </w:rPr>
              <w:t>💡 Orientação de Preenchimento - Capítulo 3</w:t>
              <w:br/>
            </w:r>
            <w:r>
              <w:rPr>
                <w:sz w:val="19"/>
              </w:rPr>
              <w:t>Detone a estratégia de alinhamento TI-Negócio. Monte o Mapa Estratégico de TI contemplando as 4 perspectivas do Balanced Scorecard (BSC): Financeira, Clientes/Usuários, Processos Internos e Aprendizado &amp; Crescimento.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3.1 Alinhamento Estratégico TI-Negócio</w:t>
      </w:r>
    </w:p>
    <w:p>
      <w:r>
        <w:t>Para que a TI atue como parceira estratégica do negócio, todos os objetivos tecnológicos foram desdobrados a partir das prioridades corporativas de expansão e rentabilidade da organização.</w:t>
      </w:r>
    </w:p>
    <w:p>
      <w:pPr>
        <w:pStyle w:val="Heading2"/>
      </w:pPr>
      <w:r>
        <w:t>3.2 Mapa Estratégico de TI nas 4 Perspectivas do BSC</w:t>
      </w:r>
    </w:p>
    <w:p>
      <w:r>
        <w:t>A Tabela 3 apresenta a estrutura do Mapa Estratégico de Governança de TI alinhado ao Balanced Scorecard (BSC).</w:t>
      </w:r>
    </w:p>
    <w:p>
      <w:pPr>
        <w:spacing w:before="120" w:after="40"/>
        <w:ind w:firstLine="0"/>
      </w:pPr>
      <w:r>
        <w:rPr>
          <w:b/>
          <w:sz w:val="20"/>
        </w:rPr>
        <w:t>Tabela 3 – Matriz do Mapa Estratégico de TI (Perspectivas do BSC)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CCCCCC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Perspectiva do BSC</w:t>
            </w:r>
          </w:p>
        </w:tc>
        <w:tc>
          <w:tcPr>
            <w:tcW w:type="dxa" w:w="30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Objetivo Estratégico de TI</w:t>
            </w:r>
          </w:p>
        </w:tc>
        <w:tc>
          <w:tcPr>
            <w:tcW w:type="dxa" w:w="30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Resultado Esperado no Negócio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1. Financeira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Otimizar custos de TIC e maximizar o ROI de novos investimentos tecnológicos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Redução de custos operacionais (OPEX) e melhor aproveitamento do orçamento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2. Clientes / Usuários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Elevar a satisfação dos usuários e a disponibilidade dos serviços digitais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SLA de sistemas acima de 99.5% e aumento na nota de satisfação (NPS)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3. Processos Internos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Automatizar processos de negócio e padronizar o gerenciamento de serviços (ITIL)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Agilidade nas entregas e redução expressiva de erros operacionais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4. Aprendizado &amp; Crescimento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Capacitar a equipe em novas tecnologias e fortalecer a cultura de segurança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Retenção de talentos e conformidade contínua com LGPD/SOX</w:t>
            </w:r>
          </w:p>
        </w:tc>
      </w:tr>
    </w:tbl>
    <w:p>
      <w:pPr>
        <w:spacing w:before="40" w:after="240"/>
        <w:ind w:firstLine="0"/>
      </w:pPr>
      <w:r>
        <w:rPr>
          <w:sz w:val="19"/>
        </w:rPr>
        <w:t>Fonte: Elaborado com base na metodologia BSC (2026).</w:t>
      </w:r>
    </w:p>
    <w:p>
      <w:pPr>
        <w:pStyle w:val="Heading1"/>
      </w:pPr>
      <w:r>
        <w:t>4 ESTRUTURA DE GOVERNANÇA &amp; POLÍTICAS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40" w:type="dxa"/>
              <w:bottom w:w="140" w:type="dxa"/>
              <w:left w:w="200" w:type="dxa"/>
              <w:right w:w="200" w:type="dxa"/>
            </w:tcMar>
            <w:shd w:fill="F2F5F9"/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pStyle w:val="Instrução"/>
            </w:pPr>
            <w:r>
              <w:rPr>
                <w:b/>
                <w:sz w:val="21"/>
              </w:rPr>
              <w:t>💡 Orientação de Preenchimento - Capítulo 4</w:t>
              <w:br/>
            </w:r>
            <w:r>
              <w:rPr>
                <w:sz w:val="19"/>
              </w:rPr>
              <w:t>Apresente a estrutura de tomada de decisão (Comitê Estratégico de TI), preencha a Matriz RACI para os processos de TI e especifique os princípios das Políticas Fundamentais (Segurança da Informação, Uso Aceitável e Aquisições).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4.1 Comitê Estratégico de TI (CGD/CETI)</w:t>
      </w:r>
    </w:p>
    <w:p>
      <w:r>
        <w:t>Fica instituído o Comitê Estratégico de Governança de TI, com reuniões bimestrais, composto pelo CEO, CIO, Diretores de Negócio e o CISO, responsável pela aprovação de investimentos, priorização do portfólio e auditoria do PDGTI.</w:t>
      </w:r>
    </w:p>
    <w:p>
      <w:pPr>
        <w:pStyle w:val="Heading2"/>
      </w:pPr>
      <w:r>
        <w:t>4.2 Matriz RACI de Responsabilidades dos Processos de TI</w:t>
      </w:r>
    </w:p>
    <w:p>
      <w:r>
        <w:t>Para delimitar as atribuições nos processos de governança e operação de TI, adota-se o modelo RACI:</w:t>
        <w:br/>
        <w:t>• R (Responsible / Executa): Quem realiza a atividade.</w:t>
        <w:br/>
        <w:t>• A (Accountable / Aprova): Quem responde pelo resultado e possui autoridade de decisão.</w:t>
        <w:br/>
        <w:t>• C (Consulted / Consultado): Especialista consultado antes da execução.</w:t>
        <w:br/>
        <w:t>• I (Informed / Informado): Notificado após a conclusão ou tomada de decisão.</w:t>
      </w:r>
    </w:p>
    <w:p>
      <w:r>
        <w:t>A Tabela 4 apresenta a Matriz RACI estruturada para os principais processos de TIC da organização.</w:t>
      </w:r>
    </w:p>
    <w:p>
      <w:pPr>
        <w:spacing w:before="120" w:after="40"/>
        <w:ind w:firstLine="0"/>
      </w:pPr>
      <w:r>
        <w:rPr>
          <w:b/>
          <w:sz w:val="20"/>
        </w:rPr>
        <w:t>Tabela 4 – Matriz RACI de Governança e Operações de TI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CCCCCC"/>
          <w:insideV w:val="none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AEAE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Processo / Atividade de TI</w:t>
            </w:r>
          </w:p>
        </w:tc>
        <w:tc>
          <w:tcPr>
            <w:tcW w:type="dxa" w:w="1296"/>
            <w:shd w:fill="EAEAE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Comitê de TI</w:t>
            </w:r>
          </w:p>
        </w:tc>
        <w:tc>
          <w:tcPr>
            <w:tcW w:type="dxa" w:w="1296"/>
            <w:shd w:fill="EAEAE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CIO / Gestor TI</w:t>
            </w:r>
          </w:p>
        </w:tc>
        <w:tc>
          <w:tcPr>
            <w:tcW w:type="dxa" w:w="1296"/>
            <w:shd w:fill="EAEAE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CISO / DPO</w:t>
            </w:r>
          </w:p>
        </w:tc>
        <w:tc>
          <w:tcPr>
            <w:tcW w:type="dxa" w:w="1296"/>
            <w:shd w:fill="EAEAE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Coord. Infra</w:t>
            </w:r>
          </w:p>
        </w:tc>
        <w:tc>
          <w:tcPr>
            <w:tcW w:type="dxa" w:w="1296"/>
            <w:shd w:fill="EAEAE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Coord. Sist.</w:t>
            </w:r>
          </w:p>
        </w:tc>
        <w:tc>
          <w:tcPr>
            <w:tcW w:type="dxa" w:w="1296"/>
            <w:shd w:fill="EAEAE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Áreas Negócio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Definição e Revisão do PDGTI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Aprovação de Investimentos e Orçamento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Gestão de Segurança e Proteção LGPD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Gestão de Mudanças e Releases de Software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Atendimento de Incidentes (Service Desk)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Avaliação e Seleção de Fornecedores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Monitoramento de Riscos de TI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Auditoria de Compliance e Processos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I</w:t>
            </w:r>
          </w:p>
        </w:tc>
      </w:tr>
    </w:tbl>
    <w:p>
      <w:pPr>
        <w:spacing w:before="40" w:after="240"/>
        <w:ind w:firstLine="0"/>
      </w:pPr>
      <w:r>
        <w:rPr>
          <w:sz w:val="19"/>
        </w:rPr>
        <w:t>Fonte: Matriz RACI estabelecida pela Governança de TI (2026).</w:t>
      </w:r>
    </w:p>
    <w:p>
      <w:pPr>
        <w:pStyle w:val="Heading2"/>
      </w:pPr>
      <w:r>
        <w:t>4.3 Políticas Fundamentais de TI</w:t>
      </w:r>
    </w:p>
    <w:p>
      <w:r>
        <w:t>Ficam estabelecidas três diretrizes normativas de cumprimento obrigatório por todos os colaboradores:</w:t>
      </w:r>
    </w:p>
    <w:p>
      <w:pPr>
        <w:pStyle w:val="ListBullet"/>
        <w:spacing w:before="40" w:after="40"/>
        <w:ind w:firstLine="0"/>
      </w:pPr>
      <w:r>
        <w:t>Política de Segurança da Informação (POSIN): Regras de controle de acesso, gestão de senhas, backup e criptografia.</w:t>
      </w:r>
    </w:p>
    <w:p>
      <w:pPr>
        <w:pStyle w:val="ListBullet"/>
        <w:spacing w:before="40" w:after="40"/>
        <w:ind w:firstLine="0"/>
      </w:pPr>
      <w:r>
        <w:t>Política de Uso Aceitável dos Ativos: Diretrizes sobre a utilização de computadores, internet, e-mail e dispositivos móveis.</w:t>
      </w:r>
    </w:p>
    <w:p>
      <w:pPr>
        <w:pStyle w:val="ListBullet"/>
        <w:spacing w:before="40" w:after="40"/>
        <w:ind w:firstLine="0"/>
      </w:pPr>
      <w:r>
        <w:t>Política de Aquisições e Contratações de TIC: Procedimentos formais para homologação e compra de hardware, software e serviços de TI.</w:t>
      </w:r>
    </w:p>
    <w:p>
      <w:pPr>
        <w:pStyle w:val="Heading1"/>
      </w:pPr>
      <w:r>
        <w:t>5 GESTÃO DE DESEMPENHO E INDICADORES (KPIS)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40" w:type="dxa"/>
              <w:bottom w:w="140" w:type="dxa"/>
              <w:left w:w="200" w:type="dxa"/>
              <w:right w:w="200" w:type="dxa"/>
            </w:tcMar>
            <w:shd w:fill="F2F5F9"/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pStyle w:val="Instrução"/>
            </w:pPr>
            <w:r>
              <w:rPr>
                <w:b/>
                <w:sz w:val="21"/>
              </w:rPr>
              <w:t>💡 Orientação de Preenchimento - Capítulo 5</w:t>
              <w:br/>
            </w:r>
            <w:r>
              <w:rPr>
                <w:sz w:val="19"/>
              </w:rPr>
              <w:t>Especifique o sistema de métricas. Inclua indicadores estratégicos do negócio e operacionais de TI, com linha de base (baseline), metas, frequência de apuração e a estrutura do dashboard executivo.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5.1 Sistema de Métricas e KPIs de TI</w:t>
      </w:r>
    </w:p>
    <w:p>
      <w:r>
        <w:t>O sistema de gestão de desempenho acompanha a evolução dos serviços de TI por meio de métricas quantitativas, garantindo alinhamento às metas organizacionais.</w:t>
      </w:r>
    </w:p>
    <w:p>
      <w:pPr>
        <w:pStyle w:val="Heading2"/>
      </w:pPr>
      <w:r>
        <w:t>5.2 Quadro Sintético de Indicadores (KPIs)</w:t>
      </w:r>
    </w:p>
    <w:p>
      <w:r>
        <w:t>A Tabela 5 detalha os principais indicadores do negócio e operacionais de TI.</w:t>
      </w:r>
    </w:p>
    <w:p>
      <w:pPr>
        <w:spacing w:before="120" w:after="40"/>
        <w:ind w:firstLine="0"/>
      </w:pPr>
      <w:r>
        <w:rPr>
          <w:b/>
          <w:sz w:val="20"/>
        </w:rPr>
        <w:t>Tabela 5 – Indicadores de Desempenho (KPIs do Negócio e Operacionais)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CCCCCC"/>
          <w:insideV w:val="none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EAEAE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1512"/>
            <w:shd w:fill="EAEAE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Nome do Indicador</w:t>
            </w:r>
          </w:p>
        </w:tc>
        <w:tc>
          <w:tcPr>
            <w:tcW w:type="dxa" w:w="1512"/>
            <w:shd w:fill="EAEAE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Linha de Base</w:t>
            </w:r>
          </w:p>
        </w:tc>
        <w:tc>
          <w:tcPr>
            <w:tcW w:type="dxa" w:w="1512"/>
            <w:shd w:fill="EAEAE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Meta 2029</w:t>
            </w:r>
          </w:p>
        </w:tc>
        <w:tc>
          <w:tcPr>
            <w:tcW w:type="dxa" w:w="1512"/>
            <w:shd w:fill="EAEAE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Frequência</w:t>
            </w:r>
          </w:p>
        </w:tc>
        <w:tc>
          <w:tcPr>
            <w:tcW w:type="dxa" w:w="1512"/>
            <w:shd w:fill="EAEAE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Responsável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Negócio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7"/>
              </w:rPr>
              <w:t>Índice de Disponibilidade de Sistemas Críticos (SLA)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98,2%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99,6%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Mensal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7"/>
              </w:rPr>
              <w:t>Coord. Infra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Negócio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7"/>
              </w:rPr>
              <w:t>Satisfação dos Usuários Internos (NPS)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Semestral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7"/>
              </w:rPr>
              <w:t>CIO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Operacional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7"/>
              </w:rPr>
              <w:t>Tempo Médio de Reparo (MTTR)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4,5 horas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&lt; 1,5 hora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Mensal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7"/>
              </w:rPr>
              <w:t>Service Desk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Operacional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7"/>
              </w:rPr>
              <w:t>Projetos de TI Entregues no Prazo e Custo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60%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90%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Quadrimestral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7"/>
              </w:rPr>
              <w:t>PMO / Sistemas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Operacional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7"/>
              </w:rPr>
              <w:t>Nível de Conformidade à LGPD / POSIN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95%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7"/>
              </w:rPr>
              <w:t>Semestral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7"/>
              </w:rPr>
              <w:t>CISO / DPO</w:t>
            </w:r>
          </w:p>
        </w:tc>
      </w:tr>
    </w:tbl>
    <w:p>
      <w:pPr>
        <w:spacing w:before="40" w:after="240"/>
        <w:ind w:firstLine="0"/>
      </w:pPr>
      <w:r>
        <w:rPr>
          <w:sz w:val="19"/>
        </w:rPr>
        <w:t>Fonte: Indicadores definidos no PDGTI (2026).</w:t>
      </w:r>
    </w:p>
    <w:p>
      <w:pPr>
        <w:pStyle w:val="Heading2"/>
      </w:pPr>
      <w:r>
        <w:t>5.3 Dashboard Executivo e Acompanhamento</w:t>
      </w:r>
    </w:p>
    <w:p>
      <w:r>
        <w:t>Os indicadores serão consolidados em um Dashboard Executivo automatizado (Power BI / Grafana), com relatórios visuais apresentados bimestralmente ao Comitê Estratégico de TI.</w:t>
      </w:r>
    </w:p>
    <w:p>
      <w:pPr>
        <w:pStyle w:val="Heading1"/>
      </w:pPr>
      <w:r>
        <w:t>6 GESTÃO DE RISCOS &amp;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40" w:type="dxa"/>
              <w:bottom w:w="140" w:type="dxa"/>
              <w:left w:w="200" w:type="dxa"/>
              <w:right w:w="200" w:type="dxa"/>
            </w:tcMar>
            <w:shd w:fill="F2F5F9"/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pStyle w:val="Instrução"/>
            </w:pPr>
            <w:r>
              <w:rPr>
                <w:b/>
                <w:sz w:val="21"/>
              </w:rPr>
              <w:t>💡 Orientação de Preenchimento - Capítulo 6</w:t>
              <w:br/>
            </w:r>
            <w:r>
              <w:rPr>
                <w:sz w:val="19"/>
              </w:rPr>
              <w:t>Construa a Matriz de Riscos de TI (Probabilidade x Impacto), detalhe os planos de mitigação e evidencie o atendimento aos requisitos regulatórios relevantes (SOX, LGPD e ISO/IEC 27001).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6.1 Metodologia de Avaliação de Riscos (Probabilidade x Impacto)</w:t>
      </w:r>
    </w:p>
    <w:p>
      <w:r>
        <w:t>Os riscos tecnológicos foram categorizados quanto à probabilidade e impacto em escalas de 1 a 5, resultando em níveis de Risco Baixo, Médio, Alto e Crítico.</w:t>
      </w:r>
    </w:p>
    <w:p>
      <w:pPr>
        <w:pStyle w:val="Heading2"/>
      </w:pPr>
      <w:r>
        <w:t>6.2 Matriz de Riscos de TI e Planos de Mitigação</w:t>
      </w:r>
    </w:p>
    <w:p>
      <w:r>
        <w:t>A Tabela 6 sintetiza a Matriz de Riscos e os respectivos controles mitigadores.</w:t>
      </w:r>
    </w:p>
    <w:p>
      <w:pPr>
        <w:spacing w:before="120" w:after="40"/>
        <w:ind w:firstLine="0"/>
      </w:pPr>
      <w:r>
        <w:rPr>
          <w:b/>
          <w:sz w:val="20"/>
        </w:rPr>
        <w:t>Tabela 6 – Matriz de Riscos de TI e Planos de Resposta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CCCCCC"/>
          <w:insideV w:val="none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EAEAE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Risco Identificado</w:t>
            </w:r>
          </w:p>
        </w:tc>
        <w:tc>
          <w:tcPr>
            <w:tcW w:type="dxa" w:w="1814"/>
            <w:shd w:fill="EAEAE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Probab.</w:t>
            </w:r>
          </w:p>
        </w:tc>
        <w:tc>
          <w:tcPr>
            <w:tcW w:type="dxa" w:w="1814"/>
            <w:shd w:fill="EAEAE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Impacto</w:t>
            </w:r>
          </w:p>
        </w:tc>
        <w:tc>
          <w:tcPr>
            <w:tcW w:type="dxa" w:w="1814"/>
            <w:shd w:fill="EAEAE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Nível</w:t>
            </w:r>
          </w:p>
        </w:tc>
        <w:tc>
          <w:tcPr>
            <w:tcW w:type="dxa" w:w="1814"/>
            <w:shd w:fill="EAEAE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Plano de Mitigação / Resposta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7"/>
              </w:rPr>
              <w:t>Vazamento de dados pessoais (LGPD)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Média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Muito Alto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Crítico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7"/>
              </w:rPr>
              <w:t>Criptografia de banco de dados, DLP e treinamentos.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7"/>
              </w:rPr>
              <w:t>Ataque de Ransomware / Sequestro de Dados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Média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Alto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Alto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7"/>
              </w:rPr>
              <w:t>Implementação de EDR/NGFW e testes de Backup Offline.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7"/>
              </w:rPr>
              <w:t>Indisponibilidade prolongada de Datacenter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Baixa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Muito Alto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Alto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7"/>
              </w:rPr>
              <w:t>Plano de Continuidade de Negócios (PCN) e Disaster Recovery na nuvem.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7"/>
              </w:rPr>
              <w:t>Não conformidade nos relatórios financeiros (SOX)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Baixa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Alto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Médio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7"/>
              </w:rPr>
              <w:t>Trilha de auditoria automatizada e segregação de funções (SoD).</w:t>
            </w:r>
          </w:p>
        </w:tc>
      </w:tr>
    </w:tbl>
    <w:p>
      <w:pPr>
        <w:spacing w:before="40" w:after="240"/>
        <w:ind w:firstLine="0"/>
      </w:pPr>
      <w:r>
        <w:rPr>
          <w:sz w:val="19"/>
        </w:rPr>
        <w:t>Fonte: Gestão de Riscos corporativa (2026).</w:t>
      </w:r>
    </w:p>
    <w:p>
      <w:pPr>
        <w:pStyle w:val="Heading2"/>
      </w:pPr>
      <w:r>
        <w:t>6.3 Requisitos Regulatórios e de Compliance (SOX, LGPD, ISO 27001)</w:t>
      </w:r>
    </w:p>
    <w:p>
      <w:r>
        <w:t>A governança de TI assegura conformidade integral aos seguintes arcabouços:</w:t>
        <w:br/>
        <w:t>• Lei Geral de Proteção de Dados (LGPD): Mapeamento do ciclo de vida dos dados e gestão de consentimentos.</w:t>
        <w:br/>
        <w:t>• Sarbanes-Oxley Act (SOX): Controles internos automatizados sobre sistemas de contabilidade e finanças.</w:t>
        <w:br/>
        <w:t>• ISO/IEC 27001: Implementação do Sistema de Gestão de Segurança da Informação (SGSI).</w:t>
      </w:r>
    </w:p>
    <w:p>
      <w:pPr>
        <w:pStyle w:val="Heading1"/>
      </w:pPr>
      <w:r>
        <w:t>7 SELEÇÃO E JUSTIFICATIVA DE FRAMEWORKS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40" w:type="dxa"/>
              <w:bottom w:w="140" w:type="dxa"/>
              <w:left w:w="200" w:type="dxa"/>
              <w:right w:w="200" w:type="dxa"/>
            </w:tcMar>
            <w:shd w:fill="F2F5F9"/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pStyle w:val="Instrução"/>
            </w:pPr>
            <w:r>
              <w:rPr>
                <w:b/>
                <w:sz w:val="21"/>
              </w:rPr>
              <w:t>💡 Orientação de Preenchimento - Capítulo 7</w:t>
              <w:br/>
            </w:r>
            <w:r>
              <w:rPr>
                <w:sz w:val="19"/>
              </w:rPr>
              <w:t>Justifique a escolha e a adaptação das normas e modelos internacionais adotados no plano: ISO/IEC 38500 (Governança Corporativa de TI), COBIT (Objetivos de Governança e Gestão) e ITIL v4 (Serviços de TI).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7.1 Adequação dos Modelos à Realidade Organizacional</w:t>
      </w:r>
    </w:p>
    <w:p>
      <w:r>
        <w:t>Nenhum framework deve ser adotado como dogma rígido. A organização aplica o princípio da 'combinação sob medida' (tailoring), adaptando as melhores práticas internacionais à sua escala e cultura.</w:t>
      </w:r>
    </w:p>
    <w:p>
      <w:pPr>
        <w:pStyle w:val="Heading2"/>
      </w:pPr>
      <w:r>
        <w:t>7.2 Mapeamento e Aplicação dos Frameworks</w:t>
      </w:r>
    </w:p>
    <w:p>
      <w:r>
        <w:t>A Tabela 7 detalha a justificativa e o escopo de aplicação de cada modelo selecionado.</w:t>
      </w:r>
    </w:p>
    <w:p>
      <w:pPr>
        <w:spacing w:before="120" w:after="40"/>
        <w:ind w:firstLine="0"/>
      </w:pPr>
      <w:r>
        <w:rPr>
          <w:b/>
          <w:sz w:val="20"/>
        </w:rPr>
        <w:t>Tabela 7 – Mapeamento e Justificativa de Frameworks de Governança e TI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CCCCCC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Framework / Norma</w:t>
            </w:r>
          </w:p>
        </w:tc>
        <w:tc>
          <w:tcPr>
            <w:tcW w:type="dxa" w:w="30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Foco Principal de Atuação</w:t>
            </w:r>
          </w:p>
        </w:tc>
        <w:tc>
          <w:tcPr>
            <w:tcW w:type="dxa" w:w="30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Justificativa e Benefício Institucional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ISO/IEC 38500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Governança Corporativa da TI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Orienta os 6 princípios da alta administração: Avaliar, Dirigir e Monitorar o uso da tecnologia.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COBIT 2019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Estruturação de Processos de Governança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Proporciona alinhamento dos objetivos de TI aos de negócio através dos domínios EDM, APO, BAI, DSS e MEA.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ITIL v4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Gestão de Serviços e Operações de TI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Otimiza a entrega de valor através da Cadeia de Valor do Serviço, Gerenciamento de Incidentes, Mudanças e Catálogo de Serviços.</w:t>
            </w:r>
          </w:p>
        </w:tc>
      </w:tr>
    </w:tbl>
    <w:p>
      <w:pPr>
        <w:spacing w:before="40" w:after="240"/>
        <w:ind w:firstLine="0"/>
      </w:pPr>
      <w:r>
        <w:rPr>
          <w:sz w:val="19"/>
        </w:rPr>
        <w:t>Fonte: Seleção técnica de frameworks (2026).</w:t>
      </w:r>
    </w:p>
    <w:p>
      <w:pPr>
        <w:pStyle w:val="Heading1"/>
      </w:pPr>
      <w:r>
        <w:t>8 MELHORIA DE PROCESSOS &amp; QUALIDADE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40" w:type="dxa"/>
              <w:bottom w:w="140" w:type="dxa"/>
              <w:left w:w="200" w:type="dxa"/>
              <w:right w:w="200" w:type="dxa"/>
            </w:tcMar>
            <w:shd w:fill="F2F5F9"/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pStyle w:val="Instrução"/>
            </w:pPr>
            <w:r>
              <w:rPr>
                <w:b/>
                <w:sz w:val="21"/>
              </w:rPr>
              <w:t>💡 Orientação de Preenchimento - Capítulo 8</w:t>
              <w:br/>
            </w:r>
            <w:r>
              <w:rPr>
                <w:sz w:val="19"/>
              </w:rPr>
              <w:t>Apresente a estratégia de maturidade do desenvolvimento de software (CMMI / MPS-SW), os procedimentos de gestão de mudanças e as métricas de qualidade de software baseadas na ISO/IEC 25010 (antiga ISO 9126).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8.1 Avaliação e Evolução da Maturidade (CMMI / MPS-SW)</w:t>
      </w:r>
    </w:p>
    <w:p>
      <w:r>
        <w:t>A organização estabelece um plano para elevar o nível de maturidade do desenvolvimento de sistemas do Nível 1 para o Nível 3 (Definido) da norma MR-MPS-SW / CMMI-DEV nos próximos 24 meses, garantindo processos padronizados e mensuráveis.</w:t>
      </w:r>
    </w:p>
    <w:p>
      <w:pPr>
        <w:pStyle w:val="Heading2"/>
      </w:pPr>
      <w:r>
        <w:t>8.2 Gestão de Mudanças e Liberação de Software</w:t>
      </w:r>
    </w:p>
    <w:p>
      <w:r>
        <w:t>Todas as alterações em código e infraestrutura deverão passar pelo Comitê de Controle de Mudanças (CAB), reduzindo falhas em produção por meio de testes automatizados e esteiras de CI/CD.</w:t>
      </w:r>
    </w:p>
    <w:p>
      <w:pPr>
        <w:pStyle w:val="Heading2"/>
      </w:pPr>
      <w:r>
        <w:t>8.3 Métricas de Qualidade de Software (ISO/IEC 25010 / 9126)</w:t>
      </w:r>
    </w:p>
    <w:p>
      <w:r>
        <w:t>A Tabela 8 relaciona as características de qualidade adotadas para auditoria de software.</w:t>
      </w:r>
    </w:p>
    <w:p>
      <w:pPr>
        <w:spacing w:before="120" w:after="40"/>
        <w:ind w:firstLine="0"/>
      </w:pPr>
      <w:r>
        <w:rPr>
          <w:b/>
          <w:sz w:val="20"/>
        </w:rPr>
        <w:t>Tabela 8 – Métricas de Qualidade de Software (ISO/IEC 25010)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CCCCCC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Atributo de Qualidade</w:t>
            </w:r>
          </w:p>
        </w:tc>
        <w:tc>
          <w:tcPr>
            <w:tcW w:type="dxa" w:w="30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Métrica de Avaliação</w:t>
            </w:r>
          </w:p>
        </w:tc>
        <w:tc>
          <w:tcPr>
            <w:tcW w:type="dxa" w:w="30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Meta Estabelecida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Adequação Funcional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Percentual de requisitos cobertos por testes unitários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&gt; 85% de cobertura de código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Confiabilidade / Tolerância a Falhas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Taxa de defeitos críticos identificados em produção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&lt; 0.5 defeito por kLOC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Usabilidade e Acessibilidade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Nível de satisfação da experiência do usuário (UX)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Nota mínima 4.5 / 5.0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Segurança Cibernética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Ausência de vulnerabilidades de severidade Alta/Crítica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0 vulnerabilidades conhecidas em produção</w:t>
            </w:r>
          </w:p>
        </w:tc>
      </w:tr>
    </w:tbl>
    <w:p>
      <w:pPr>
        <w:spacing w:before="40" w:after="240"/>
        <w:ind w:firstLine="0"/>
      </w:pPr>
      <w:r>
        <w:rPr>
          <w:sz w:val="19"/>
        </w:rPr>
        <w:t>Fonte: Qualidade de Software ISO/IEC 25010 (2026).</w:t>
      </w:r>
    </w:p>
    <w:p>
      <w:pPr>
        <w:pStyle w:val="Heading1"/>
      </w:pPr>
      <w:r>
        <w:t>9 ROADMAP DE IMPLANTAÇÃO &amp; BENEFÍCIOS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40" w:type="dxa"/>
              <w:bottom w:w="140" w:type="dxa"/>
              <w:left w:w="200" w:type="dxa"/>
              <w:right w:w="200" w:type="dxa"/>
            </w:tcMar>
            <w:shd w:fill="F2F5F9"/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pStyle w:val="Instrução"/>
            </w:pPr>
            <w:r>
              <w:rPr>
                <w:b/>
                <w:sz w:val="21"/>
              </w:rPr>
              <w:t>💡 Orientação de Preenchimento - Capítulo 9</w:t>
              <w:br/>
            </w:r>
            <w:r>
              <w:rPr>
                <w:sz w:val="19"/>
              </w:rPr>
              <w:t>Apresente o plano de implantação em ondas (curto, médio e longo prazo), detalhe a estimativa de investimentos (CAPEX/OPEX), os Fatores Críticos de Sucesso (FCS) e a Matriz de Benefícios para o negócio.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9.1 Cronograma em Ondas de Maturidade</w:t>
      </w:r>
    </w:p>
    <w:p>
      <w:r>
        <w:t>A implantação do PDGTI ocorrerá de maneira estruturada ao longo de 4 anos, em 3 ondas sequenciais:</w:t>
        <w:br/>
        <w:t>• Onda 1 – Curto Prazo (Ano 1 / 2026): Estabilização da governança, adequação emergencial à LGPD, políticas básicas e ferramentas de monitoramento.</w:t>
        <w:br/>
        <w:t>• Onda 2 – Médio Prazo (Anos 2-3 / 2027-2028): Automação de serviços ITIL, migração para nuvem híbrida e esteira CI/CD.</w:t>
        <w:br/>
        <w:t>• Onda 3 – Longo Prazo (Ano 4 / 2029): Consolidação da maturidade CMMI Nível 3, otimização por IA e governança orientada a valor contínuo.</w:t>
      </w:r>
    </w:p>
    <w:p>
      <w:pPr>
        <w:pStyle w:val="Heading2"/>
      </w:pPr>
      <w:r>
        <w:t>9.2 Estimativa Orçamentária de Investimentos (CAPEX e OPEX)</w:t>
      </w:r>
    </w:p>
    <w:p>
      <w:r>
        <w:t>A Tabela 9 apresenta a previsão de despesas de investimento em capital (CAPEX) e despesas operacionais (OPEX).</w:t>
      </w:r>
    </w:p>
    <w:p>
      <w:pPr>
        <w:spacing w:before="120" w:after="40"/>
        <w:ind w:firstLine="0"/>
      </w:pPr>
      <w:r>
        <w:rPr>
          <w:b/>
          <w:sz w:val="20"/>
        </w:rPr>
        <w:t>Tabela 9 – Quadro Sintético de CAPEX e OPEX para o PDGTI (R$)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CCCCCC"/>
          <w:insideV w:val="none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AEA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Onda de Implantação</w:t>
            </w:r>
          </w:p>
        </w:tc>
        <w:tc>
          <w:tcPr>
            <w:tcW w:type="dxa" w:w="2268"/>
            <w:shd w:fill="EAEA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CAPEX (Investimentos)</w:t>
            </w:r>
          </w:p>
        </w:tc>
        <w:tc>
          <w:tcPr>
            <w:tcW w:type="dxa" w:w="2268"/>
            <w:shd w:fill="EAEA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OPEX (Operacional)</w:t>
            </w:r>
          </w:p>
        </w:tc>
        <w:tc>
          <w:tcPr>
            <w:tcW w:type="dxa" w:w="2268"/>
            <w:shd w:fill="EAEA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Total Estimado (R$)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Onda 1 (2026)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18"/>
              </w:rPr>
              <w:t>320.000,00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18"/>
              </w:rPr>
              <w:t>150.000,00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18"/>
              </w:rPr>
              <w:t>470.000,00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Onda 2 (2027-2028)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18"/>
              </w:rPr>
              <w:t>450.000,00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18"/>
              </w:rPr>
              <w:t>280.000,00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18"/>
              </w:rPr>
              <w:t>730.000,00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Onda 3 (2029)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18"/>
              </w:rPr>
              <w:t>180.000,00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18"/>
              </w:rPr>
              <w:t>210.000,00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18"/>
              </w:rPr>
              <w:t>390.000,00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  <w:sz w:val="18"/>
              </w:rPr>
              <w:t>TOTAL GERAL DO PDGTI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b/>
                <w:sz w:val="18"/>
              </w:rPr>
              <w:t>950.000,00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b/>
                <w:sz w:val="18"/>
              </w:rPr>
              <w:t>640.000,00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b/>
                <w:sz w:val="18"/>
              </w:rPr>
              <w:t>1.590.000,00</w:t>
            </w:r>
          </w:p>
        </w:tc>
      </w:tr>
    </w:tbl>
    <w:p>
      <w:pPr>
        <w:spacing w:before="40" w:after="240"/>
        <w:ind w:firstLine="0"/>
      </w:pPr>
      <w:r>
        <w:rPr>
          <w:sz w:val="19"/>
        </w:rPr>
        <w:t>Fonte: Planejamento Orçamentário de TI (2026).</w:t>
      </w:r>
    </w:p>
    <w:p>
      <w:pPr>
        <w:pStyle w:val="Heading2"/>
      </w:pPr>
      <w:r>
        <w:t>9.3 Fatores Críticos de Sucesso (FCS)</w:t>
      </w:r>
    </w:p>
    <w:p>
      <w:r>
        <w:t>A viabilidade e o sucesso da execução do PDGTI dependem dos seguintes Fatores Críticos de Sucesso:</w:t>
      </w:r>
    </w:p>
    <w:p>
      <w:pPr>
        <w:pStyle w:val="ListBullet"/>
        <w:spacing w:before="40" w:after="40"/>
        <w:ind w:firstLine="0"/>
      </w:pPr>
      <w:r>
        <w:t>Patrocínio ativo e contínuo da Alta Administração e da Presidência.</w:t>
      </w:r>
    </w:p>
    <w:p>
      <w:pPr>
        <w:pStyle w:val="ListBullet"/>
        <w:spacing w:before="40" w:after="40"/>
        <w:ind w:firstLine="0"/>
      </w:pPr>
      <w:r>
        <w:t>Garantia de alocação tempestiva dos recursos orçamentários previstos.</w:t>
      </w:r>
    </w:p>
    <w:p>
      <w:pPr>
        <w:pStyle w:val="ListBullet"/>
        <w:spacing w:before="40" w:after="40"/>
        <w:ind w:firstLine="0"/>
      </w:pPr>
      <w:r>
        <w:t>Engajamento das áreas usuárias na definição de requisitos e testes.</w:t>
      </w:r>
    </w:p>
    <w:p>
      <w:pPr>
        <w:pStyle w:val="ListBullet"/>
        <w:spacing w:before="40" w:after="40"/>
        <w:ind w:firstLine="0"/>
      </w:pPr>
      <w:r>
        <w:t>Programa contínuo de gestão de mudanças corporativas e capacitação técnica das equipes.</w:t>
      </w:r>
    </w:p>
    <w:p>
      <w:pPr>
        <w:pStyle w:val="Heading2"/>
      </w:pPr>
      <w:r>
        <w:t>9.4 Matriz de Benefícios Esperados</w:t>
      </w:r>
    </w:p>
    <w:p>
      <w:r>
        <w:t>A implementação completa deste plano proporcionará os seguintes benefícios diretos à organização:</w:t>
        <w:br/>
        <w:t>1. Mitigação expressiva de riscos de indisponibilidade e penalidades de LGPD/compliance;</w:t>
        <w:br/>
        <w:t>2. Aumento na agilidade de lançamento de novos produtos e serviços digitais;</w:t>
        <w:br/>
        <w:t>3. Maior transparência, previsibilidade orçamentária e governança nos investimentos em TIC.</w:t>
      </w:r>
    </w:p>
    <w:p>
      <w:r>
        <w:br w:type="page"/>
      </w:r>
    </w:p>
    <w:p>
      <w:pPr>
        <w:pStyle w:val="TítuloNãoNumerado"/>
      </w:pPr>
      <w:r>
        <w:t>REFERÊNCIAS</w:t>
      </w:r>
    </w:p>
    <w:p>
      <w:pPr>
        <w:spacing w:before="120" w:after="120" w:line="240" w:lineRule="auto"/>
        <w:ind w:left="0" w:firstLine="0"/>
        <w:jc w:val="left"/>
      </w:pPr>
      <w:r>
        <w:t>ASSOCIAÇÃO BRASILEIRA DE NORMAS TÉCNICAS. NBR 14724: Informação e documentação — Trabalhos acadêmicos — Apresentação. Rio de Janeiro: ABNT, 2011.</w:t>
      </w:r>
    </w:p>
    <w:p>
      <w:pPr>
        <w:spacing w:before="120" w:after="120" w:line="240" w:lineRule="auto"/>
        <w:ind w:left="0" w:firstLine="0"/>
        <w:jc w:val="left"/>
      </w:pPr>
      <w:r>
        <w:t>ASSOCIAÇÃO BRASILEIRA DE NORMAS TÉCNICAS. NBR 6023: Informação e documentação — Referências — Elaboração. Rio de Janeiro: ABNT, 2018.</w:t>
      </w:r>
    </w:p>
    <w:p>
      <w:pPr>
        <w:spacing w:before="120" w:after="120" w:line="240" w:lineRule="auto"/>
        <w:ind w:left="0" w:firstLine="0"/>
        <w:jc w:val="left"/>
      </w:pPr>
      <w:r>
        <w:t>ASSOCIAÇÃO BRASILEIRA DE NORMAS TÉCNICAS. NBR ISO/IEC 27001: Tecnologia da informação — Técnicas de segurança — Sistemas de gestão da segurança da informação — Requisitos. Rio de Janeiro: ABNT, 2013.</w:t>
      </w:r>
    </w:p>
    <w:p>
      <w:pPr>
        <w:spacing w:before="120" w:after="120" w:line="240" w:lineRule="auto"/>
        <w:ind w:left="0" w:firstLine="0"/>
        <w:jc w:val="left"/>
      </w:pPr>
      <w:r>
        <w:t>BITTENCOURT, Carlos Magno Andriolli. Governança corporativa e compliance: planejamento e gestão estratégica. Curitiba: Contentus, 2020.</w:t>
      </w:r>
    </w:p>
    <w:p>
      <w:pPr>
        <w:spacing w:before="120" w:after="120" w:line="240" w:lineRule="auto"/>
        <w:ind w:left="0" w:firstLine="0"/>
        <w:jc w:val="left"/>
      </w:pPr>
      <w:r>
        <w:t>BRASIL. Lei nº 13.709, de 14 de agosto de 2018. Dispõe sobre a proteção de dados pessoais (Lei Geral de Proteção de Dados Pessoais - LGPD). Brasília, DF: Presidência da República, 2018.</w:t>
      </w:r>
    </w:p>
    <w:p>
      <w:pPr>
        <w:spacing w:before="120" w:after="120" w:line="240" w:lineRule="auto"/>
        <w:ind w:left="0" w:firstLine="0"/>
        <w:jc w:val="left"/>
      </w:pPr>
      <w:r>
        <w:t>FERNANDES, Aguinaldo Aragon; ABREU, Vladimir Ferraz. Implantando a governança de TI: da estratégia à gestão de processos e serviços. 4. ed. Rio de Janeiro: Brasport, 2014.</w:t>
      </w:r>
    </w:p>
    <w:p>
      <w:pPr>
        <w:spacing w:before="120" w:after="120" w:line="240" w:lineRule="auto"/>
        <w:ind w:left="0" w:firstLine="0"/>
        <w:jc w:val="left"/>
      </w:pPr>
      <w:r>
        <w:t>ISACA. COBIT 2019 Framework: Governance and Management Objectives. Schaumburg: ISACA, 2019.</w:t>
      </w:r>
    </w:p>
    <w:p>
      <w:pPr>
        <w:spacing w:before="120" w:after="120" w:line="240" w:lineRule="auto"/>
        <w:ind w:left="0" w:firstLine="0"/>
        <w:jc w:val="left"/>
      </w:pPr>
      <w:r>
        <w:t>ISO/IEC. ISO/IEC 38500: Corporate governance of information technology. Geneva: ISO/IEC, 2015.</w:t>
      </w:r>
    </w:p>
    <w:p>
      <w:pPr>
        <w:pStyle w:val="TítuloNãoNumerado"/>
      </w:pPr>
      <w:r>
        <w:t>APÊNDICE A – QUESTIONÁRIO DE AVALIAÇÃO DE MATURIDADE DE TI</w:t>
      </w:r>
    </w:p>
    <w:p>
      <w:r>
        <w:t>[Inclua aqui formulários, checklists ou pesquisas de clima/maturidade aplicados internamente durante a fase de diagnóstico AS-IS].</w:t>
      </w:r>
    </w:p>
    <w:p>
      <w:pPr>
        <w:pStyle w:val="TítuloNãoNumerado"/>
      </w:pPr>
      <w:r>
        <w:t>ANEXO A – PORTARIA DE INSTITUIÇÃO DO COMITÊ DE TI</w:t>
      </w:r>
    </w:p>
    <w:p>
      <w:r>
        <w:t>[Anexe aqui a cópia da Portaria, Resolução ou ato normativo oficial que instituiu o Comitê Estratégico de TI na empresa].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firstLine="0"/>
      <w:jc w:val="right"/>
    </w:pPr>
    <w: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="0"/>
      <w:jc w:val="left"/>
      <w:outlineLvl w:val="3"/>
    </w:pPr>
    <w:rPr>
      <w:rFonts w:asciiTheme="majorHAnsi" w:eastAsiaTheme="majorEastAsia" w:hAnsiTheme="majorHAnsi" w:cstheme="majorBidi" w:ascii="Arial" w:hAnsi="Arial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itação">
    <w:name w:val="Citação"/>
    <w:pPr>
      <w:spacing w:line="240" w:lineRule="auto" w:before="120" w:after="120"/>
      <w:ind w:left="2268" w:firstLine="0"/>
      <w:jc w:val="both"/>
    </w:pPr>
    <w:rPr>
      <w:rFonts w:ascii="Arial" w:hAnsi="Arial"/>
      <w:color w:val="000000"/>
      <w:sz w:val="20"/>
    </w:rPr>
  </w:style>
  <w:style w:type="paragraph" w:customStyle="1" w:styleId="Instrução">
    <w:name w:val="Instrução"/>
    <w:pPr>
      <w:spacing w:line="276" w:lineRule="auto" w:before="80" w:after="160"/>
      <w:ind w:firstLine="0"/>
      <w:jc w:val="left"/>
    </w:pPr>
    <w:rPr>
      <w:rFonts w:ascii="Arial" w:hAnsi="Arial"/>
      <w:i/>
      <w:color w:val="1F497D"/>
      <w:sz w:val="20"/>
    </w:rPr>
  </w:style>
  <w:style w:type="paragraph" w:customStyle="1" w:styleId="TítuloNãoNumerado">
    <w:name w:val="Título Não Numerado"/>
    <w:pPr>
      <w:keepNext/>
      <w:spacing w:line="360" w:lineRule="auto" w:before="360" w:after="240"/>
      <w:ind w:firstLine="0"/>
      <w:jc w:val="center"/>
    </w:pPr>
    <w:rPr>
      <w:rFonts w:ascii="Arial" w:hAnsi="Arial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