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  <w:jc w:val="center"/>
      </w:pPr>
      <w:r>
        <w:rPr>
          <w:rFonts w:ascii="Arial" w:hAnsi="Arial"/>
          <w:b/>
          <w:color w:val="111827"/>
          <w:sz w:val="40"/>
        </w:rPr>
        <w:t>SaveFunds - Workflows applicatifs</w:t>
      </w:r>
    </w:p>
    <w:p>
      <w:pPr>
        <w:spacing w:after="280" w:line="264" w:lineRule="auto"/>
        <w:jc w:val="center"/>
      </w:pPr>
      <w:r>
        <w:rPr>
          <w:rFonts w:ascii="Arial" w:hAnsi="Arial"/>
          <w:b w:val="0"/>
          <w:color w:val="4B5563"/>
          <w:sz w:val="22"/>
        </w:rPr>
        <w:t>Version concrète alignée sur le code actuel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648"/>
      </w:tblGrid>
      <w:tr>
        <w:tc>
          <w:tcPr>
            <w:tcW w:type="dxa" w:w="9648"/>
            <w:shd w:fill="F9FAF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8"/>
              </w:rPr>
              <w:t>Objectif</w:t>
            </w:r>
          </w:p>
        </w:tc>
      </w:tr>
      <w:tr>
        <w:tc>
          <w:tcPr>
            <w:tcW w:type="dxa" w:w="9648"/>
            <w:shd w:fill="F9FAF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Décrire le parcours utilisateur réel de SaveFunds après refonte: ce qui est déjà codé, ce qui est partiellement codé, et ce qui reste prévu pour une version production.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2160"/>
            <w:shd w:fill="E5E7E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Sujet</w:t>
            </w:r>
          </w:p>
        </w:tc>
        <w:tc>
          <w:tcPr>
            <w:tcW w:type="dxa" w:w="7200"/>
            <w:shd w:fill="E5E7E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Description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Application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Vigilance financière pour PME/SRL belges</w:t>
            </w:r>
          </w:p>
        </w:tc>
      </w:tr>
      <w:tr>
        <w:tc>
          <w:tcPr>
            <w:tcW w:type="dxa" w:w="2160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Utilisateurs</w:t>
            </w:r>
          </w:p>
        </w:tc>
        <w:tc>
          <w:tcPr>
            <w:tcW w:type="dxa" w:w="7200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Dirigeant et comptable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Backend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Spring Boot / Java / PostgreSQL / Flyway</w:t>
            </w:r>
          </w:p>
        </w:tc>
      </w:tr>
      <w:tr>
        <w:tc>
          <w:tcPr>
            <w:tcW w:type="dxa" w:w="2160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Frontend</w:t>
            </w:r>
          </w:p>
        </w:tc>
        <w:tc>
          <w:tcPr>
            <w:tcW w:type="dxa" w:w="7200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Angular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Sources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BCE, BNB, bilan provisoire, banque</w:t>
            </w:r>
          </w:p>
        </w:tc>
      </w:tr>
    </w:tbl>
    <w:p/>
    <w:p>
      <w:pPr>
        <w:spacing w:before="240" w:after="100"/>
      </w:pPr>
      <w:r>
        <w:rPr>
          <w:rFonts w:ascii="Arial" w:hAnsi="Arial"/>
          <w:b/>
          <w:color w:val="111827"/>
          <w:sz w:val="30"/>
        </w:rPr>
        <w:t>1. Workflow dirigeant</w:t>
      </w:r>
    </w:p>
    <w:p>
      <w:pPr>
        <w:spacing w:after="120" w:line="264" w:lineRule="auto"/>
      </w:pPr>
      <w:r>
        <w:rPr>
          <w:rFonts w:ascii="Arial" w:hAnsi="Arial"/>
          <w:b w:val="0"/>
          <w:color w:val="111827"/>
          <w:sz w:val="20"/>
        </w:rPr>
        <w:t>Le dirigeant utilise SaveFunds pour rattacher ses entreprises, importer ou consulter des sources financières, puis simuler une décision financière.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16"/>
        <w:gridCol w:w="3216"/>
        <w:gridCol w:w="3216"/>
      </w:tblGrid>
      <w:tr>
        <w:tc>
          <w:tcPr>
            <w:tcW w:type="dxa" w:w="936"/>
            <w:shd w:fill="E5E7E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Étape</w:t>
            </w:r>
          </w:p>
        </w:tc>
        <w:tc>
          <w:tcPr>
            <w:tcW w:type="dxa" w:w="6264"/>
            <w:shd w:fill="E5E7E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Ce qui se passe</w:t>
            </w:r>
          </w:p>
        </w:tc>
        <w:tc>
          <w:tcPr>
            <w:tcW w:type="dxa" w:w="2160"/>
            <w:shd w:fill="E5E7E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État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Création de compte dirigeant puis connexion JWT.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Fait</w:t>
            </w:r>
          </w:p>
        </w:tc>
      </w:tr>
      <w:tr>
        <w:tc>
          <w:tcPr>
            <w:tcW w:type="dxa" w:w="936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</w:t>
            </w:r>
          </w:p>
        </w:tc>
        <w:tc>
          <w:tcPr>
            <w:tcW w:type="dxa" w:w="6264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Accès à Mon profil: informations utilisateur, photo, liste des entreprises.</w:t>
            </w:r>
          </w:p>
        </w:tc>
        <w:tc>
          <w:tcPr>
            <w:tcW w:type="dxa" w:w="2160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Fait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Ajout d’une entreprise: recherche BCE par nom, numéro ou commune.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Fait</w:t>
            </w:r>
          </w:p>
        </w:tc>
      </w:tr>
      <w:tr>
        <w:tc>
          <w:tcPr>
            <w:tcW w:type="dxa" w:w="936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</w:t>
            </w:r>
          </w:p>
        </w:tc>
        <w:tc>
          <w:tcPr>
            <w:tcW w:type="dxa" w:w="6264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Autocomplétion BCE dès 3 caractères.</w:t>
            </w:r>
          </w:p>
        </w:tc>
        <w:tc>
          <w:tcPr>
            <w:tcW w:type="dxa" w:w="2160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Fait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Affichage des résultats BCE: nom, numéro, statut, adresse, source.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Fait</w:t>
            </w:r>
          </w:p>
        </w:tc>
      </w:tr>
      <w:tr>
        <w:tc>
          <w:tcPr>
            <w:tcW w:type="dxa" w:w="936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6</w:t>
            </w:r>
          </w:p>
        </w:tc>
        <w:tc>
          <w:tcPr>
            <w:tcW w:type="dxa" w:w="6264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Confirmation uniquement si l’entreprise est active.</w:t>
            </w:r>
          </w:p>
        </w:tc>
        <w:tc>
          <w:tcPr>
            <w:tcW w:type="dxa" w:w="2160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Fait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7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Création de l’entreprise en base et normalisation du numéro BCE.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Fait</w:t>
            </w:r>
          </w:p>
        </w:tc>
      </w:tr>
      <w:tr>
        <w:tc>
          <w:tcPr>
            <w:tcW w:type="dxa" w:w="936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8</w:t>
            </w:r>
          </w:p>
        </w:tc>
        <w:tc>
          <w:tcPr>
            <w:tcW w:type="dxa" w:w="6264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CRUD dirigeant: modifier, supprimer, ajouter une photo entreprise.</w:t>
            </w:r>
          </w:p>
        </w:tc>
        <w:tc>
          <w:tcPr>
            <w:tcW w:type="dxa" w:w="2160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Fait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648"/>
      </w:tblGrid>
      <w:tr>
        <w:tc>
          <w:tcPr>
            <w:tcW w:type="dxa" w:w="9648"/>
            <w:shd w:fill="F9FAF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8"/>
              </w:rPr>
              <w:t>Point de réserve</w:t>
            </w:r>
          </w:p>
        </w:tc>
      </w:tr>
      <w:tr>
        <w:tc>
          <w:tcPr>
            <w:tcW w:type="dxa" w:w="9648"/>
            <w:shd w:fill="F9FAF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En production, la recherche BCE ne suffit pas à prouver qu’une entreprise appartient au dirigeant. Il faudra ajouter itsme/eID/CSAM et une vérification de mandat légal.</w:t>
            </w:r>
          </w:p>
        </w:tc>
      </w:tr>
    </w:tbl>
    <w:p/>
    <w:p>
      <w:pPr>
        <w:spacing w:before="240" w:after="100"/>
      </w:pPr>
      <w:r>
        <w:rPr>
          <w:rFonts w:ascii="Arial" w:hAnsi="Arial"/>
          <w:b/>
          <w:color w:val="111827"/>
          <w:sz w:val="30"/>
        </w:rPr>
        <w:t>2. Sources financières</w:t>
      </w:r>
    </w:p>
    <w:p>
      <w:pPr>
        <w:spacing w:after="120" w:line="264" w:lineRule="auto"/>
      </w:pPr>
      <w:r>
        <w:rPr>
          <w:rFonts w:ascii="Arial" w:hAnsi="Arial"/>
          <w:b w:val="0"/>
          <w:color w:val="111827"/>
          <w:sz w:val="20"/>
        </w:rPr>
        <w:t>Les données financières ne sont pas encodées lors de la création de l’entreprise. Elles proviennent des sources ci-dessous.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16"/>
        <w:gridCol w:w="3216"/>
        <w:gridCol w:w="3216"/>
      </w:tblGrid>
      <w:tr>
        <w:tc>
          <w:tcPr>
            <w:tcW w:type="dxa" w:w="2088"/>
            <w:shd w:fill="E5E7E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Source</w:t>
            </w:r>
          </w:p>
        </w:tc>
        <w:tc>
          <w:tcPr>
            <w:tcW w:type="dxa" w:w="5112"/>
            <w:shd w:fill="E5E7E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Utilisation</w:t>
            </w:r>
          </w:p>
        </w:tc>
        <w:tc>
          <w:tcPr>
            <w:tcW w:type="dxa" w:w="2160"/>
            <w:shd w:fill="E5E7E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État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BCE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Identifier officiellement l’entreprise et son statut.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Fait</w:t>
            </w:r>
          </w:p>
        </w:tc>
      </w:tr>
      <w:tr>
        <w:tc>
          <w:tcPr>
            <w:tcW w:type="dxa" w:w="2088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BNB / CBSO</w:t>
            </w:r>
          </w:p>
        </w:tc>
        <w:tc>
          <w:tcPr>
            <w:tcW w:type="dxa" w:w="5112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Consulter les comptes annuels et importer les chiffres disponibles.</w:t>
            </w:r>
          </w:p>
        </w:tc>
        <w:tc>
          <w:tcPr>
            <w:tcW w:type="dxa" w:w="2160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Partiel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Bilan provisoire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Importer des données comptables récentes.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CSV fait ; PDF/Word/Excel prévu</w:t>
            </w:r>
          </w:p>
        </w:tc>
      </w:tr>
      <w:tr>
        <w:tc>
          <w:tcPr>
            <w:tcW w:type="dxa" w:w="2088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Banque</w:t>
            </w:r>
          </w:p>
        </w:tc>
        <w:tc>
          <w:tcPr>
            <w:tcW w:type="dxa" w:w="5112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Importer la trésorerie réelle et les mouvements.</w:t>
            </w:r>
          </w:p>
        </w:tc>
        <w:tc>
          <w:tcPr>
            <w:tcW w:type="dxa" w:w="2160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CSV fait ; PSD2/CODA/PDF prévu</w:t>
            </w:r>
          </w:p>
        </w:tc>
      </w:tr>
    </w:tbl>
    <w:p/>
    <w:p>
      <w:pPr>
        <w:spacing w:before="240" w:after="100"/>
      </w:pPr>
      <w:r>
        <w:rPr>
          <w:rFonts w:ascii="Arial" w:hAnsi="Arial"/>
          <w:b/>
          <w:color w:val="111827"/>
          <w:sz w:val="30"/>
        </w:rPr>
        <w:t>3. Hiérarchie des données</w:t>
      </w:r>
    </w:p>
    <w:p>
      <w:pPr>
        <w:spacing w:after="120" w:line="264" w:lineRule="auto"/>
      </w:pPr>
      <w:r>
        <w:rPr>
          <w:rFonts w:ascii="Arial" w:hAnsi="Arial"/>
          <w:b w:val="0"/>
          <w:color w:val="111827"/>
          <w:sz w:val="20"/>
        </w:rPr>
        <w:t>Quand plusieurs sources existent, SaveFunds utilise la source la plus pertinente selon l’indicateur.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3168"/>
            <w:shd w:fill="E5E7E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Indicateur</w:t>
            </w:r>
          </w:p>
        </w:tc>
        <w:tc>
          <w:tcPr>
            <w:tcW w:type="dxa" w:w="6192"/>
            <w:shd w:fill="E5E7E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Ordre de priorité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Trésorerie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Banque &gt; bilan provisoire &gt; BNB</w:t>
            </w:r>
          </w:p>
        </w:tc>
      </w:tr>
      <w:tr>
        <w:tc>
          <w:tcPr>
            <w:tcW w:type="dxa" w:w="3168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Chiffre d’affaires / charges</w:t>
            </w:r>
          </w:p>
        </w:tc>
        <w:tc>
          <w:tcPr>
            <w:tcW w:type="dxa" w:w="6192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Bilan provisoire &gt; BNB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Compte courant dirigeant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Banque &gt; bilan provisoire &gt; BNB</w:t>
            </w:r>
          </w:p>
        </w:tc>
      </w:tr>
      <w:tr>
        <w:tc>
          <w:tcPr>
            <w:tcW w:type="dxa" w:w="3168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Dettes / créances</w:t>
            </w:r>
          </w:p>
        </w:tc>
        <w:tc>
          <w:tcPr>
            <w:tcW w:type="dxa" w:w="6192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Bilan provisoire &gt; BNB</w:t>
            </w:r>
          </w:p>
        </w:tc>
      </w:tr>
    </w:tbl>
    <w:p/>
    <w:p>
      <w:pPr>
        <w:spacing w:before="240" w:after="100"/>
      </w:pPr>
      <w:r>
        <w:rPr>
          <w:rFonts w:ascii="Arial" w:hAnsi="Arial"/>
          <w:b/>
          <w:color w:val="111827"/>
          <w:sz w:val="30"/>
        </w:rPr>
        <w:t>4. Simulation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16"/>
        <w:gridCol w:w="3216"/>
        <w:gridCol w:w="3216"/>
      </w:tblGrid>
      <w:tr>
        <w:tc>
          <w:tcPr>
            <w:tcW w:type="dxa" w:w="936"/>
            <w:shd w:fill="E5E7E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Étape</w:t>
            </w:r>
          </w:p>
        </w:tc>
        <w:tc>
          <w:tcPr>
            <w:tcW w:type="dxa" w:w="6264"/>
            <w:shd w:fill="E5E7E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Ce qui se passe</w:t>
            </w:r>
          </w:p>
        </w:tc>
        <w:tc>
          <w:tcPr>
            <w:tcW w:type="dxa" w:w="2160"/>
            <w:shd w:fill="E5E7E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État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 dirigeant choisit l’entreprise à analyser.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Fait</w:t>
            </w:r>
          </w:p>
        </w:tc>
      </w:tr>
      <w:tr>
        <w:tc>
          <w:tcPr>
            <w:tcW w:type="dxa" w:w="936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</w:t>
            </w:r>
          </w:p>
        </w:tc>
        <w:tc>
          <w:tcPr>
            <w:tcW w:type="dxa" w:w="6264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Il laisse la source automatique ou force une source disponible.</w:t>
            </w:r>
          </w:p>
        </w:tc>
        <w:tc>
          <w:tcPr>
            <w:tcW w:type="dxa" w:w="2160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Fait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Il choisit le type d’opération: retrait, paiement fournisseur ou dépense exceptionnelle.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Fait</w:t>
            </w:r>
          </w:p>
        </w:tc>
      </w:tr>
      <w:tr>
        <w:tc>
          <w:tcPr>
            <w:tcW w:type="dxa" w:w="936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</w:t>
            </w:r>
          </w:p>
        </w:tc>
        <w:tc>
          <w:tcPr>
            <w:tcW w:type="dxa" w:w="6264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Il saisit le montant.</w:t>
            </w:r>
          </w:p>
        </w:tc>
        <w:tc>
          <w:tcPr>
            <w:tcW w:type="dxa" w:w="2160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Fait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 moteur calcule les indicateurs après opération.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Fait</w:t>
            </w:r>
          </w:p>
        </w:tc>
      </w:tr>
      <w:tr>
        <w:tc>
          <w:tcPr>
            <w:tcW w:type="dxa" w:w="936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6</w:t>
            </w:r>
          </w:p>
        </w:tc>
        <w:tc>
          <w:tcPr>
            <w:tcW w:type="dxa" w:w="6264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Résultat VERT / ORANGE / ROUGE avec explications.</w:t>
            </w:r>
          </w:p>
        </w:tc>
        <w:tc>
          <w:tcPr>
            <w:tcW w:type="dxa" w:w="2160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Fait</w:t>
            </w:r>
          </w:p>
        </w:tc>
      </w:tr>
    </w:tbl>
    <w:p/>
    <w:p>
      <w:pPr>
        <w:spacing w:before="240" w:after="100"/>
      </w:pPr>
      <w:r>
        <w:rPr>
          <w:rFonts w:ascii="Arial" w:hAnsi="Arial"/>
          <w:b/>
          <w:color w:val="111827"/>
          <w:sz w:val="30"/>
        </w:rPr>
        <w:t>5. Workflow comptable</w:t>
      </w:r>
    </w:p>
    <w:p>
      <w:pPr>
        <w:spacing w:after="120" w:line="264" w:lineRule="auto"/>
      </w:pPr>
      <w:r>
        <w:rPr>
          <w:rFonts w:ascii="Arial" w:hAnsi="Arial"/>
          <w:b w:val="0"/>
          <w:color w:val="111827"/>
          <w:sz w:val="20"/>
        </w:rPr>
        <w:t>Le comptable utilise SaveFunds comme outil de suivi d’un portefeuille clients. L’objectif est de repérer les dossiers à risque avant qu’ils deviennent critiques.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16"/>
        <w:gridCol w:w="3216"/>
        <w:gridCol w:w="3216"/>
      </w:tblGrid>
      <w:tr>
        <w:tc>
          <w:tcPr>
            <w:tcW w:type="dxa" w:w="936"/>
            <w:shd w:fill="E5E7E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Étape</w:t>
            </w:r>
          </w:p>
        </w:tc>
        <w:tc>
          <w:tcPr>
            <w:tcW w:type="dxa" w:w="6264"/>
            <w:shd w:fill="E5E7E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Ce qui se passe</w:t>
            </w:r>
          </w:p>
        </w:tc>
        <w:tc>
          <w:tcPr>
            <w:tcW w:type="dxa" w:w="2160"/>
            <w:shd w:fill="E5E7E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État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Connexion avec rôle COMPTABLE.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Fait</w:t>
            </w:r>
          </w:p>
        </w:tc>
      </w:tr>
      <w:tr>
        <w:tc>
          <w:tcPr>
            <w:tcW w:type="dxa" w:w="936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</w:t>
            </w:r>
          </w:p>
        </w:tc>
        <w:tc>
          <w:tcPr>
            <w:tcW w:type="dxa" w:w="6264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Affichage d’un dashboard portefeuille.</w:t>
            </w:r>
          </w:p>
        </w:tc>
        <w:tc>
          <w:tcPr>
            <w:tcW w:type="dxa" w:w="2160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Fait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Tri des dossiers selon le risque: rouge, orange, vert.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Fait</w:t>
            </w:r>
          </w:p>
        </w:tc>
      </w:tr>
      <w:tr>
        <w:tc>
          <w:tcPr>
            <w:tcW w:type="dxa" w:w="936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</w:t>
            </w:r>
          </w:p>
        </w:tc>
        <w:tc>
          <w:tcPr>
            <w:tcW w:type="dxa" w:w="6264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Consultation des sources, scores et alertes par client.</w:t>
            </w:r>
          </w:p>
        </w:tc>
        <w:tc>
          <w:tcPr>
            <w:tcW w:type="dxa" w:w="2160"/>
            <w:vAlign w:val="top"/>
            <w:shd w:fill="F9FAFB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Partiel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</w:t>
            </w:r>
          </w:p>
        </w:tc>
        <w:tc>
          <w:tcPr>
            <w:tcW w:type="dxa" w:w="62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Validation d’un bilan provisoire, notes internes, validation sous condition.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Prévu</w:t>
            </w:r>
          </w:p>
        </w:tc>
      </w:tr>
    </w:tbl>
    <w:p/>
    <w:p>
      <w:pPr>
        <w:spacing w:before="240" w:after="100"/>
      </w:pPr>
      <w:r>
        <w:rPr>
          <w:rFonts w:ascii="Arial" w:hAnsi="Arial"/>
          <w:b/>
          <w:color w:val="111827"/>
          <w:sz w:val="30"/>
        </w:rPr>
        <w:t>6. Audit et sécurité</w:t>
      </w:r>
    </w:p>
    <w:p>
      <w:pPr>
        <w:pStyle w:val="ListBullet"/>
        <w:spacing w:after="60"/>
      </w:pPr>
      <w:r>
        <w:rPr>
          <w:rFonts w:ascii="Arial" w:hAnsi="Arial"/>
          <w:color w:val="111827"/>
          <w:sz w:val="20"/>
        </w:rPr>
        <w:t>Authentification JWT.</w:t>
      </w:r>
    </w:p>
    <w:p>
      <w:pPr>
        <w:pStyle w:val="ListBullet"/>
        <w:spacing w:after="60"/>
      </w:pPr>
      <w:r>
        <w:rPr>
          <w:rFonts w:ascii="Arial" w:hAnsi="Arial"/>
          <w:color w:val="111827"/>
          <w:sz w:val="20"/>
        </w:rPr>
        <w:t>Mots de passe hachés avec BCrypt.</w:t>
      </w:r>
    </w:p>
    <w:p>
      <w:pPr>
        <w:pStyle w:val="ListBullet"/>
        <w:spacing w:after="60"/>
      </w:pPr>
      <w:r>
        <w:rPr>
          <w:rFonts w:ascii="Arial" w:hAnsi="Arial"/>
          <w:color w:val="111827"/>
          <w:sz w:val="20"/>
        </w:rPr>
        <w:t>Séparation des rôles DIRIGEANT et COMPTABLE.</w:t>
      </w:r>
    </w:p>
    <w:p>
      <w:pPr>
        <w:pStyle w:val="ListBullet"/>
        <w:spacing w:after="60"/>
      </w:pPr>
      <w:r>
        <w:rPr>
          <w:rFonts w:ascii="Arial" w:hAnsi="Arial"/>
          <w:color w:val="111827"/>
          <w:sz w:val="20"/>
        </w:rPr>
        <w:t>Contrôle d’accès: un dirigeant ne consulte que ses entreprises.</w:t>
      </w:r>
    </w:p>
    <w:p>
      <w:pPr>
        <w:pStyle w:val="ListBullet"/>
        <w:spacing w:after="60"/>
      </w:pPr>
      <w:r>
        <w:rPr>
          <w:rFonts w:ascii="Arial" w:hAnsi="Arial"/>
          <w:color w:val="111827"/>
          <w:sz w:val="20"/>
        </w:rPr>
        <w:t>Journalisation des imports, simulations et consultations sensibles.</w:t>
      </w:r>
    </w:p>
    <w:p>
      <w:pPr>
        <w:spacing w:before="240" w:after="100"/>
      </w:pPr>
      <w:r>
        <w:rPr>
          <w:rFonts w:ascii="Arial" w:hAnsi="Arial"/>
          <w:b/>
          <w:color w:val="111827"/>
          <w:sz w:val="30"/>
        </w:rPr>
        <w:t>7. Résumé honnête pour la défense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824"/>
        <w:gridCol w:w="4824"/>
      </w:tblGrid>
      <w:tr>
        <w:tc>
          <w:tcPr>
            <w:tcW w:type="dxa" w:w="4680"/>
            <w:shd w:fill="E5E7E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Déjà démontrable</w:t>
            </w:r>
          </w:p>
        </w:tc>
        <w:tc>
          <w:tcPr>
            <w:tcW w:type="dxa" w:w="4680"/>
            <w:shd w:fill="E5E7E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À présenter comme évolution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Authentification, BCE, autocomplétion, CRUD entreprise, sources, simulation, audit.</w:t>
            </w:r>
          </w:p>
        </w:tc>
        <w:tc>
          <w:tcPr>
            <w:tcW w:type="dxa" w:w="468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itsme/eID/CSAM, PSD2 bancaire, parsing complet PDF/Word/Excel, validations comptables avancées.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648"/>
      </w:tblGrid>
      <w:tr>
        <w:tc>
          <w:tcPr>
            <w:tcW w:type="dxa" w:w="9648"/>
            <w:shd w:fill="F9FAF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8"/>
              </w:rPr>
              <w:t>Message clé</w:t>
            </w:r>
          </w:p>
        </w:tc>
      </w:tr>
      <w:tr>
        <w:tc>
          <w:tcPr>
            <w:tcW w:type="dxa" w:w="9648"/>
            <w:shd w:fill="F9FAFB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La nouvelle version de SaveFunds n’est plus un simple calculateur. C’est un workflow de vigilance financière qui part de données officielles, consolide les sources disponibles et produit une décision argumentée.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4B5563"/>
        <w:sz w:val="16"/>
      </w:rPr>
      <w:t>Juillet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SaveFunds - Workflows applicatifs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