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Brewin</w:t>
      </w:r>
      <w:r>
        <w:t xml:space="preserve"> </w:t>
      </w:r>
      <w:r>
        <w:t xml:space="preserve">Meta</w:t>
      </w:r>
      <w:r>
        <w:t xml:space="preserve"> </w:t>
      </w:r>
      <w:r>
        <w:t xml:space="preserve">Analysis</w:t>
      </w:r>
    </w:p>
    <w:p>
      <w:pPr>
        <w:pStyle w:val="Author"/>
      </w:pPr>
      <w:r>
        <w:t xml:space="preserve">Andy</w:t>
      </w:r>
      <w:r>
        <w:t xml:space="preserve"> </w:t>
      </w:r>
      <w:r>
        <w:t xml:space="preserve">P.</w:t>
      </w:r>
      <w:r>
        <w:t xml:space="preserve"> </w:t>
      </w:r>
      <w:r>
        <w:t xml:space="preserve">Field</w:t>
      </w:r>
    </w:p>
    <w:p>
      <w:pPr>
        <w:pStyle w:val="Date"/>
      </w:pPr>
      <w:r>
        <w:t xml:space="preserve">2023-12-15</w:t>
      </w:r>
    </w:p>
    <w:bookmarkStart w:id="20" w:name="methods"/>
    <w:p>
      <w:pPr>
        <w:pStyle w:val="Heading2"/>
      </w:pPr>
      <w:r>
        <w:t xml:space="preserve">Methods</w:t>
      </w:r>
    </w:p>
    <w:bookmarkEnd w:id="20"/>
    <w:bookmarkStart w:id="25" w:name="analysis-plan"/>
    <w:p>
      <w:pPr>
        <w:pStyle w:val="Heading2"/>
      </w:pPr>
      <w:r>
        <w:t xml:space="preserve">Analysis plan</w:t>
      </w:r>
    </w:p>
    <w:p>
      <w:pPr>
        <w:pStyle w:val="FirstParagraph"/>
      </w:pPr>
      <w:r>
        <w:t xml:space="preserve">All analyses were conducted using R 4.3.1</w:t>
      </w:r>
      <w:r>
        <w:t xml:space="preserve"> </w:t>
      </w:r>
      <w:r>
        <w:t xml:space="preserve">(2023)</w:t>
      </w:r>
      <w:r>
        <w:t xml:space="preserve">, using the packages metafor</w:t>
      </w:r>
      <w:r>
        <w:t xml:space="preserve"> </w:t>
      </w:r>
      <w:r>
        <w:t xml:space="preserve">(Viechtbauer 2010)</w:t>
      </w:r>
      <w:r>
        <w:t xml:space="preserve">, meta</w:t>
      </w:r>
      <w:r>
        <w:t xml:space="preserve"> </w:t>
      </w:r>
      <w:r>
        <w:t xml:space="preserve">(Balduzzi, Rücker, and Schwarzer 2019)</w:t>
      </w:r>
      <w:r>
        <w:t xml:space="preserve">, and tidyverse</w:t>
      </w:r>
      <w:r>
        <w:t xml:space="preserve"> </w:t>
      </w:r>
      <w:r>
        <w:t xml:space="preserve">(Wickham et al. 2019)</w:t>
      </w:r>
      <w:r>
        <w:t xml:space="preserve"> </w:t>
      </w:r>
      <w:r>
        <w:t xml:space="preserve">for general data wrangling.</w:t>
      </w:r>
    </w:p>
    <w:bookmarkStart w:id="23" w:name="effect-sizes"/>
    <w:p>
      <w:pPr>
        <w:pStyle w:val="Heading3"/>
      </w:pPr>
      <w:r>
        <w:t xml:space="preserve">Effect Sizes</w:t>
      </w:r>
    </w:p>
    <w:p>
      <w:pPr>
        <w:pStyle w:val="FirstParagraph"/>
      </w:pPr>
      <w:r>
        <w:t xml:space="preserve">Effect sizes were estimated for all self-report or judge-rated variables identified by study authors as assessing incoherence or disorganisation are included, along with all available contemporaneous measures of ASD/PTSD.</w:t>
      </w:r>
      <w:r>
        <w:rPr>
          <w:rStyle w:val="FootnoteReference"/>
        </w:rPr>
        <w:footnoteReference w:id="21"/>
      </w:r>
      <w:r>
        <w:t xml:space="preserve"> </w:t>
      </w:r>
      <w:r>
        <w:t xml:space="preserve">Effects that re-expressed existing effects in an alternative form were omitted. For example, where difference between ASD/PTSD and control group mean disorganisation was accompanied by the correlation between the ASD/PTSD and disorganization measures, only the effect size for the group means would be included because these effects carry essentially the same information. Effect sizes from computer-scored measures were not included because these have been criticised (rightly) as lacking any evidence of validity, face or any other kind.</w:t>
      </w:r>
    </w:p>
    <w:p>
      <w:pPr>
        <w:pStyle w:val="BodyText"/>
      </w:pPr>
      <w:r>
        <w:t xml:space="preserve">The standardised mean difference,</w:t>
      </w:r>
      <w:r>
        <w:t xml:space="preserve"> </w:t>
      </w:r>
      <m:oMath>
        <m:r>
          <m:t>g</m:t>
        </m:r>
      </m:oMath>
      <w:r>
        <w:t xml:space="preserve"> </w:t>
      </w:r>
      <w:r>
        <w:t xml:space="preserve">(Hedges 1981)</w:t>
      </w:r>
      <w:r>
        <w:t xml:space="preserve">, was used as the effect size metric. This is an unbiased estimator of Cohen’s</w:t>
      </w:r>
      <w:r>
        <w:t xml:space="preserve"> </w:t>
      </w:r>
      <m:oMath>
        <m:r>
          <m:t>d</m:t>
        </m:r>
      </m:oMath>
      <w:r>
        <w:t xml:space="preserve"> </w:t>
      </w:r>
      <w:r>
        <w:t xml:space="preserve">(Cohen 1988)</w:t>
      </w:r>
      <w:r>
        <w:t xml:space="preserve"> </w:t>
      </w:r>
      <w:r>
        <w:t xml:space="preserve">calculated using the number of participants in each group (</w:t>
      </w:r>
      <m:oMath>
        <m:sSub>
          <m:e>
            <m:r>
              <m:t>n</m:t>
            </m:r>
          </m:e>
          <m:sub>
            <m:r>
              <m:t>1</m:t>
            </m:r>
          </m:sub>
        </m:sSub>
      </m:oMath>
      <w:r>
        <w:t xml:space="preserve"> </w:t>
      </w:r>
      <w:r>
        <w:t xml:space="preserve">and</w:t>
      </w:r>
      <w:r>
        <w:t xml:space="preserve"> </w:t>
      </w:r>
      <m:oMath>
        <m:sSub>
          <m:e>
            <m:r>
              <m:t>n</m:t>
            </m:r>
          </m:e>
          <m:sub>
            <m:r>
              <m:t>2</m:t>
            </m:r>
          </m:sub>
        </m:sSub>
      </m:oMath>
      <w:r>
        <w:t xml:space="preserve">), the mean score for each group (</w:t>
      </w:r>
      <m:oMath>
        <m:sSub>
          <m:e>
            <m:bar>
              <m:barPr>
                <m:pos m:val="top"/>
              </m:barPr>
              <m:e>
                <m:r>
                  <m:t>X</m:t>
                </m:r>
              </m:e>
            </m:bar>
          </m:e>
          <m:sub>
            <m:r>
              <m:t>1</m:t>
            </m:r>
          </m:sub>
        </m:sSub>
      </m:oMath>
      <w:r>
        <w:t xml:space="preserve"> </w:t>
      </w:r>
      <w:r>
        <w:t xml:space="preserve">and</w:t>
      </w:r>
      <w:r>
        <w:t xml:space="preserve"> </w:t>
      </w:r>
      <m:oMath>
        <m:sSub>
          <m:e>
            <m:bar>
              <m:barPr>
                <m:pos m:val="top"/>
              </m:barPr>
              <m:e>
                <m:r>
                  <m:t>X</m:t>
                </m:r>
              </m:e>
            </m:bar>
          </m:e>
          <m:sub>
            <m:r>
              <m:t>2</m:t>
            </m:r>
          </m:sub>
        </m:sSub>
      </m:oMath>
      <w:r>
        <w:t xml:space="preserve">) and the standard deviation for each group (</w:t>
      </w:r>
      <m:oMath>
        <m:sSub>
          <m:e>
            <m:r>
              <m:t>s</m:t>
            </m:r>
          </m:e>
          <m:sub>
            <m:r>
              <m:t>1</m:t>
            </m:r>
          </m:sub>
        </m:sSub>
      </m:oMath>
      <w:r>
        <w:t xml:space="preserve"> </w:t>
      </w:r>
      <w:r>
        <w:t xml:space="preserve">and</w:t>
      </w:r>
      <w:r>
        <w:t xml:space="preserve"> </w:t>
      </w:r>
      <m:oMath>
        <m:sSub>
          <m:e>
            <m:r>
              <m:t>s</m:t>
            </m:r>
          </m:e>
          <m:sub>
            <m:r>
              <m:t>2</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d</m:t>
                </m:r>
              </m:e>
              <m:e>
                <m:r>
                  <m:rPr>
                    <m:sty m:val="p"/>
                  </m:rPr>
                  <m:t>=</m:t>
                </m:r>
                <m:f>
                  <m:fPr>
                    <m:type m:val="bar"/>
                  </m:fPr>
                  <m:num>
                    <m:sSub>
                      <m:e>
                        <m:bar>
                          <m:barPr>
                            <m:pos m:val="top"/>
                          </m:barPr>
                          <m:e>
                            <m:r>
                              <m:t>X</m:t>
                            </m:r>
                          </m:e>
                        </m:bar>
                      </m:e>
                      <m:sub>
                        <m:r>
                          <m:t>1</m:t>
                        </m:r>
                      </m:sub>
                    </m:sSub>
                    <m:r>
                      <m:rPr>
                        <m:sty m:val="p"/>
                      </m:rPr>
                      <m:t>−</m:t>
                    </m:r>
                    <m:sSub>
                      <m:e>
                        <m:bar>
                          <m:barPr>
                            <m:pos m:val="top"/>
                          </m:barPr>
                          <m:e>
                            <m:r>
                              <m:t>X</m:t>
                            </m:r>
                          </m:e>
                        </m:bar>
                      </m:e>
                      <m:sub>
                        <m:r>
                          <m:t>2</m:t>
                        </m:r>
                      </m:sub>
                    </m:sSub>
                  </m:num>
                  <m:den>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den>
                </m:f>
              </m:e>
            </m:mr>
          </m:m>
        </m:oMath>
      </m:oMathPara>
    </w:p>
    <w:p>
      <w:pPr>
        <w:pStyle w:val="FirstParagraph"/>
      </w:pPr>
      <w:r>
        <w:t xml:space="preserve">The sampling variance of</w:t>
      </w:r>
      <w:r>
        <w:t xml:space="preserve"> </w:t>
      </w:r>
      <m:oMath>
        <m:r>
          <m:t>d</m:t>
        </m:r>
      </m:oMath>
      <w:r>
        <w:t xml:space="preserve"> </w:t>
      </w:r>
      <w:r>
        <w:t xml:space="preserve">is</w:t>
      </w:r>
    </w:p>
    <w:p>
      <w:pPr>
        <w:pStyle w:val="BodyText"/>
      </w:pPr>
      <m:oMathPara>
        <m:oMathParaPr>
          <m:jc m:val="center"/>
        </m:oMathParaPr>
        <m:oMath>
          <m:r>
            <m:t>S</m:t>
          </m:r>
          <m:sSub>
            <m:e>
              <m:r>
                <m:t>E</m:t>
              </m:r>
            </m:e>
            <m:sub>
              <m:r>
                <m:t>d</m:t>
              </m:r>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p>
                    <m:e>
                      <m:r>
                        <m:t>d</m:t>
                      </m:r>
                    </m:e>
                    <m:sup>
                      <m:r>
                        <m:t>2</m:t>
                      </m:r>
                    </m:sup>
                  </m:sSup>
                </m:num>
                <m:den>
                  <m:r>
                    <m:t>2</m:t>
                  </m:r>
                  <m:r>
                    <m:rPr>
                      <m:sty m:val="p"/>
                    </m:rPr>
                    <m:t>(</m:t>
                  </m:r>
                  <m:sSub>
                    <m:e>
                      <m:r>
                        <m:t>n</m:t>
                      </m:r>
                    </m:e>
                    <m:sub>
                      <m:r>
                        <m:t>1</m:t>
                      </m:r>
                    </m:sub>
                  </m:sSub>
                  <m:r>
                    <m:rPr>
                      <m:sty m:val="p"/>
                    </m:rPr>
                    <m:t>+</m:t>
                  </m:r>
                  <m:sSub>
                    <m:e>
                      <m:r>
                        <m:t>n</m:t>
                      </m:r>
                    </m:e>
                    <m:sub>
                      <m:r>
                        <m:t>2</m:t>
                      </m:r>
                    </m:sub>
                  </m:sSub>
                </m:den>
              </m:f>
            </m:e>
          </m:rad>
          <m:r>
            <m:rPr>
              <m:sty m:val="p"/>
            </m:rPr>
            <m:t>.</m:t>
          </m:r>
        </m:oMath>
      </m:oMathPara>
    </w:p>
    <w:p>
      <w:pPr>
        <w:pStyle w:val="FirstParagraph"/>
      </w:pPr>
      <w:r>
        <w:t xml:space="preserve">Of the 80 effect sizes, 36 could be computed from reported means and standard deviations, 11 were converted from reported</w:t>
      </w:r>
      <w:r>
        <w:t xml:space="preserve"> </w:t>
      </w:r>
      <w:r>
        <w:rPr>
          <w:iCs/>
          <w:i/>
        </w:rPr>
        <w:t xml:space="preserve">t</w:t>
      </w:r>
      <w:r>
        <w:t xml:space="preserve">-statistics of group differences, and 33 were converted from reported correlation coefficients. When a correlation coefficient had to be used, where the relevant descriptive information was available the formulae for the effect size and its standard error in</w:t>
      </w:r>
      <w:r>
        <w:t xml:space="preserve"> </w:t>
      </w:r>
      <w:r>
        <w:t xml:space="preserve">Mathur and VanderWeele (2020)</w:t>
      </w:r>
      <w:r>
        <w:t xml:space="preserve"> </w:t>
      </w:r>
      <w:r>
        <w:t xml:space="preserve">was use (</w:t>
      </w:r>
      <m:oMath>
        <m:r>
          <m:t>k</m:t>
        </m:r>
      </m:oMath>
      <w:r>
        <w:t xml:space="preserve"> </w:t>
      </w:r>
      <w:r>
        <w:t xml:space="preserve">= 6),</w:t>
      </w:r>
    </w:p>
    <w:p>
      <w:pPr>
        <w:pStyle w:val="BodyText"/>
      </w:pPr>
      <m:oMathPara>
        <m:oMathParaPr>
          <m:jc m:val="center"/>
        </m:oMathParaPr>
        <m:oMath>
          <m:m>
            <m:mPr>
              <m:baseJc m:val="center"/>
              <m:plcHide m:val="1"/>
              <m:mcs>
                <m:mc>
                  <m:mcPr>
                    <m:mcJc m:val="right"/>
                    <m:count m:val="1"/>
                  </m:mcPr>
                </m:mc>
                <m:mc>
                  <m:mcPr>
                    <m:mcJc m:val="left"/>
                    <m:count m:val="1"/>
                  </m:mcPr>
                </m:mc>
              </m:mcs>
            </m:mPr>
            <m:mr>
              <m:e>
                <m:r>
                  <m:t>d</m:t>
                </m:r>
              </m:e>
              <m:e>
                <m:r>
                  <m:rPr>
                    <m:sty m:val="p"/>
                  </m:rPr>
                  <m:t>=</m:t>
                </m:r>
                <m:f>
                  <m:fPr>
                    <m:type m:val="bar"/>
                  </m:fPr>
                  <m:num>
                    <m:r>
                      <m:t>r</m:t>
                    </m:r>
                    <m:r>
                      <m:t>Δ</m:t>
                    </m:r>
                  </m:num>
                  <m:den>
                    <m:sSub>
                      <m:e>
                        <m:r>
                          <m:t>s</m:t>
                        </m:r>
                      </m:e>
                      <m:sub>
                        <m:r>
                          <m:t>x</m:t>
                        </m:r>
                      </m:sub>
                    </m:sSub>
                    <m:rad>
                      <m:radPr>
                        <m:degHide m:val="1"/>
                      </m:radPr>
                      <m:deg/>
                      <m:e>
                        <m:r>
                          <m:t>1</m:t>
                        </m:r>
                        <m:r>
                          <m:rPr>
                            <m:sty m:val="p"/>
                          </m:rPr>
                          <m:t>−</m:t>
                        </m:r>
                        <m:sSup>
                          <m:e>
                            <m:r>
                              <m:t>r</m:t>
                            </m:r>
                          </m:e>
                          <m:sup>
                            <m:r>
                              <m:t>2</m:t>
                            </m:r>
                          </m:sup>
                        </m:sSup>
                      </m:e>
                    </m:rad>
                  </m:den>
                </m:f>
              </m:e>
            </m:mr>
            <m:mr>
              <m:e>
                <m:sSub>
                  <m:e>
                    <m:acc>
                      <m:accPr>
                        <m:chr m:val="̂"/>
                      </m:accPr>
                      <m:e>
                        <m:r>
                          <m:t>S</m:t>
                        </m:r>
                        <m:r>
                          <m:t>E</m:t>
                        </m:r>
                      </m:e>
                    </m:acc>
                  </m:e>
                  <m:sub>
                    <m:r>
                      <m:t>d</m:t>
                    </m:r>
                  </m:sub>
                </m:sSub>
              </m:e>
              <m:e>
                <m:r>
                  <m:rPr>
                    <m:sty m:val="p"/>
                  </m:rPr>
                  <m:t>=</m:t>
                </m:r>
                <m:d>
                  <m:dPr>
                    <m:begChr m:val="|"/>
                    <m:endChr m:val="|"/>
                    <m:sepChr m:val=""/>
                    <m:grow/>
                  </m:dPr>
                  <m:e>
                    <m:r>
                      <m:t>d</m:t>
                    </m:r>
                  </m:e>
                </m:d>
                <m:rad>
                  <m:radPr>
                    <m:degHide m:val="1"/>
                  </m:radPr>
                  <m:deg/>
                  <m:e>
                    <m:f>
                      <m:fPr>
                        <m:type m:val="bar"/>
                      </m:fPr>
                      <m:num>
                        <m:r>
                          <m:t>1</m:t>
                        </m:r>
                      </m:num>
                      <m:den>
                        <m:sSup>
                          <m:e>
                            <m:r>
                              <m:t>r</m:t>
                            </m:r>
                          </m:e>
                          <m:sup>
                            <m:r>
                              <m:t>2</m:t>
                            </m:r>
                          </m:sup>
                        </m:sSup>
                        <m:d>
                          <m:dPr>
                            <m:begChr m:val="("/>
                            <m:endChr m:val=")"/>
                            <m:sepChr m:val=""/>
                            <m:grow/>
                          </m:dPr>
                          <m:e>
                            <m:r>
                              <m:t>N</m:t>
                            </m:r>
                            <m:r>
                              <m:rPr>
                                <m:sty m:val="p"/>
                              </m:rPr>
                              <m:t>−</m:t>
                            </m:r>
                            <m:r>
                              <m:t>3</m:t>
                            </m:r>
                          </m:e>
                        </m:d>
                      </m:den>
                    </m:f>
                    <m:r>
                      <m:rPr>
                        <m:sty m:val="p"/>
                      </m:rPr>
                      <m:t>+</m:t>
                    </m:r>
                    <m:f>
                      <m:fPr>
                        <m:type m:val="bar"/>
                      </m:fPr>
                      <m:num>
                        <m:r>
                          <m:t>1</m:t>
                        </m:r>
                      </m:num>
                      <m:den>
                        <m:r>
                          <m:t>2</m:t>
                        </m:r>
                        <m:d>
                          <m:dPr>
                            <m:begChr m:val="("/>
                            <m:endChr m:val=")"/>
                            <m:sepChr m:val=""/>
                            <m:grow/>
                          </m:dPr>
                          <m:e>
                            <m:r>
                              <m:t>N</m:t>
                            </m:r>
                            <m:r>
                              <m:rPr>
                                <m:sty m:val="p"/>
                              </m:rPr>
                              <m:t>−</m:t>
                            </m:r>
                            <m:r>
                              <m:t>1</m:t>
                            </m:r>
                          </m:e>
                        </m:d>
                      </m:den>
                    </m:f>
                  </m:e>
                </m:rad>
              </m:e>
            </m:mr>
          </m:m>
        </m:oMath>
      </m:oMathPara>
    </w:p>
    <w:p>
      <w:pPr>
        <w:pStyle w:val="FirstParagraph"/>
      </w:pPr>
      <w:r>
        <w:t xml:space="preserve">which expresses the effect in terms of the change in disorganization resulting from an increase in the continuous measures of PTSD of</w:t>
      </w:r>
      <w:r>
        <w:t xml:space="preserve"> </w:t>
      </w:r>
      <m:oMath>
        <m:r>
          <m:t>Δ</m:t>
        </m:r>
      </m:oMath>
      <w:r>
        <w:t xml:space="preserve"> </w:t>
      </w:r>
      <w:r>
        <w:t xml:space="preserve">units. To make the resulting</w:t>
      </w:r>
      <w:r>
        <w:t xml:space="preserve"> </w:t>
      </w:r>
      <m:oMath>
        <m:r>
          <m:t>d</m:t>
        </m:r>
      </m:oMath>
      <w:r>
        <w:t xml:space="preserve"> </w:t>
      </w:r>
      <w:r>
        <w:t xml:space="preserve">comparable to studies for which</w:t>
      </w:r>
      <w:r>
        <w:t xml:space="preserve"> </w:t>
      </w:r>
      <m:oMath>
        <m:r>
          <m:t>d</m:t>
        </m:r>
      </m:oMath>
      <w:r>
        <w:t xml:space="preserve"> </w:t>
      </w:r>
      <w:r>
        <w:t xml:space="preserve">represents differences between PTSD groups,</w:t>
      </w:r>
      <w:r>
        <w:t xml:space="preserve"> </w:t>
      </w:r>
      <m:oMath>
        <m:r>
          <m:t>Δ</m:t>
        </m:r>
      </m:oMath>
      <w:r>
        <w:t xml:space="preserve"> </w:t>
      </w:r>
      <w:r>
        <w:t xml:space="preserve">was set to be the difference between mean PTSD scores in PTSD and control groups. To apply this formula, the standard deviation of the PTSD measure (</w:t>
      </w:r>
      <m:oMath>
        <m:sSub>
          <m:e>
            <m:r>
              <m:t>s</m:t>
            </m:r>
          </m:e>
          <m:sub>
            <m:r>
              <m:t>x</m:t>
            </m:r>
          </m:sub>
        </m:sSub>
      </m:oMath>
      <w:r>
        <w:t xml:space="preserve">) for the entire sample is required. Articles that did not report descriptive information for the PTSD measure for the entire sample did report it for PTSD and control subgroups allowing the whole sample variance (</w:t>
      </w:r>
      <m:oMath>
        <m:sSubSup>
          <m:e>
            <m:r>
              <m:t>s</m:t>
            </m:r>
          </m:e>
          <m:sub>
            <m:r>
              <m:rPr>
                <m:nor/>
                <m:sty m:val="p"/>
              </m:rPr>
              <m:t>combined</m:t>
            </m:r>
          </m:sub>
          <m:sup>
            <m:r>
              <m:t>2</m:t>
            </m:r>
          </m:sup>
        </m:sSubSup>
      </m:oMath>
      <w:r>
        <w:t xml:space="preserve">) to be estimated using the standard formula</w:t>
      </w:r>
      <w:r>
        <w:t xml:space="preserve"> </w:t>
      </w:r>
      <w:r>
        <w:t xml:space="preserve">(see O’Neill 2014)</w:t>
      </w:r>
      <w:r>
        <w:t xml:space="preserve">:</w:t>
      </w:r>
    </w:p>
    <w:p>
      <w:pPr>
        <w:pStyle w:val="BodyText"/>
      </w:pPr>
      <m:oMathPara>
        <m:oMathParaPr>
          <m:jc m:val="center"/>
        </m:oMathParaPr>
        <m:oMath>
          <m:sSubSup>
            <m:e>
              <m:r>
                <m:t>s</m:t>
              </m:r>
            </m:e>
            <m:sub>
              <m:r>
                <m:rPr>
                  <m:nor/>
                  <m:sty m:val="p"/>
                </m:rPr>
                <m:t>combined</m:t>
              </m:r>
            </m:sub>
            <m:sup>
              <m:r>
                <m:t>2</m:t>
              </m:r>
            </m:sup>
          </m:sSubSup>
          <m:r>
            <m:rPr>
              <m:sty m:val="p"/>
            </m:rPr>
            <m:t>=</m:t>
          </m:r>
          <m:f>
            <m:fPr>
              <m:type m:val="bar"/>
            </m:fPr>
            <m:num>
              <m:r>
                <m:t>1</m:t>
              </m:r>
            </m:num>
            <m:den>
              <m:sSub>
                <m:e>
                  <m:r>
                    <m:t>n</m:t>
                  </m:r>
                </m:e>
                <m:sub>
                  <m:r>
                    <m:t>1</m:t>
                  </m:r>
                </m:sub>
              </m:sSub>
              <m:r>
                <m:rPr>
                  <m:sty m:val="p"/>
                </m:rPr>
                <m:t>+</m:t>
              </m:r>
              <m:sSub>
                <m:e>
                  <m:r>
                    <m:t>n</m:t>
                  </m:r>
                </m:e>
                <m:sub>
                  <m:r>
                    <m:t>2</m:t>
                  </m:r>
                </m:sub>
              </m:sSub>
              <m:r>
                <m:rPr>
                  <m:sty m:val="p"/>
                </m:rPr>
                <m:t>−</m:t>
              </m:r>
              <m:r>
                <m:t>1</m:t>
              </m:r>
            </m:den>
          </m:f>
          <m:d>
            <m:dPr>
              <m:begChr m:val="["/>
              <m:endChr m:val="]"/>
              <m:sepChr m:val=""/>
              <m:grow/>
            </m:dPr>
            <m:e>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r>
                <m:rPr>
                  <m:sty m:val="p"/>
                </m:rPr>
                <m:t>+</m:t>
              </m:r>
              <m:f>
                <m:fPr>
                  <m:type m:val="bar"/>
                </m:fPr>
                <m:num>
                  <m:sSub>
                    <m:e>
                      <m:r>
                        <m:t>n</m:t>
                      </m:r>
                    </m:e>
                    <m:sub>
                      <m:r>
                        <m:t>1</m:t>
                      </m:r>
                    </m:sub>
                  </m:sSub>
                  <m:sSub>
                    <m:e>
                      <m:r>
                        <m:t>n</m:t>
                      </m:r>
                    </m:e>
                    <m:sub>
                      <m:r>
                        <m:t>2</m:t>
                      </m:r>
                    </m:sub>
                  </m:sSub>
                </m:num>
                <m:den>
                  <m:sSub>
                    <m:e>
                      <m:r>
                        <m:t>n</m:t>
                      </m:r>
                    </m:e>
                    <m:sub>
                      <m:r>
                        <m:t>1</m:t>
                      </m:r>
                    </m:sub>
                  </m:sSub>
                  <m:r>
                    <m:rPr>
                      <m:sty m:val="p"/>
                    </m:rPr>
                    <m:t>+</m:t>
                  </m:r>
                  <m:sSub>
                    <m:e>
                      <m:r>
                        <m:t>n</m:t>
                      </m:r>
                    </m:e>
                    <m:sub>
                      <m:r>
                        <m:t>2</m:t>
                      </m:r>
                    </m:sub>
                  </m:sSub>
                </m:den>
              </m:f>
              <m:sSup>
                <m:e>
                  <m:d>
                    <m:dPr>
                      <m:begChr m:val="("/>
                      <m:endChr m:val=")"/>
                      <m:sepChr m:val=""/>
                      <m:grow/>
                    </m:dPr>
                    <m:e>
                      <m:sSub>
                        <m:e>
                          <m:acc>
                            <m:accPr>
                              <m:chr m:val="‾"/>
                            </m:accPr>
                            <m:e>
                              <m:r>
                                <m:t>x</m:t>
                              </m:r>
                            </m:e>
                          </m:acc>
                        </m:e>
                        <m:sub>
                          <m:r>
                            <m:t>1</m:t>
                          </m:r>
                        </m:sub>
                      </m:sSub>
                      <m:r>
                        <m:rPr>
                          <m:sty m:val="p"/>
                        </m:rPr>
                        <m:t>−</m:t>
                      </m:r>
                      <m:sSub>
                        <m:e>
                          <m:acc>
                            <m:accPr>
                              <m:chr m:val="‾"/>
                            </m:accPr>
                            <m:e>
                              <m:r>
                                <m:t>x</m:t>
                              </m:r>
                            </m:e>
                          </m:acc>
                        </m:e>
                        <m:sub>
                          <m:r>
                            <m:t>2</m:t>
                          </m:r>
                        </m:sub>
                      </m:sSub>
                    </m:e>
                  </m:d>
                </m:e>
                <m:sup>
                  <m:r>
                    <m:t>2</m:t>
                  </m:r>
                </m:sup>
              </m:sSup>
            </m:e>
          </m:d>
        </m:oMath>
      </m:oMathPara>
    </w:p>
    <w:p>
      <w:pPr>
        <w:pStyle w:val="FirstParagraph"/>
      </w:pPr>
      <w:r>
        <w:t xml:space="preserve">in which</w:t>
      </w:r>
      <w:r>
        <w:t xml:space="preserve"> </w:t>
      </w:r>
      <m:oMath>
        <m:sSub>
          <m:e>
            <m:r>
              <m:t>n</m:t>
            </m:r>
          </m:e>
          <m:sub>
            <m:r>
              <m:t>1</m:t>
            </m:r>
          </m:sub>
        </m:sSub>
      </m:oMath>
      <w:r>
        <w:t xml:space="preserve">,</w:t>
      </w:r>
      <w:r>
        <w:t xml:space="preserve"> </w:t>
      </w:r>
      <m:oMath>
        <m:sSub>
          <m:e>
            <m:acc>
              <m:accPr>
                <m:chr m:val="‾"/>
              </m:accPr>
              <m:e>
                <m:r>
                  <m:t>x</m:t>
                </m:r>
              </m:e>
            </m:acc>
          </m:e>
          <m:sub>
            <m:r>
              <m:t>1</m:t>
            </m:r>
          </m:sub>
        </m:sSub>
      </m:oMath>
      <w:r>
        <w:t xml:space="preserve"> </w:t>
      </w:r>
      <w:r>
        <w:t xml:space="preserve">and</w:t>
      </w:r>
      <w:r>
        <w:t xml:space="preserve"> </w:t>
      </w:r>
      <m:oMath>
        <m:sSubSup>
          <m:e>
            <m:r>
              <m:t>s</m:t>
            </m:r>
          </m:e>
          <m:sub>
            <m:r>
              <m:t>1</m:t>
            </m:r>
          </m:sub>
          <m:sup>
            <m:r>
              <m:t>2</m:t>
            </m:r>
          </m:sup>
        </m:sSubSup>
      </m:oMath>
      <w:r>
        <w:t xml:space="preserve"> </w:t>
      </w:r>
      <w:r>
        <w:t xml:space="preserve">are the sample size, mean and standard deviation of the PTSD measure for the PTSD group and</w:t>
      </w:r>
      <w:r>
        <w:t xml:space="preserve"> </w:t>
      </w:r>
      <m:oMath>
        <m:sSub>
          <m:e>
            <m:r>
              <m:t>n</m:t>
            </m:r>
          </m:e>
          <m:sub>
            <m:r>
              <m:t>2</m:t>
            </m:r>
          </m:sub>
        </m:sSub>
      </m:oMath>
      <w:r>
        <w:t xml:space="preserve">,</w:t>
      </w:r>
      <w:r>
        <w:t xml:space="preserve"> </w:t>
      </w:r>
      <m:oMath>
        <m:sSub>
          <m:e>
            <m:acc>
              <m:accPr>
                <m:chr m:val="‾"/>
              </m:accPr>
              <m:e>
                <m:r>
                  <m:t>x</m:t>
                </m:r>
              </m:e>
            </m:acc>
          </m:e>
          <m:sub>
            <m:r>
              <m:t>2</m:t>
            </m:r>
          </m:sub>
        </m:sSub>
      </m:oMath>
      <w:r>
        <w:t xml:space="preserve"> </w:t>
      </w:r>
      <w:r>
        <w:t xml:space="preserve">and</w:t>
      </w:r>
      <w:r>
        <w:t xml:space="preserve"> </w:t>
      </w:r>
      <m:oMath>
        <m:sSubSup>
          <m:e>
            <m:r>
              <m:t>s</m:t>
            </m:r>
          </m:e>
          <m:sub>
            <m:r>
              <m:t>2</m:t>
            </m:r>
          </m:sub>
          <m:sup>
            <m:r>
              <m:t>2</m:t>
            </m:r>
          </m:sup>
        </m:sSubSup>
      </m:oMath>
      <w:r>
        <w:t xml:space="preserve"> </w:t>
      </w:r>
      <w:r>
        <w:t xml:space="preserve">are the corresponding values for the control group. Where this information was not available the formulae to convert a point biserial correlation was used (</w:t>
      </w:r>
      <m:oMath>
        <m:r>
          <m:t>k</m:t>
        </m:r>
      </m:oMath>
      <w:r>
        <w:t xml:space="preserve"> </w:t>
      </w:r>
      <w:r>
        <w:t xml:space="preserve">=</w:t>
      </w:r>
      <w:r>
        <w:t xml:space="preserve"> </w:t>
      </w:r>
      <w:r>
        <w:t xml:space="preserve">27),</w:t>
      </w:r>
    </w:p>
    <w:p>
      <w:pPr>
        <w:pStyle w:val="BodyText"/>
      </w:pPr>
      <m:oMathPara>
        <m:oMathParaPr>
          <m:jc m:val="center"/>
        </m:oMathParaPr>
        <m:oMath>
          <m:m>
            <m:mPr>
              <m:baseJc m:val="center"/>
              <m:plcHide m:val="1"/>
              <m:mcs>
                <m:mc>
                  <m:mcPr>
                    <m:mcJc m:val="right"/>
                    <m:count m:val="1"/>
                  </m:mcPr>
                </m:mc>
                <m:mc>
                  <m:mcPr>
                    <m:mcJc m:val="left"/>
                    <m:count m:val="1"/>
                  </m:mcPr>
                </m:mc>
              </m:mcs>
            </m:mPr>
            <m:mr>
              <m:e>
                <m:r>
                  <m:t>d</m:t>
                </m:r>
              </m:e>
              <m:e>
                <m:r>
                  <m:rPr>
                    <m:sty m:val="p"/>
                  </m:rPr>
                  <m:t>=</m:t>
                </m:r>
                <m:f>
                  <m:fPr>
                    <m:type m:val="bar"/>
                  </m:fPr>
                  <m:num>
                    <m:r>
                      <m:t>2</m:t>
                    </m:r>
                    <m:r>
                      <m:t>r</m:t>
                    </m:r>
                  </m:num>
                  <m:den>
                    <m:rad>
                      <m:radPr>
                        <m:degHide m:val="1"/>
                      </m:radPr>
                      <m:deg/>
                      <m:e>
                        <m:r>
                          <m:t>1</m:t>
                        </m:r>
                        <m:r>
                          <m:rPr>
                            <m:sty m:val="p"/>
                          </m:rPr>
                          <m:t>−</m:t>
                        </m:r>
                        <m:sSup>
                          <m:e>
                            <m:r>
                              <m:t>r</m:t>
                            </m:r>
                          </m:e>
                          <m:sup>
                            <m:r>
                              <m:t>2</m:t>
                            </m:r>
                          </m:sup>
                        </m:sSup>
                      </m:e>
                    </m:rad>
                  </m:den>
                </m:f>
              </m:e>
            </m:mr>
            <m:mr>
              <m:e>
                <m:sSub>
                  <m:e>
                    <m:acc>
                      <m:accPr>
                        <m:chr m:val="̂"/>
                      </m:accPr>
                      <m:e>
                        <m:r>
                          <m:t>S</m:t>
                        </m:r>
                        <m:r>
                          <m:t>E</m:t>
                        </m:r>
                      </m:e>
                    </m:acc>
                  </m:e>
                  <m:sub>
                    <m:r>
                      <m:t>d</m:t>
                    </m:r>
                  </m:sub>
                </m:sSub>
              </m:e>
              <m:e>
                <m:r>
                  <m:rPr>
                    <m:sty m:val="p"/>
                  </m:rPr>
                  <m:t>=</m:t>
                </m:r>
                <m:f>
                  <m:fPr>
                    <m:type m:val="bar"/>
                  </m:fPr>
                  <m:num>
                    <m:r>
                      <m:t>2</m:t>
                    </m:r>
                  </m:num>
                  <m:den>
                    <m:rad>
                      <m:radPr>
                        <m:degHide m:val="1"/>
                      </m:radPr>
                      <m:deg/>
                      <m:e>
                        <m:d>
                          <m:dPr>
                            <m:begChr m:val="("/>
                            <m:endChr m:val=")"/>
                            <m:sepChr m:val=""/>
                            <m:grow/>
                          </m:dPr>
                          <m:e>
                            <m:r>
                              <m:t>N</m:t>
                            </m:r>
                            <m:r>
                              <m:rPr>
                                <m:sty m:val="p"/>
                              </m:rPr>
                              <m:t>−</m:t>
                            </m:r>
                            <m:r>
                              <m:t>1</m:t>
                            </m:r>
                          </m:e>
                        </m:d>
                        <m:d>
                          <m:dPr>
                            <m:begChr m:val="("/>
                            <m:endChr m:val=")"/>
                            <m:sepChr m:val=""/>
                            <m:grow/>
                          </m:dPr>
                          <m:e>
                            <m:r>
                              <m:t>1</m:t>
                            </m:r>
                            <m:r>
                              <m:rPr>
                                <m:sty m:val="p"/>
                              </m:rPr>
                              <m:t>−</m:t>
                            </m:r>
                            <m:sSup>
                              <m:e>
                                <m:r>
                                  <m:t>r</m:t>
                                </m:r>
                              </m:e>
                              <m:sup>
                                <m:r>
                                  <m:t>2</m:t>
                                </m:r>
                              </m:sup>
                            </m:sSup>
                          </m:e>
                        </m:d>
                      </m:e>
                    </m:rad>
                  </m:den>
                </m:f>
                <m:r>
                  <m:rPr>
                    <m:sty m:val="p"/>
                  </m:rPr>
                  <m:t>.</m:t>
                </m:r>
              </m:e>
            </m:mr>
          </m:m>
        </m:oMath>
      </m:oMathPara>
    </w:p>
    <w:p>
      <w:pPr>
        <w:pStyle w:val="FirstParagraph"/>
      </w:pPr>
      <w:r>
        <w:t xml:space="preserve">In effect, this is the same as applying the equation in</w:t>
      </w:r>
      <w:r>
        <w:t xml:space="preserve"> </w:t>
      </w:r>
      <w:r>
        <w:t xml:space="preserve">Mathur and VanderWeele (2020)</w:t>
      </w:r>
      <w:r>
        <w:t xml:space="preserve"> </w:t>
      </w:r>
      <w:r>
        <w:t xml:space="preserve">but with</w:t>
      </w:r>
      <w:r>
        <w:t xml:space="preserve"> </w:t>
      </w:r>
      <m:oMath>
        <m:r>
          <m:t>Δ</m:t>
        </m:r>
        <m:r>
          <m:rPr>
            <m:sty m:val="p"/>
          </m:rPr>
          <m:t>=</m:t>
        </m:r>
        <m:r>
          <m:t>2</m:t>
        </m:r>
        <m:sSub>
          <m:e>
            <m:r>
              <m:t>s</m:t>
            </m:r>
          </m:e>
          <m:sub>
            <m:r>
              <m:t>x</m:t>
            </m:r>
          </m:sub>
        </m:sSub>
      </m:oMath>
      <w:r>
        <w:t xml:space="preserve">. In other words, it will yield the same value as the equation used for a continuous measure if PTSD and control groups had a mean difference on a continuous PTSD measure of about 2 standard deviations.</w:t>
      </w:r>
      <w:r>
        <w:t xml:space="preserve"> </w:t>
      </w:r>
      <w:r>
        <w:rPr>
          <w:rStyle w:val="FootnoteReference"/>
        </w:rPr>
        <w:footnoteReference w:id="22"/>
      </w:r>
    </w:p>
    <w:p>
      <w:pPr>
        <w:pStyle w:val="BodyText"/>
      </w:pPr>
      <w:r>
        <w:t xml:space="preserve">Estimates of</w:t>
      </w:r>
      <w:r>
        <w:t xml:space="preserve"> </w:t>
      </w:r>
      <m:oMath>
        <m:r>
          <m:t>d</m:t>
        </m:r>
      </m:oMath>
      <w:r>
        <w:t xml:space="preserve"> </w:t>
      </w:r>
      <w:r>
        <w:t xml:space="preserve">are biased in small samples so were adjusted using a correction</w:t>
      </w:r>
      <w:r>
        <w:t xml:space="preserve"> </w:t>
      </w:r>
      <m:oMath>
        <m:r>
          <m:t>J</m:t>
        </m:r>
      </m:oMath>
      <w:r>
        <w:t xml:space="preserve">,</w:t>
      </w:r>
      <w:r>
        <w:t xml:space="preserve"> </w:t>
      </w:r>
      <w:r>
        <w:t xml:space="preserve">(Hedges 1981)</w:t>
      </w:r>
      <w:r>
        <w:t xml:space="preserve">,</w:t>
      </w:r>
    </w:p>
    <w:p>
      <w:pPr>
        <w:pStyle w:val="BodyText"/>
      </w:pPr>
      <m:oMathPara>
        <m:oMathParaPr>
          <m:jc m:val="center"/>
        </m:oMathParaPr>
        <m:oMath>
          <m:r>
            <m:t>J</m:t>
          </m:r>
          <m:r>
            <m:rPr>
              <m:sty m:val="p"/>
            </m:rPr>
            <m:t>=</m:t>
          </m:r>
          <m:r>
            <m:t>1</m:t>
          </m:r>
          <m:r>
            <m:rPr>
              <m:sty m:val="p"/>
            </m:rPr>
            <m:t>−</m:t>
          </m:r>
          <m:f>
            <m:fPr>
              <m:type m:val="bar"/>
            </m:fPr>
            <m:num>
              <m:r>
                <m:t>3</m:t>
              </m:r>
            </m:num>
            <m:den>
              <m:r>
                <m:t>4</m:t>
              </m:r>
              <m:d>
                <m:dPr>
                  <m:begChr m:val="("/>
                  <m:endChr m:val=")"/>
                  <m:sepChr m:val=""/>
                  <m:grow/>
                </m:dPr>
                <m:e>
                  <m:sSub>
                    <m:e>
                      <m:r>
                        <m:t>n</m:t>
                      </m:r>
                    </m:e>
                    <m:sub>
                      <m:r>
                        <m:t>1</m:t>
                      </m:r>
                    </m:sub>
                  </m:sSub>
                  <m:r>
                    <m:rPr>
                      <m:sty m:val="p"/>
                    </m:rPr>
                    <m:t>+</m:t>
                  </m:r>
                  <m:sSub>
                    <m:e>
                      <m:r>
                        <m:t>n</m:t>
                      </m:r>
                    </m:e>
                    <m:sub>
                      <m:r>
                        <m:t>2</m:t>
                      </m:r>
                    </m:sub>
                  </m:sSub>
                  <m:r>
                    <m:rPr>
                      <m:sty m:val="p"/>
                    </m:rPr>
                    <m:t>−</m:t>
                  </m:r>
                  <m:r>
                    <m:t>2</m:t>
                  </m:r>
                </m:e>
              </m:d>
              <m:r>
                <m:rPr>
                  <m:sty m:val="p"/>
                </m:rPr>
                <m:t>−</m:t>
              </m:r>
              <m:r>
                <m:t>1</m:t>
              </m:r>
            </m:den>
          </m:f>
          <m:r>
            <m:rPr>
              <m:sty m:val="p"/>
            </m:rPr>
            <m:t>,</m:t>
          </m:r>
        </m:oMath>
      </m:oMathPara>
    </w:p>
    <w:p>
      <w:pPr>
        <w:pStyle w:val="FirstParagraph"/>
      </w:pPr>
      <w:r>
        <w:t xml:space="preserve">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rPr>
                    <m:sty m:val="p"/>
                  </m:rPr>
                  <m:t>=</m:t>
                </m:r>
                <m:r>
                  <m:t>J</m:t>
                </m:r>
                <m:r>
                  <m:rPr>
                    <m:sty m:val="p"/>
                  </m:rPr>
                  <m:t>×</m:t>
                </m:r>
                <m:r>
                  <m:t>d</m:t>
                </m:r>
              </m:e>
            </m:mr>
            <m:mr>
              <m:e>
                <m:r>
                  <m:t>S</m:t>
                </m:r>
                <m:sSub>
                  <m:e>
                    <m:r>
                      <m:t>E</m:t>
                    </m:r>
                  </m:e>
                  <m:sub>
                    <m:r>
                      <m:t>g</m:t>
                    </m:r>
                  </m:sub>
                </m:sSub>
              </m:e>
              <m:e>
                <m:r>
                  <m:rPr>
                    <m:sty m:val="p"/>
                  </m:rPr>
                  <m:t>=</m:t>
                </m:r>
                <m:r>
                  <m:t>J</m:t>
                </m:r>
                <m:r>
                  <m:rPr>
                    <m:sty m:val="p"/>
                  </m:rPr>
                  <m:t>×</m:t>
                </m:r>
                <m:r>
                  <m:t>S</m:t>
                </m:r>
                <m:sSub>
                  <m:e>
                    <m:r>
                      <m:t>E</m:t>
                    </m:r>
                  </m:e>
                  <m:sub>
                    <m:r>
                      <m:t>d</m:t>
                    </m:r>
                  </m:sub>
                </m:sSub>
                <m:r>
                  <m:rPr>
                    <m:sty m:val="p"/>
                  </m:rPr>
                  <m:t>.</m:t>
                </m:r>
              </m:e>
            </m:mr>
          </m:m>
        </m:oMath>
      </m:oMathPara>
    </w:p>
    <w:p>
      <w:pPr>
        <w:pStyle w:val="FirstParagraph"/>
      </w:pPr>
      <w:r>
        <w:t xml:space="preserve">Finally, not FOA studies used different types of measures of disorganization, with some scales directly measuring disorganisation (i.e., high scores reflect greater disorganization) and others measuring organisation/coherence (i.e., low scores reflect less organization and by implication greater disorganization). The direction of effect sizes based on scales where a low score represented disorganization were reversed. Therefore, a positive</w:t>
      </w:r>
      <w:r>
        <w:t xml:space="preserve"> </w:t>
      </w:r>
      <m:oMath>
        <m:r>
          <m:t>g</m:t>
        </m:r>
      </m:oMath>
      <w:r>
        <w:t xml:space="preserve"> </w:t>
      </w:r>
      <w:r>
        <w:t xml:space="preserve">always equates to greater disorganization.</w:t>
      </w:r>
    </w:p>
    <w:bookmarkEnd w:id="23"/>
    <w:bookmarkStart w:id="24" w:name="statistical-model"/>
    <w:p>
      <w:pPr>
        <w:pStyle w:val="Heading3"/>
      </w:pPr>
      <w:r>
        <w:t xml:space="preserve">Statistical model</w:t>
      </w:r>
    </w:p>
    <w:p>
      <w:pPr>
        <w:pStyle w:val="FirstParagraph"/>
      </w:pPr>
      <w:r>
        <w:t xml:space="preserve">Most, but not all, studies contributed more than one effect size estimate; therefore, a random effects meta-analysis was conducted using a three level multilevel model in which effect sizes are nested within studies. The model fitted was</w:t>
      </w:r>
    </w:p>
    <w:p>
      <w:pPr>
        <w:pStyle w:val="BodyText"/>
      </w:pPr>
      <m:oMathPara>
        <m:oMathParaPr>
          <m:jc m:val="center"/>
        </m:oMathParaPr>
        <m:oMath>
          <m:sSub>
            <m:e>
              <m:r>
                <m:t>θ</m:t>
              </m:r>
            </m:e>
            <m:sub>
              <m:r>
                <m:t>i</m:t>
              </m:r>
              <m:r>
                <m:t>j</m:t>
              </m:r>
            </m:sub>
          </m:sSub>
          <m:r>
            <m:rPr>
              <m:sty m:val="p"/>
            </m:rPr>
            <m:t>=</m:t>
          </m:r>
          <m:r>
            <m:t>μ</m:t>
          </m:r>
          <m:r>
            <m:rPr>
              <m:sty m:val="p"/>
            </m:rPr>
            <m:t>+</m:t>
          </m:r>
          <m:sSubSup>
            <m:e>
              <m:r>
                <m:t>σ</m:t>
              </m:r>
            </m:e>
            <m:sub>
              <m:r>
                <m:t>i</m:t>
              </m:r>
              <m:r>
                <m:t>j</m:t>
              </m:r>
            </m:sub>
            <m:sup>
              <m:r>
                <m:t>2</m:t>
              </m:r>
            </m:sup>
          </m:sSubSup>
          <m:r>
            <m:rPr>
              <m:sty m:val="p"/>
            </m:rPr>
            <m:t>+</m:t>
          </m:r>
          <m:sSubSup>
            <m:e>
              <m:r>
                <m:t>τ</m:t>
              </m:r>
            </m:e>
            <m:sub>
              <m:r>
                <m:t>j</m:t>
              </m:r>
            </m:sub>
            <m:sup>
              <m:r>
                <m:t>2</m:t>
              </m:r>
            </m:sup>
          </m:sSubSup>
          <m:r>
            <m:rPr>
              <m:sty m:val="p"/>
            </m:rPr>
            <m:t>+</m:t>
          </m:r>
          <m:sSub>
            <m:e>
              <m:r>
                <m:t>ε</m:t>
              </m:r>
            </m:e>
            <m:sub>
              <m:r>
                <m:t>i</m:t>
              </m:r>
              <m:r>
                <m:t>j</m:t>
              </m:r>
            </m:sub>
          </m:sSub>
        </m:oMath>
      </m:oMathPara>
    </w:p>
    <w:p>
      <w:pPr>
        <w:pStyle w:val="FirstParagraph"/>
      </w:pPr>
      <w:r>
        <w:t xml:space="preserve">In which</w:t>
      </w:r>
      <w:r>
        <w:t xml:space="preserve"> </w:t>
      </w:r>
      <m:oMath>
        <m:sSub>
          <m:e>
            <m:acc>
              <m:accPr>
                <m:chr m:val="̂"/>
              </m:accPr>
              <m:e>
                <m:r>
                  <m:t>θ</m:t>
                </m:r>
              </m:e>
            </m:acc>
          </m:e>
          <m:sub>
            <m:r>
              <m:t>i</m:t>
            </m:r>
            <m:r>
              <m:t>j</m:t>
            </m:r>
          </m:sub>
        </m:sSub>
      </m:oMath>
      <w:r>
        <w:t xml:space="preserve"> </w:t>
      </w:r>
      <w:r>
        <w:t xml:space="preserve">is an estimate of effect size</w:t>
      </w:r>
      <w:r>
        <w:t xml:space="preserve"> </w:t>
      </w:r>
      <m:oMath>
        <m:r>
          <m:t>i</m:t>
        </m:r>
      </m:oMath>
      <w:r>
        <w:t xml:space="preserve"> </w:t>
      </w:r>
      <w:r>
        <w:t xml:space="preserve">nested within study</w:t>
      </w:r>
      <w:r>
        <w:t xml:space="preserve"> </w:t>
      </w:r>
      <m:oMath>
        <m:r>
          <m:t>j</m:t>
        </m:r>
      </m:oMath>
      <w:r>
        <w:t xml:space="preserve">,</w:t>
      </w:r>
      <w:r>
        <w:t xml:space="preserve"> </w:t>
      </w:r>
      <m:oMath>
        <m:r>
          <m:t>μ</m:t>
        </m:r>
      </m:oMath>
      <w:r>
        <w:t xml:space="preserve"> </w:t>
      </w:r>
      <w:r>
        <w:t xml:space="preserve">is the overall average population effect,</w:t>
      </w:r>
      <w:r>
        <w:t xml:space="preserve"> </w:t>
      </w:r>
      <m:oMath>
        <m:sSubSup>
          <m:e>
            <m:acc>
              <m:accPr>
                <m:chr m:val="̂"/>
              </m:accPr>
              <m:e>
                <m:r>
                  <m:t>σ</m:t>
                </m:r>
              </m:e>
            </m:acc>
          </m:e>
          <m:sub>
            <m:r>
              <m:t>i</m:t>
            </m:r>
            <m:r>
              <m:t>j</m:t>
            </m:r>
          </m:sub>
          <m:sup>
            <m:r>
              <m:t>2</m:t>
            </m:r>
          </m:sup>
        </m:sSubSup>
      </m:oMath>
      <w:r>
        <w:t xml:space="preserve"> </w:t>
      </w:r>
      <w:r>
        <w:t xml:space="preserve">is the within-study variability in effect sizes, and</w:t>
      </w:r>
      <w:r>
        <w:t xml:space="preserve"> </w:t>
      </w:r>
      <m:oMath>
        <m:sSubSup>
          <m:e>
            <m:acc>
              <m:accPr>
                <m:chr m:val="̂"/>
              </m:accPr>
              <m:e>
                <m:r>
                  <m:t>τ</m:t>
                </m:r>
              </m:e>
            </m:acc>
          </m:e>
          <m:sub>
            <m:r>
              <m:t>j</m:t>
            </m:r>
          </m:sub>
          <m:sup>
            <m:r>
              <m:t>2</m:t>
            </m:r>
          </m:sup>
        </m:sSubSup>
      </m:oMath>
      <w:r>
        <w:t xml:space="preserve"> </w:t>
      </w:r>
      <w:r>
        <w:t xml:space="preserve">is the between-study variability in effect sizes. All models used cluster-robust tests and confidence intervals based on a sandwich-type estimator</w:t>
      </w:r>
      <w:r>
        <w:t xml:space="preserve"> </w:t>
      </w:r>
      <w:r>
        <w:t xml:space="preserve">(see Colin Cameron and Miller 2015; Viechtbauer 2010)</w:t>
      </w:r>
      <w:r>
        <w:t xml:space="preserve"> </w:t>
      </w:r>
      <w:r>
        <w:t xml:space="preserve">using restricted maximum likelihood (REML).</w:t>
      </w:r>
    </w:p>
    <w:p>
      <w:pPr>
        <w:pStyle w:val="BodyText"/>
      </w:pPr>
      <w:r>
        <w:t xml:space="preserve">Effect sizes could be classified according to whether they came from a study classified as FOA or one that was not FOA. Within FOA studies, effect sizes could quantify measures that use either detailed or global coding. Within not FOA studies effect sizes could quantify measures of disorganisation (disorganisation is represented by a high score) or a lack of organisation (disorganisation is represented by a low score). Therefore, each effect size could be classified into one of four categories: (1) FOA (detailed coding); (2) FOA (global coding); (3) not FOA (disorganisation); or (4) not FOA (organisation). The substantive hypothesis was that effects would vary across these four categories. A secondary hypothesis was that effect sizes would vary by age (adult vs. youth sample). To test these moderators, the above model was expanded to incorporate one or more fixed effect predictors (</w:t>
      </w:r>
      <m:oMath>
        <m:sSub>
          <m:e>
            <m:r>
              <m:t>x</m:t>
            </m:r>
          </m:e>
          <m:sub>
            <m:r>
              <m:t>n</m:t>
            </m:r>
          </m:sub>
        </m:sSub>
      </m:oMath>
      <w:r>
        <w:t xml:space="preserve">) and their associated parameters (</w:t>
      </w:r>
      <m:oMath>
        <m:r>
          <m:t>β</m:t>
        </m:r>
      </m:oMath>
      <w:r>
        <w:t xml:space="preserve">)</w:t>
      </w:r>
    </w:p>
    <w:p>
      <w:pPr>
        <w:pStyle w:val="BodyText"/>
      </w:pPr>
      <m:oMathPara>
        <m:oMathParaPr>
          <m:jc m:val="center"/>
        </m:oMathParaPr>
        <m:oMath>
          <m:sSub>
            <m:e>
              <m:r>
                <m:t>θ</m:t>
              </m:r>
            </m:e>
            <m:sub>
              <m:r>
                <m:t>i</m:t>
              </m:r>
              <m:r>
                <m:t>j</m:t>
              </m:r>
            </m:sub>
          </m:sSub>
          <m:r>
            <m:rPr>
              <m:sty m:val="p"/>
            </m:rPr>
            <m:t>=</m:t>
          </m:r>
          <m:r>
            <m:t>μ</m:t>
          </m:r>
          <m:r>
            <m:rPr>
              <m:sty m:val="p"/>
            </m:rPr>
            <m:t>+</m:t>
          </m:r>
          <m:sSub>
            <m:e>
              <m:r>
                <m:t>β</m:t>
              </m:r>
            </m:e>
            <m:sub>
              <m:r>
                <m:t>1</m:t>
              </m:r>
            </m:sub>
          </m:sSub>
          <m:sSub>
            <m:e>
              <m:r>
                <m:t>x</m:t>
              </m:r>
            </m:e>
            <m:sub>
              <m:r>
                <m:t>1</m:t>
              </m:r>
              <m:r>
                <m:t>i</m:t>
              </m:r>
            </m:sub>
          </m:sSub>
          <m:r>
            <m:rPr>
              <m:sty m:val="p"/>
            </m:rPr>
            <m:t>…</m:t>
          </m:r>
          <m:sSub>
            <m:e>
              <m:r>
                <m:t>β</m:t>
              </m:r>
            </m:e>
            <m:sub>
              <m:r>
                <m:t>n</m:t>
              </m:r>
            </m:sub>
          </m:sSub>
          <m:sSub>
            <m:e>
              <m:r>
                <m:t>x</m:t>
              </m:r>
            </m:e>
            <m:sub>
              <m:r>
                <m:t>n</m:t>
              </m:r>
              <m:r>
                <m:t>i</m:t>
              </m:r>
            </m:sub>
          </m:sSub>
          <m:r>
            <m:rPr>
              <m:sty m:val="p"/>
            </m:rPr>
            <m:t>+</m:t>
          </m:r>
          <m:sSubSup>
            <m:e>
              <m:r>
                <m:t>σ</m:t>
              </m:r>
            </m:e>
            <m:sub>
              <m:r>
                <m:t>i</m:t>
              </m:r>
              <m:r>
                <m:t>j</m:t>
              </m:r>
            </m:sub>
            <m:sup>
              <m:r>
                <m:t>2</m:t>
              </m:r>
            </m:sup>
          </m:sSubSup>
          <m:r>
            <m:rPr>
              <m:sty m:val="p"/>
            </m:rPr>
            <m:t>+</m:t>
          </m:r>
          <m:sSubSup>
            <m:e>
              <m:r>
                <m:t>τ</m:t>
              </m:r>
            </m:e>
            <m:sub>
              <m:r>
                <m:t>j</m:t>
              </m:r>
            </m:sub>
            <m:sup>
              <m:r>
                <m:t>2</m:t>
              </m:r>
            </m:sup>
          </m:sSubSup>
          <m:r>
            <m:rPr>
              <m:sty m:val="p"/>
            </m:rPr>
            <m:t>+</m:t>
          </m:r>
          <m:sSub>
            <m:e>
              <m:r>
                <m:t>ε</m:t>
              </m:r>
            </m:e>
            <m:sub>
              <m:r>
                <m:t>i</m:t>
              </m:r>
              <m:r>
                <m:t>j</m:t>
              </m:r>
            </m:sub>
          </m:sSub>
        </m:oMath>
      </m:oMathPara>
    </w:p>
    <w:p>
      <w:pPr>
        <w:pStyle w:val="FirstParagraph"/>
      </w:pPr>
      <w:r>
        <w:t xml:space="preserve">Specifically, the substantive hypothesis was tested by fitting a model that represented the four effect size classifications as three dummy variables with FOA (detailed coding) as the reference category. This coding resulted in parameter estimates representing the difference in effect sizes between FOA (detailed coding) and each of FOA (global coding), not FOA (disorganisation) and not FOA (organisation).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θ</m:t>
                    </m:r>
                  </m:e>
                  <m:sub>
                    <m:r>
                      <m:t>i</m:t>
                    </m:r>
                    <m:r>
                      <m:t>j</m:t>
                    </m:r>
                  </m:sub>
                </m:sSub>
              </m:e>
              <m:e>
                <m:r>
                  <m:rPr>
                    <m:sty m:val="p"/>
                  </m:rPr>
                  <m:t>=</m:t>
                </m:r>
                <m:r>
                  <m:t>μ</m:t>
                </m:r>
                <m:r>
                  <m:rPr>
                    <m:sty m:val="p"/>
                  </m:rPr>
                  <m:t>+</m:t>
                </m:r>
                <m:sSub>
                  <m:e>
                    <m:r>
                      <m:t>β</m:t>
                    </m:r>
                  </m:e>
                  <m:sub>
                    <m:r>
                      <m:t>1</m:t>
                    </m:r>
                  </m:sub>
                </m:sSub>
                <m:sSub>
                  <m:e>
                    <m:r>
                      <m:rPr>
                        <m:nor/>
                        <m:sty m:val="p"/>
                      </m:rPr>
                      <m:t>FOA global vs. FOA detailed</m:t>
                    </m:r>
                  </m:e>
                  <m:sub>
                    <m:r>
                      <m:t>i</m:t>
                    </m:r>
                  </m:sub>
                </m:sSub>
                <m:r>
                  <m:rPr>
                    <m:sty m:val="p"/>
                  </m:rPr>
                  <m:t>+</m:t>
                </m:r>
                <m:sSub>
                  <m:e>
                    <m:r>
                      <m:t>β</m:t>
                    </m:r>
                  </m:e>
                  <m:sub>
                    <m:r>
                      <m:t>2</m:t>
                    </m:r>
                  </m:sub>
                </m:sSub>
                <m:sSub>
                  <m:e>
                    <m:r>
                      <m:rPr>
                        <m:nor/>
                        <m:sty m:val="p"/>
                      </m:rPr>
                      <m:t>Not FOA disorganisation vs. FOA detailed</m:t>
                    </m:r>
                  </m:e>
                  <m:sub>
                    <m:r>
                      <m:t>i</m:t>
                    </m:r>
                  </m:sub>
                </m:sSub>
              </m:e>
            </m:mr>
            <m:mr>
              <m:e/>
              <m:e>
                <m:r>
                  <m:t> </m:t>
                </m:r>
                <m:r>
                  <m:t> </m:t>
                </m:r>
                <m:r>
                  <m:rPr>
                    <m:sty m:val="p"/>
                  </m:rPr>
                  <m:t>+</m:t>
                </m:r>
                <m:sSub>
                  <m:e>
                    <m:r>
                      <m:t>β</m:t>
                    </m:r>
                  </m:e>
                  <m:sub>
                    <m:r>
                      <m:t>3</m:t>
                    </m:r>
                  </m:sub>
                </m:sSub>
                <m:sSub>
                  <m:e>
                    <m:r>
                      <m:rPr>
                        <m:nor/>
                        <m:sty m:val="p"/>
                      </m:rPr>
                      <m:t>Not FOA organisation vs. FOA detailed</m:t>
                    </m:r>
                  </m:e>
                  <m:sub>
                    <m:r>
                      <m:t>i</m:t>
                    </m:r>
                  </m:sub>
                </m:sSub>
                <m:r>
                  <m:rPr>
                    <m:sty m:val="p"/>
                  </m:rPr>
                  <m:t>+</m:t>
                </m:r>
                <m:sSubSup>
                  <m:e>
                    <m:r>
                      <m:t>σ</m:t>
                    </m:r>
                  </m:e>
                  <m:sub>
                    <m:r>
                      <m:t>i</m:t>
                    </m:r>
                    <m:r>
                      <m:t>j</m:t>
                    </m:r>
                  </m:sub>
                  <m:sup>
                    <m:r>
                      <m:t>2</m:t>
                    </m:r>
                  </m:sup>
                </m:sSubSup>
                <m:r>
                  <m:rPr>
                    <m:sty m:val="p"/>
                  </m:rPr>
                  <m:t>+</m:t>
                </m:r>
                <m:sSubSup>
                  <m:e>
                    <m:r>
                      <m:t>τ</m:t>
                    </m:r>
                  </m:e>
                  <m:sub>
                    <m:r>
                      <m:t>j</m:t>
                    </m:r>
                  </m:sub>
                  <m:sup>
                    <m:r>
                      <m:t>2</m:t>
                    </m:r>
                  </m:sup>
                </m:sSubSup>
                <m:r>
                  <m:rPr>
                    <m:sty m:val="p"/>
                  </m:rPr>
                  <m:t>+</m:t>
                </m:r>
                <m:sSub>
                  <m:e>
                    <m:r>
                      <m:t>ε</m:t>
                    </m:r>
                  </m:e>
                  <m:sub>
                    <m:r>
                      <m:t>i</m:t>
                    </m:r>
                    <m:r>
                      <m:t>j</m:t>
                    </m:r>
                  </m:sub>
                </m:sSub>
              </m:e>
            </m:mr>
          </m:m>
        </m:oMath>
      </m:oMathPara>
    </w:p>
    <w:p>
      <w:pPr>
        <w:pStyle w:val="FirstParagraph"/>
      </w:pPr>
      <w:r>
        <w:t xml:space="preserve">Publication bias was modelled using a step function selection model. Let</w:t>
      </w:r>
      <w:r>
        <w:t xml:space="preserve"> </w:t>
      </w:r>
      <m:oMath>
        <m:r>
          <m:t>w</m:t>
        </m:r>
        <m:d>
          <m:dPr>
            <m:begChr m:val="("/>
            <m:endChr m:val=")"/>
            <m:sepChr m:val=""/>
            <m:grow/>
          </m:dPr>
          <m:e>
            <m:sSub>
              <m:e>
                <m:r>
                  <m:t>p</m:t>
                </m:r>
              </m:e>
              <m:sub>
                <m:r>
                  <m:t>i</m:t>
                </m:r>
              </m:sub>
            </m:sSub>
          </m:e>
        </m:d>
      </m:oMath>
      <w:r>
        <w:t xml:space="preserve"> </w:t>
      </w:r>
      <w:r>
        <w:t xml:space="preserve">denote the relative likelihood of selection given the</w:t>
      </w:r>
      <w:r>
        <w:t xml:space="preserve"> </w:t>
      </w:r>
      <w:r>
        <w:rPr>
          <w:iCs/>
          <w:i/>
        </w:rPr>
        <w:t xml:space="preserve">p</w:t>
      </w:r>
      <w:r>
        <w:t xml:space="preserve">-value of a study, then the selection function is:</w:t>
      </w:r>
    </w:p>
    <w:p>
      <w:pPr>
        <w:pStyle w:val="BodyText"/>
      </w:pPr>
      <m:oMathPara>
        <m:oMathParaPr>
          <m:jc m:val="center"/>
        </m:oMathParaPr>
        <m:oMath>
          <m:r>
            <m:t>w</m:t>
          </m:r>
          <m:d>
            <m:dPr>
              <m:begChr m:val="("/>
              <m:endChr m:val=")"/>
              <m:sepChr m:val=""/>
              <m:grow/>
            </m:dPr>
            <m:e>
              <m:sSub>
                <m:e>
                  <m:r>
                    <m:t>p</m:t>
                  </m:r>
                </m:e>
                <m:sub>
                  <m:r>
                    <m:t>i</m:t>
                  </m:r>
                </m:sub>
              </m:sSub>
            </m:e>
          </m:d>
          <m:r>
            <m:rPr>
              <m:sty m:val="p"/>
            </m:rPr>
            <m:t>=</m:t>
          </m:r>
          <m:sSub>
            <m:e>
              <m:r>
                <m:t>δ</m:t>
              </m:r>
            </m:e>
            <m:sub>
              <m:r>
                <m:t>j</m:t>
              </m:r>
            </m:sub>
          </m:sSub>
          <m:r>
            <m:t> </m:t>
          </m:r>
          <m:r>
            <m:rPr>
              <m:nor/>
              <m:sty m:val="p"/>
            </m:rPr>
            <m:t>if </m:t>
          </m:r>
          <m:sSub>
            <m:e>
              <m:r>
                <m:t>α</m:t>
              </m:r>
            </m:e>
            <m:sub>
              <m:r>
                <m:t>j</m:t>
              </m:r>
              <m:r>
                <m:rPr>
                  <m:sty m:val="p"/>
                </m:rPr>
                <m:t>−</m:t>
              </m:r>
              <m:r>
                <m:t>1</m:t>
              </m:r>
            </m:sub>
          </m:sSub>
          <m:r>
            <m:rPr>
              <m:sty m:val="p"/>
            </m:rPr>
            <m:t>&lt;</m:t>
          </m:r>
          <m:sSub>
            <m:e>
              <m:r>
                <m:t>p</m:t>
              </m:r>
            </m:e>
            <m:sub>
              <m:r>
                <m:t>i</m:t>
              </m:r>
            </m:sub>
          </m:sSub>
          <m:r>
            <m:rPr>
              <m:sty m:val="p"/>
            </m:rPr>
            <m:t>&lt;</m:t>
          </m:r>
          <m:sSub>
            <m:e>
              <m:r>
                <m:t>α</m:t>
              </m:r>
            </m:e>
            <m:sub>
              <m:r>
                <m:t>i</m:t>
              </m:r>
            </m:sub>
          </m:sSub>
          <m:r>
            <m:rPr>
              <m:sty m:val="p"/>
            </m:rPr>
            <m:t>.</m:t>
          </m:r>
        </m:oMath>
      </m:oMathPara>
    </w:p>
    <w:p>
      <w:pPr>
        <w:pStyle w:val="FirstParagraph"/>
      </w:pPr>
      <w:r>
        <w:t xml:space="preserve">That is,</w:t>
      </w:r>
      <w:r>
        <w:t xml:space="preserve"> </w:t>
      </w:r>
      <m:oMath>
        <m:sSub>
          <m:e>
            <m:r>
              <m:t>δ</m:t>
            </m:r>
          </m:e>
          <m:sub>
            <m:r>
              <m:t>j</m:t>
            </m:r>
          </m:sub>
        </m:sSub>
      </m:oMath>
      <w:r>
        <w:t xml:space="preserve"> </w:t>
      </w:r>
      <w:r>
        <w:t xml:space="preserve">denotes the likelihood of selection. There were too few studies to model moderate and severe publication biases using the</w:t>
      </w:r>
      <w:r>
        <w:t xml:space="preserve"> </w:t>
      </w:r>
      <m:oMath>
        <m:sSub>
          <m:e>
            <m:r>
              <m:t>δ</m:t>
            </m:r>
          </m:e>
          <m:sub>
            <m:r>
              <m:t>j</m:t>
            </m:r>
          </m:sub>
        </m:sSub>
      </m:oMath>
      <w:r>
        <w:t xml:space="preserve">s suggested by</w:t>
      </w:r>
      <w:r>
        <w:t xml:space="preserve"> </w:t>
      </w:r>
      <w:r>
        <w:t xml:space="preserve">Vevea and Woods (2005)</w:t>
      </w:r>
      <w:r>
        <w:t xml:space="preserve"> </w:t>
      </w:r>
      <w:r>
        <w:t xml:space="preserve">so instead one-tailed moderate and severe publication bias were modelled with fewer cut points:</w:t>
      </w:r>
    </w:p>
    <w:p>
      <w:pPr>
        <w:pStyle w:val="BodyText"/>
      </w:pPr>
      <m:oMathPara>
        <m:oMathParaPr>
          <m:jc m:val="center"/>
        </m:oMathParaPr>
        <m:oMath>
          <m:m>
            <m:mPr>
              <m:baseJc m:val="center"/>
              <m:plcHide m:val="1"/>
              <m:mcs>
                <m:mc>
                  <m:mcPr>
                    <m:mcJc m:val="right"/>
                    <m:count m:val="1"/>
                  </m:mcPr>
                </m:mc>
                <m:mc>
                  <m:mcPr>
                    <m:mcJc m:val="left"/>
                    <m:count m:val="1"/>
                  </m:mcPr>
                </m:mc>
              </m:mcs>
            </m:mPr>
            <m:mr>
              <m:e>
                <m:r>
                  <m:t>α</m:t>
                </m:r>
              </m:e>
              <m:e>
                <m:r>
                  <m:rPr>
                    <m:sty m:val="p"/>
                  </m:rPr>
                  <m:t>=</m:t>
                </m:r>
                <m:r>
                  <m:rPr>
                    <m:sty m:val="p"/>
                  </m:rPr>
                  <m:t>{</m:t>
                </m:r>
                <m:r>
                  <m:t>.05</m:t>
                </m:r>
                <m:r>
                  <m:rPr>
                    <m:sty m:val="p"/>
                  </m:rPr>
                  <m:t>,</m:t>
                </m:r>
                <m:r>
                  <m:t>.2</m:t>
                </m:r>
                <m:r>
                  <m:rPr>
                    <m:sty m:val="p"/>
                  </m:rPr>
                  <m:t>,</m:t>
                </m:r>
                <m:r>
                  <m:t>.5</m:t>
                </m:r>
                <m:r>
                  <m:rPr>
                    <m:sty m:val="p"/>
                  </m:rPr>
                  <m:t>,</m:t>
                </m:r>
                <m:r>
                  <m:t>1</m:t>
                </m:r>
                <m:r>
                  <m:rPr>
                    <m:sty m:val="p"/>
                  </m:rPr>
                  <m:t>}</m:t>
                </m:r>
              </m:e>
            </m:mr>
            <m:mr>
              <m:e>
                <m:r>
                  <m:rPr>
                    <m:nor/>
                    <m:sty m:val="p"/>
                  </m:rPr>
                  <m:t>One-tailed moderate:</m:t>
                </m:r>
                <m:r>
                  <m:t> </m:t>
                </m:r>
                <m:sSub>
                  <m:e>
                    <m:r>
                      <m:t>δ</m:t>
                    </m:r>
                  </m:e>
                  <m:sub>
                    <m:r>
                      <m:t>j</m:t>
                    </m:r>
                  </m:sub>
                </m:sSub>
              </m:e>
              <m:e>
                <m:r>
                  <m:rPr>
                    <m:sty m:val="p"/>
                  </m:rPr>
                  <m:t>=</m:t>
                </m:r>
                <m:r>
                  <m:rPr>
                    <m:sty m:val="p"/>
                  </m:rPr>
                  <m:t>{</m:t>
                </m:r>
                <m:r>
                  <m:t>1</m:t>
                </m:r>
                <m:r>
                  <m:rPr>
                    <m:sty m:val="p"/>
                  </m:rPr>
                  <m:t>,</m:t>
                </m:r>
                <m:r>
                  <m:t>.7</m:t>
                </m:r>
                <m:r>
                  <m:rPr>
                    <m:sty m:val="p"/>
                  </m:rPr>
                  <m:t>,</m:t>
                </m:r>
                <m:r>
                  <m:t>.6</m:t>
                </m:r>
                <m:r>
                  <m:rPr>
                    <m:sty m:val="p"/>
                  </m:rPr>
                  <m:t>,</m:t>
                </m:r>
                <m:r>
                  <m:t>.5</m:t>
                </m:r>
                <m:r>
                  <m:rPr>
                    <m:sty m:val="p"/>
                  </m:rPr>
                  <m:t>}</m:t>
                </m:r>
              </m:e>
            </m:mr>
            <m:mr>
              <m:e>
                <m:r>
                  <m:rPr>
                    <m:nor/>
                    <m:sty m:val="p"/>
                  </m:rPr>
                  <m:t>One-tailed severe:</m:t>
                </m:r>
                <m:r>
                  <m:t> </m:t>
                </m:r>
                <m:sSub>
                  <m:e>
                    <m:r>
                      <m:t>δ</m:t>
                    </m:r>
                  </m:e>
                  <m:sub>
                    <m:r>
                      <m:t>j</m:t>
                    </m:r>
                  </m:sub>
                </m:sSub>
              </m:e>
              <m:e>
                <m:r>
                  <m:rPr>
                    <m:sty m:val="p"/>
                  </m:rPr>
                  <m:t>=</m:t>
                </m:r>
                <m:r>
                  <m:rPr>
                    <m:sty m:val="p"/>
                  </m:rPr>
                  <m:t>{</m:t>
                </m:r>
                <m:r>
                  <m:t>1</m:t>
                </m:r>
                <m:r>
                  <m:rPr>
                    <m:sty m:val="p"/>
                  </m:rPr>
                  <m:t>,</m:t>
                </m:r>
                <m:r>
                  <m:t>.5</m:t>
                </m:r>
                <m:r>
                  <m:rPr>
                    <m:sty m:val="p"/>
                  </m:rPr>
                  <m:t>,</m:t>
                </m:r>
                <m:r>
                  <m:t>.4</m:t>
                </m:r>
                <m:r>
                  <m:rPr>
                    <m:sty m:val="p"/>
                  </m:rPr>
                  <m:t>,</m:t>
                </m:r>
                <m:r>
                  <m:t>.1</m:t>
                </m:r>
                <m:r>
                  <m:rPr>
                    <m:sty m:val="p"/>
                  </m:rPr>
                  <m:t>}</m:t>
                </m:r>
              </m:e>
            </m:mr>
          </m:m>
        </m:oMath>
      </m:oMathPara>
    </w:p>
    <w:bookmarkEnd w:id="24"/>
    <w:bookmarkEnd w:id="25"/>
    <w:bookmarkStart w:id="34" w:name="results"/>
    <w:p>
      <w:pPr>
        <w:pStyle w:val="Heading2"/>
      </w:pPr>
      <w:r>
        <w:t xml:space="preserve">Results</w:t>
      </w:r>
    </w:p>
    <w:bookmarkStart w:id="26" w:name="overall-effects"/>
    <w:p>
      <w:pPr>
        <w:pStyle w:val="Heading3"/>
      </w:pPr>
      <w:r>
        <w:t xml:space="preserve">Overall effects</w:t>
      </w:r>
    </w:p>
    <w:p>
      <w:pPr>
        <w:pStyle w:val="FirstParagraph"/>
      </w:pPr>
      <w:hyperlink w:anchor="fig-fp">
        <w:r>
          <w:rPr>
            <w:rStyle w:val="Hyperlink"/>
          </w:rPr>
          <w:t xml:space="preserve">Figure 1</w:t>
        </w:r>
      </w:hyperlink>
      <w:r>
        <w:t xml:space="preserve"> </w:t>
      </w:r>
      <w:r>
        <w:t xml:space="preserve">shows the aggregated effect size within each study organised by study classification. For studies classified as FOA, when detailed coding is used effect sizes are generally above zero but more than half of studies have confidence intervals that contain zero. When global coding is used studies have positive effect sizes and confidence intervals to not cross zero. For studies classified as not FOA, when measures of disorganisation are used effect sizes are generally above zero but half of studies have confidence intervals that contain zero. When measures of organisation are used effect sizes hover around zero with all confidence intervals contain zero.</w:t>
      </w:r>
    </w:p>
    <w:p>
      <w:pPr>
        <w:pStyle w:val="BodyText"/>
      </w:pPr>
      <w:r>
        <w:t xml:space="preserve">For the overall model ignoring predictors, the between study variability was</w:t>
      </w:r>
      <w:r>
        <w:t xml:space="preserve"> </w:t>
      </w:r>
      <m:oMath>
        <m:sSubSup>
          <m:e>
            <m:acc>
              <m:accPr>
                <m:chr m:val="̂"/>
              </m:accPr>
              <m:e>
                <m:r>
                  <m:t>τ</m:t>
                </m:r>
              </m:e>
            </m:acc>
          </m:e>
          <m:sub>
            <m:r>
              <m:t>j</m:t>
            </m:r>
          </m:sub>
          <m:sup>
            <m:r>
              <m:t>2</m:t>
            </m:r>
          </m:sup>
        </m:sSubSup>
      </m:oMath>
      <w:r>
        <w:t xml:space="preserve"> </w:t>
      </w:r>
      <w:r>
        <w:t xml:space="preserve">= 0.052 and the within study variability was</w:t>
      </w:r>
      <w:r>
        <w:t xml:space="preserve"> </w:t>
      </w:r>
      <m:oMath>
        <m:sSubSup>
          <m:e>
            <m:acc>
              <m:accPr>
                <m:chr m:val="̂"/>
              </m:accPr>
              <m:e>
                <m:r>
                  <m:t>σ</m:t>
                </m:r>
              </m:e>
            </m:acc>
          </m:e>
          <m:sub>
            <m:r>
              <m:t>i</m:t>
            </m:r>
            <m:r>
              <m:t>j</m:t>
            </m:r>
          </m:sub>
          <m:sup>
            <m:r>
              <m:t>2</m:t>
            </m:r>
          </m:sup>
        </m:sSubSup>
      </m:oMath>
      <w:r>
        <w:t xml:space="preserve"> </w:t>
      </w:r>
      <w:r>
        <w:t xml:space="preserve">= 0.048. There was significant heterogeneity,</w:t>
      </w:r>
      <w:r>
        <w:t xml:space="preserve"> </w:t>
      </w:r>
      <m:oMath>
        <m:sSub>
          <m:e>
            <m:r>
              <m:t>Q</m:t>
            </m:r>
          </m:e>
          <m:sub>
            <m:r>
              <m:t>E</m:t>
            </m:r>
          </m:sub>
        </m:sSub>
      </m:oMath>
      <w:r>
        <w:t xml:space="preserve">(79) = 208.81,</w:t>
      </w:r>
      <w:r>
        <w:t xml:space="preserve"> </w:t>
      </w:r>
      <w:r>
        <w:rPr>
          <w:iCs/>
          <w:i/>
        </w:rPr>
        <w:t xml:space="preserve">p</w:t>
      </w:r>
      <w:r>
        <w:t xml:space="preserve"> </w:t>
      </w:r>
      <w:r>
        <w:t xml:space="preserve">&lt; .001. The overall effect was a strong positive effect that was significant</w:t>
      </w:r>
      <w:r>
        <w:t xml:space="preserve"> </w:t>
      </w:r>
      <m:oMath>
        <m:acc>
          <m:accPr>
            <m:chr m:val="̂"/>
          </m:accPr>
          <m:e>
            <m:r>
              <m:t>θ</m:t>
            </m:r>
          </m:e>
        </m:acc>
      </m:oMath>
      <w:r>
        <w:t xml:space="preserve"> </w:t>
      </w:r>
      <w:r>
        <w:t xml:space="preserve">= 0.32 [0.17, 0.46],</w:t>
      </w:r>
      <w:r>
        <w:t xml:space="preserve"> </w:t>
      </w:r>
      <w:r>
        <w:rPr>
          <w:iCs/>
          <w:i/>
        </w:rPr>
        <w:t xml:space="preserve">t</w:t>
      </w:r>
      <w:r>
        <w:t xml:space="preserve">(17) = 4.59,</w:t>
      </w:r>
      <w:r>
        <w:t xml:space="preserve"> </w:t>
      </w:r>
      <w:r>
        <w:rPr>
          <w:iCs/>
          <w:i/>
        </w:rPr>
        <w:t xml:space="preserve">p</w:t>
      </w:r>
      <w:r>
        <w:t xml:space="preserve"> </w:t>
      </w:r>
      <w:r>
        <w:t xml:space="preserve">&lt; .001; the 95% confidence interval suggests that if this sample is one of the 95% that capture the population value then disorganization in PTSD groups could be anything between 0.17 and 0.46 standard deviations higher than in control groups.</w:t>
      </w:r>
    </w:p>
    <w:bookmarkEnd w:id="26"/>
    <w:bookmarkStart w:id="29" w:name="the-effect-of-foa"/>
    <w:p>
      <w:pPr>
        <w:pStyle w:val="Heading3"/>
      </w:pPr>
      <w:r>
        <w:t xml:space="preserve">The effect of FOA</w:t>
      </w:r>
    </w:p>
    <w:p>
      <w:pPr>
        <w:pStyle w:val="FirstParagraph"/>
      </w:pPr>
      <w:hyperlink w:anchor="tbl-foa">
        <w:r>
          <w:rPr>
            <w:rStyle w:val="Hyperlink"/>
          </w:rPr>
          <w:t xml:space="preserve">Table 1</w:t>
        </w:r>
      </w:hyperlink>
      <w:r>
        <w:t xml:space="preserve"> </w:t>
      </w:r>
      <w:r>
        <w:t xml:space="preserve">shows that the effect was large and significantly different from 0 for FOA studies using detailed coding (</w:t>
      </w:r>
      <m:oMath>
        <m:sSub>
          <m:e>
            <m:acc>
              <m:accPr>
                <m:chr m:val="̂"/>
              </m:accPr>
              <m:e>
                <m:r>
                  <m:t>θ</m:t>
                </m:r>
              </m:e>
            </m:acc>
          </m:e>
          <m:sub>
            <m:r>
              <m:rPr>
                <m:nor/>
                <m:sty m:val="p"/>
              </m:rPr>
              <m:t>FOA (detailed)</m:t>
            </m:r>
          </m:sub>
        </m:sSub>
      </m:oMath>
      <w:r>
        <w:t xml:space="preserve"> </w:t>
      </w:r>
      <w:r>
        <w:t xml:space="preserve">= 0.47), FOA studies using global coding (</w:t>
      </w:r>
      <m:oMath>
        <m:sSub>
          <m:e>
            <m:acc>
              <m:accPr>
                <m:chr m:val="̂"/>
              </m:accPr>
              <m:e>
                <m:r>
                  <m:t>θ</m:t>
                </m:r>
              </m:e>
            </m:acc>
          </m:e>
          <m:sub>
            <m:r>
              <m:rPr>
                <m:nor/>
                <m:sty m:val="p"/>
              </m:rPr>
              <m:t>FOA (global)</m:t>
            </m:r>
          </m:sub>
        </m:sSub>
      </m:oMath>
      <w:r>
        <w:t xml:space="preserve"> </w:t>
      </w:r>
      <w:r>
        <w:t xml:space="preserve">= 0.76) and not FOA that measured disorganisation (</w:t>
      </w:r>
      <m:oMath>
        <m:sSub>
          <m:e>
            <m:acc>
              <m:accPr>
                <m:chr m:val="̂"/>
              </m:accPr>
              <m:e>
                <m:r>
                  <m:t>θ</m:t>
                </m:r>
              </m:e>
            </m:acc>
          </m:e>
          <m:sub>
            <m:r>
              <m:rPr>
                <m:nor/>
                <m:sty m:val="p"/>
              </m:rPr>
              <m:t>Not FOA (disorganisation)</m:t>
            </m:r>
          </m:sub>
        </m:sSub>
      </m:oMath>
      <w:r>
        <w:t xml:space="preserve"> </w:t>
      </w:r>
      <w:r>
        <w:t xml:space="preserve">= 0.39), but virtually zero in not FOA studies that measured organisation (</w:t>
      </w:r>
      <m:oMath>
        <m:sSub>
          <m:e>
            <m:acc>
              <m:accPr>
                <m:chr m:val="̂"/>
              </m:accPr>
              <m:e>
                <m:r>
                  <m:t>θ</m:t>
                </m:r>
              </m:e>
            </m:acc>
          </m:e>
          <m:sub>
            <m:r>
              <m:rPr>
                <m:nor/>
                <m:sty m:val="p"/>
              </m:rPr>
              <m:t>Not FOA (organisation)</m:t>
            </m:r>
          </m:sub>
        </m:sSub>
      </m:oMath>
      <w:r>
        <w:t xml:space="preserve"> </w:t>
      </w:r>
      <w:r>
        <w:t xml:space="preserve">= 0.01).</w:t>
      </w:r>
    </w:p>
    <w:p>
      <w:pPr>
        <w:pStyle w:val="BodyText"/>
      </w:pPr>
      <w:r>
        <w:t xml:space="preserve">The classification of effect sizes was dummy coded such that each category of effect size was compared to ones from FOA studies that quantified measures that used detailed coding. In the model including these dummy variables the between study variability was</w:t>
      </w:r>
      <w:r>
        <w:t xml:space="preserve"> </w:t>
      </w:r>
      <m:oMath>
        <m:sSubSup>
          <m:e>
            <m:acc>
              <m:accPr>
                <m:chr m:val="̂"/>
              </m:accPr>
              <m:e>
                <m:r>
                  <m:t>σ</m:t>
                </m:r>
              </m:e>
            </m:acc>
          </m:e>
          <m:sub>
            <m:r>
              <m:t>B</m:t>
            </m:r>
          </m:sub>
          <m:sup>
            <m:r>
              <m:t>2</m:t>
            </m:r>
          </m:sup>
        </m:sSubSup>
      </m:oMath>
      <w:r>
        <w:t xml:space="preserve"> </w:t>
      </w:r>
      <w:r>
        <w:t xml:space="preserve">= 0.004 and the within study variability was</w:t>
      </w:r>
      <w:r>
        <w:t xml:space="preserve"> </w:t>
      </w:r>
      <m:oMath>
        <m:sSubSup>
          <m:e>
            <m:acc>
              <m:accPr>
                <m:chr m:val="̂"/>
              </m:accPr>
              <m:e>
                <m:r>
                  <m:t>σ</m:t>
                </m:r>
              </m:e>
            </m:acc>
          </m:e>
          <m:sub>
            <m:r>
              <m:t>W</m:t>
            </m:r>
          </m:sub>
          <m:sup>
            <m:r>
              <m:t>2</m:t>
            </m:r>
          </m:sup>
        </m:sSubSup>
      </m:oMath>
      <w:r>
        <w:t xml:space="preserve"> </w:t>
      </w:r>
      <w:r>
        <w:t xml:space="preserve">= 0.031. There was significant heterogeneity,</w:t>
      </w:r>
      <w:r>
        <w:t xml:space="preserve"> </w:t>
      </w:r>
      <m:oMath>
        <m:sSub>
          <m:e>
            <m:r>
              <m:t>Q</m:t>
            </m:r>
          </m:e>
          <m:sub>
            <m:r>
              <m:t>E</m:t>
            </m:r>
          </m:sub>
        </m:sSub>
      </m:oMath>
      <w:r>
        <w:t xml:space="preserve">(76) = 114.33,</w:t>
      </w:r>
      <w:r>
        <w:t xml:space="preserve"> </w:t>
      </w:r>
      <w:r>
        <w:rPr>
          <w:iCs/>
          <w:i/>
        </w:rPr>
        <w:t xml:space="preserve">p</w:t>
      </w:r>
      <w:r>
        <w:t xml:space="preserve"> </w:t>
      </w:r>
      <w:r>
        <w:t xml:space="preserve">= 0.003. The overall moderation effect was significant,</w:t>
      </w:r>
      <w:r>
        <w:t xml:space="preserve"> </w:t>
      </w:r>
      <m:oMath>
        <m:r>
          <m:t>F</m:t>
        </m:r>
      </m:oMath>
      <w:r>
        <w:t xml:space="preserve">(3, 14) = 28.96,</w:t>
      </w:r>
      <w:r>
        <w:t xml:space="preserve"> </w:t>
      </w:r>
      <w:r>
        <w:rPr>
          <w:iCs/>
          <w:i/>
        </w:rPr>
        <w:t xml:space="preserve">p</w:t>
      </w:r>
      <w:r>
        <w:t xml:space="preserve"> </w:t>
      </w:r>
      <w:r>
        <w:t xml:space="preserve">&lt; .001, indicating that effect sizes were significantly different across the four categories.</w:t>
      </w:r>
      <w:r>
        <w:t xml:space="preserve"> </w:t>
      </w:r>
      <w:hyperlink w:anchor="tbl-foapars">
        <w:r>
          <w:rPr>
            <w:rStyle w:val="Hyperlink"/>
          </w:rPr>
          <w:t xml:space="preserve">Table 2</w:t>
        </w:r>
      </w:hyperlink>
      <w:r>
        <w:t xml:space="preserve"> </w:t>
      </w:r>
      <w:r>
        <w:t xml:space="preserve">shows the parameter estimates of this model. Compared to effect sizes relating to FOA studies that use detailed coding, effect sizes were (1) significantly larger in FOA studies that use global ratings; (2) significantly smaller in not FOA studies that measured organisation; and (3) not significantly different to not FOA studies that measured disorganisation.</w:t>
      </w:r>
    </w:p>
    <w:bookmarkStart w:id="27" w:name="tbl-foa"/>
    <w:p>
      <w:pPr>
        <w:pStyle w:val="TableCaption"/>
      </w:pPr>
      <w:r>
        <w:t xml:space="preserve">Table 1: Individual meta-analyses of each study type</w:t>
      </w:r>
    </w:p>
    <w:tbl>
      <w:tblPr>
        <w:tblStyle w:val="Table"/>
        <w:tblW w:type="pct" w:w="5000"/>
        <w:tblLook w:firstRow="1" w:lastRow="0" w:firstColumn="0" w:lastColumn="0" w:noHBand="0" w:noVBand="0" w:val="0020"/>
        <w:jc w:val="start"/>
        <w:tblCaption w:val="Table 1: Individual meta-analyses of each study type"/>
      </w:tblPr>
      <w:tblGrid>
        <w:gridCol w:w="1806"/>
        <w:gridCol w:w="277"/>
        <w:gridCol w:w="903"/>
        <w:gridCol w:w="903"/>
        <w:gridCol w:w="416"/>
        <w:gridCol w:w="486"/>
        <w:gridCol w:w="416"/>
        <w:gridCol w:w="1042"/>
        <w:gridCol w:w="972"/>
        <w:gridCol w:w="347"/>
        <w:gridCol w:w="347"/>
      </w:tblGrid>
      <w:tr>
        <w:trPr>
          <w:tblHeader w:val="true"/>
        </w:trPr>
        <w:tc>
          <w:tcPr/>
          <w:p>
            <w:pPr>
              <w:pStyle w:val="Compact"/>
              <w:jc w:val="left"/>
            </w:pPr>
            <w:r>
              <w:t xml:space="preserve">FOA</w:t>
            </w:r>
          </w:p>
        </w:tc>
        <w:tc>
          <w:tcPr/>
          <w:p>
            <w:pPr>
              <w:pStyle w:val="Compact"/>
              <w:jc w:val="right"/>
            </w:pPr>
            <m:oMath>
              <m:r>
                <m:t>k</m:t>
              </m:r>
            </m:oMath>
          </w:p>
        </w:tc>
        <w:tc>
          <w:tcPr/>
          <w:p>
            <w:pPr>
              <w:pStyle w:val="Compact"/>
              <w:jc w:val="left"/>
            </w:pPr>
            <m:oMath>
              <m:sSubSup>
                <m:e>
                  <m:r>
                    <m:t>σ</m:t>
                  </m:r>
                </m:e>
                <m:sub>
                  <m:r>
                    <m:t>B</m:t>
                  </m:r>
                </m:sub>
                <m:sup>
                  <m:r>
                    <m:t>2</m:t>
                  </m:r>
                </m:sup>
              </m:sSubSup>
            </m:oMath>
          </w:p>
        </w:tc>
        <w:tc>
          <w:tcPr/>
          <w:p>
            <w:pPr>
              <w:pStyle w:val="Compact"/>
              <w:jc w:val="left"/>
            </w:pPr>
            <m:oMath>
              <m:sSubSup>
                <m:e>
                  <m:r>
                    <m:t>σ</m:t>
                  </m:r>
                </m:e>
                <m:sub>
                  <m:r>
                    <m:t>W</m:t>
                  </m:r>
                </m:sub>
                <m:sup>
                  <m:r>
                    <m:t>2</m:t>
                  </m:r>
                </m:sup>
              </m:sSubSup>
            </m:oMath>
          </w:p>
        </w:tc>
        <w:tc>
          <w:tcPr/>
          <w:p>
            <w:pPr>
              <w:pStyle w:val="Compact"/>
              <w:jc w:val="left"/>
            </w:pPr>
            <m:oMath>
              <m:r>
                <m:t>Q</m:t>
              </m:r>
            </m:oMath>
          </w:p>
        </w:tc>
        <w:tc>
          <w:tcPr/>
          <w:p>
            <w:pPr>
              <w:pStyle w:val="Compact"/>
              <w:jc w:val="right"/>
            </w:pPr>
            <m:oMath>
              <m:r>
                <m:t>d</m:t>
              </m:r>
              <m:sSub>
                <m:e>
                  <m:r>
                    <m:t>f</m:t>
                  </m:r>
                </m:e>
                <m:sub>
                  <m:r>
                    <m:t>Q</m:t>
                  </m:r>
                </m:sub>
              </m:sSub>
            </m:oMath>
          </w:p>
        </w:tc>
        <w:tc>
          <w:tcPr/>
          <w:p>
            <w:pPr>
              <w:pStyle w:val="Compact"/>
              <w:jc w:val="left"/>
            </w:pPr>
            <m:oMath>
              <m:sSub>
                <m:e>
                  <m:r>
                    <m:t>p</m:t>
                  </m:r>
                </m:e>
                <m:sub>
                  <m:r>
                    <m:t>Q</m:t>
                  </m:r>
                </m:sub>
              </m:sSub>
            </m:oMath>
          </w:p>
        </w:tc>
        <w:tc>
          <w:tcPr/>
          <w:p>
            <w:pPr>
              <w:pStyle w:val="Compact"/>
              <w:jc w:val="left"/>
            </w:pPr>
            <m:oMath>
              <m:acc>
                <m:accPr>
                  <m:chr m:val="̂"/>
                </m:accPr>
                <m:e>
                  <m:r>
                    <m:t>θ</m:t>
                  </m:r>
                </m:e>
              </m:acc>
            </m:oMath>
          </w:p>
        </w:tc>
        <w:tc>
          <w:tcPr/>
          <w:p>
            <w:pPr>
              <w:pStyle w:val="Compact"/>
              <w:jc w:val="left"/>
            </w:pPr>
            <w:r>
              <w:t xml:space="preserve">95% CI</w:t>
            </w:r>
          </w:p>
        </w:tc>
        <w:tc>
          <w:tcPr/>
          <w:p>
            <w:pPr>
              <w:pStyle w:val="Compact"/>
              <w:jc w:val="left"/>
            </w:pPr>
            <m:oMath>
              <m:r>
                <m:t>t</m:t>
              </m:r>
            </m:oMath>
          </w:p>
        </w:tc>
        <w:tc>
          <w:tcPr/>
          <w:p>
            <w:pPr>
              <w:pStyle w:val="Compact"/>
              <w:jc w:val="left"/>
            </w:pPr>
            <m:oMath>
              <m:r>
                <m:t>p</m:t>
              </m:r>
            </m:oMath>
          </w:p>
        </w:tc>
      </w:tr>
      <w:tr>
        <w:tc>
          <w:tcPr/>
          <w:p>
            <w:pPr>
              <w:pStyle w:val="Compact"/>
              <w:jc w:val="left"/>
            </w:pPr>
            <w:r>
              <w:t xml:space="preserve">FOA (Detailed)</w:t>
            </w:r>
          </w:p>
        </w:tc>
        <w:tc>
          <w:tcPr/>
          <w:p>
            <w:pPr>
              <w:pStyle w:val="Compact"/>
              <w:jc w:val="right"/>
            </w:pPr>
            <w:r>
              <w:t xml:space="preserve">19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32.97</w:t>
            </w:r>
          </w:p>
        </w:tc>
        <w:tc>
          <w:tcPr/>
          <w:p>
            <w:pPr>
              <w:pStyle w:val="Compact"/>
              <w:jc w:val="right"/>
            </w:pPr>
            <w:r>
              <w:t xml:space="preserve">18</w:t>
            </w:r>
          </w:p>
        </w:tc>
        <w:tc>
          <w:tcPr/>
          <w:p>
            <w:pPr>
              <w:pStyle w:val="Compact"/>
              <w:jc w:val="left"/>
            </w:pPr>
            <w:r>
              <w:t xml:space="preserve">0.017</w:t>
            </w:r>
          </w:p>
        </w:tc>
        <w:tc>
          <w:tcPr/>
          <w:p>
            <w:pPr>
              <w:pStyle w:val="Compact"/>
              <w:jc w:val="left"/>
            </w:pPr>
            <w:r>
              <w:t xml:space="preserve">0.47</w:t>
            </w:r>
          </w:p>
        </w:tc>
        <w:tc>
          <w:tcPr/>
          <w:p>
            <w:pPr>
              <w:pStyle w:val="Compact"/>
              <w:jc w:val="left"/>
            </w:pPr>
            <w:r>
              <w:t xml:space="preserve">[0.23, 0.72]</w:t>
            </w:r>
          </w:p>
        </w:tc>
        <w:tc>
          <w:tcPr/>
          <w:p>
            <w:pPr>
              <w:pStyle w:val="Compact"/>
              <w:jc w:val="left"/>
            </w:pPr>
            <w:r>
              <w:t xml:space="preserve">3.76</w:t>
            </w:r>
          </w:p>
        </w:tc>
        <w:tc>
          <w:tcPr/>
          <w:p>
            <w:pPr>
              <w:pStyle w:val="Compact"/>
              <w:jc w:val="left"/>
            </w:pPr>
            <w:r>
              <w:t xml:space="preserve">0.00</w:t>
            </w:r>
          </w:p>
        </w:tc>
      </w:tr>
      <w:tr>
        <w:tc>
          <w:tcPr/>
          <w:p>
            <w:pPr>
              <w:pStyle w:val="Compact"/>
              <w:jc w:val="left"/>
            </w:pPr>
            <w:r>
              <w:t xml:space="preserve">FOA (Global)</w:t>
            </w:r>
          </w:p>
        </w:tc>
        <w:tc>
          <w:tcPr/>
          <w:p>
            <w:pPr>
              <w:pStyle w:val="Compact"/>
              <w:jc w:val="right"/>
            </w:pPr>
            <w:r>
              <w:t xml:space="preserve">15</w:t>
            </w:r>
          </w:p>
        </w:tc>
        <w:tc>
          <w:tcPr/>
          <w:p>
            <w:pPr>
              <w:pStyle w:val="Compact"/>
              <w:jc w:val="left"/>
            </w:pPr>
            <w:r>
              <w:t xml:space="preserve">0.00</w:t>
            </w:r>
          </w:p>
        </w:tc>
        <w:tc>
          <w:tcPr/>
          <w:p>
            <w:pPr>
              <w:pStyle w:val="Compact"/>
              <w:jc w:val="left"/>
            </w:pPr>
            <w:r>
              <w:t xml:space="preserve">0.08</w:t>
            </w:r>
          </w:p>
        </w:tc>
        <w:tc>
          <w:tcPr/>
          <w:p>
            <w:pPr>
              <w:pStyle w:val="Compact"/>
              <w:jc w:val="left"/>
            </w:pPr>
            <w:r>
              <w:t xml:space="preserve">33.53</w:t>
            </w:r>
          </w:p>
        </w:tc>
        <w:tc>
          <w:tcPr/>
          <w:p>
            <w:pPr>
              <w:pStyle w:val="Compact"/>
              <w:jc w:val="right"/>
            </w:pPr>
            <w:r>
              <w:t xml:space="preserve">14</w:t>
            </w:r>
          </w:p>
        </w:tc>
        <w:tc>
          <w:tcPr/>
          <w:p>
            <w:pPr>
              <w:pStyle w:val="Compact"/>
              <w:jc w:val="left"/>
            </w:pPr>
            <w:r>
              <w:t xml:space="preserve">0.002</w:t>
            </w:r>
          </w:p>
        </w:tc>
        <w:tc>
          <w:tcPr/>
          <w:p>
            <w:pPr>
              <w:pStyle w:val="Compact"/>
              <w:jc w:val="left"/>
            </w:pPr>
            <w:r>
              <w:t xml:space="preserve">0.76</w:t>
            </w:r>
          </w:p>
        </w:tc>
        <w:tc>
          <w:tcPr/>
          <w:p>
            <w:pPr>
              <w:pStyle w:val="Compact"/>
              <w:jc w:val="left"/>
            </w:pPr>
            <w:r>
              <w:t xml:space="preserve">[0.57, 0.95]</w:t>
            </w:r>
          </w:p>
        </w:tc>
        <w:tc>
          <w:tcPr/>
          <w:p>
            <w:pPr>
              <w:pStyle w:val="Compact"/>
              <w:jc w:val="left"/>
            </w:pPr>
            <w:r>
              <w:t xml:space="preserve">7.93</w:t>
            </w:r>
          </w:p>
        </w:tc>
        <w:tc>
          <w:tcPr/>
          <w:p>
            <w:pPr>
              <w:pStyle w:val="Compact"/>
              <w:jc w:val="left"/>
            </w:pPr>
            <w:r>
              <w:t xml:space="preserve">0.00</w:t>
            </w:r>
          </w:p>
        </w:tc>
      </w:tr>
      <w:tr>
        <w:tc>
          <w:tcPr/>
          <w:p>
            <w:pPr>
              <w:pStyle w:val="Compact"/>
              <w:jc w:val="left"/>
            </w:pPr>
            <w:r>
              <w:t xml:space="preserve">Not FOA (Disorganisation)</w:t>
            </w:r>
          </w:p>
        </w:tc>
        <w:tc>
          <w:tcPr/>
          <w:p>
            <w:pPr>
              <w:pStyle w:val="Compact"/>
              <w:jc w:val="right"/>
            </w:pPr>
            <w:r>
              <w:t xml:space="preserve">13</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12.03</w:t>
            </w:r>
          </w:p>
        </w:tc>
        <w:tc>
          <w:tcPr/>
          <w:p>
            <w:pPr>
              <w:pStyle w:val="Compact"/>
              <w:jc w:val="right"/>
            </w:pPr>
            <w:r>
              <w:t xml:space="preserve">12</w:t>
            </w:r>
          </w:p>
        </w:tc>
        <w:tc>
          <w:tcPr/>
          <w:p>
            <w:pPr>
              <w:pStyle w:val="Compact"/>
              <w:jc w:val="left"/>
            </w:pPr>
            <w:r>
              <w:t xml:space="preserve">0.444</w:t>
            </w:r>
          </w:p>
        </w:tc>
        <w:tc>
          <w:tcPr/>
          <w:p>
            <w:pPr>
              <w:pStyle w:val="Compact"/>
              <w:jc w:val="left"/>
            </w:pPr>
            <w:r>
              <w:t xml:space="preserve">0.39</w:t>
            </w:r>
          </w:p>
        </w:tc>
        <w:tc>
          <w:tcPr/>
          <w:p>
            <w:pPr>
              <w:pStyle w:val="Compact"/>
              <w:jc w:val="left"/>
            </w:pPr>
            <w:r>
              <w:t xml:space="preserve">[0.23, 0.56]</w:t>
            </w:r>
          </w:p>
        </w:tc>
        <w:tc>
          <w:tcPr/>
          <w:p>
            <w:pPr>
              <w:pStyle w:val="Compact"/>
              <w:jc w:val="left"/>
            </w:pPr>
            <w:r>
              <w:t xml:space="preserve">4.66</w:t>
            </w:r>
          </w:p>
        </w:tc>
        <w:tc>
          <w:tcPr/>
          <w:p>
            <w:pPr>
              <w:pStyle w:val="Compact"/>
              <w:jc w:val="left"/>
            </w:pPr>
            <w:r>
              <w:t xml:space="preserve">0.00</w:t>
            </w:r>
          </w:p>
        </w:tc>
      </w:tr>
      <w:tr>
        <w:tc>
          <w:tcPr/>
          <w:p>
            <w:pPr>
              <w:pStyle w:val="Compact"/>
              <w:jc w:val="left"/>
            </w:pPr>
            <w:r>
              <w:t xml:space="preserve">Not FOA (Organisation)</w:t>
            </w:r>
          </w:p>
        </w:tc>
        <w:tc>
          <w:tcPr/>
          <w:p>
            <w:pPr>
              <w:pStyle w:val="Compact"/>
              <w:jc w:val="right"/>
            </w:pPr>
            <w:r>
              <w:t xml:space="preserve">33</w:t>
            </w:r>
          </w:p>
        </w:tc>
        <w:tc>
          <w:tcPr/>
          <w:p>
            <w:pPr>
              <w:pStyle w:val="Compact"/>
              <w:jc w:val="left"/>
            </w:pPr>
            <w:r>
              <w:t xml:space="preserve">0.00</w:t>
            </w:r>
          </w:p>
        </w:tc>
        <w:tc>
          <w:tcPr/>
          <w:p>
            <w:pPr>
              <w:pStyle w:val="Compact"/>
              <w:jc w:val="left"/>
            </w:pPr>
            <w:r>
              <w:t xml:space="preserve">0.01</w:t>
            </w:r>
          </w:p>
        </w:tc>
        <w:tc>
          <w:tcPr/>
          <w:p>
            <w:pPr>
              <w:pStyle w:val="Compact"/>
              <w:jc w:val="left"/>
            </w:pPr>
            <w:r>
              <w:t xml:space="preserve">35.81</w:t>
            </w:r>
          </w:p>
        </w:tc>
        <w:tc>
          <w:tcPr/>
          <w:p>
            <w:pPr>
              <w:pStyle w:val="Compact"/>
              <w:jc w:val="right"/>
            </w:pPr>
            <w:r>
              <w:t xml:space="preserve">32</w:t>
            </w:r>
          </w:p>
        </w:tc>
        <w:tc>
          <w:tcPr/>
          <w:p>
            <w:pPr>
              <w:pStyle w:val="Compact"/>
              <w:jc w:val="left"/>
            </w:pPr>
            <w:r>
              <w:t xml:space="preserve">0.294</w:t>
            </w:r>
          </w:p>
        </w:tc>
        <w:tc>
          <w:tcPr/>
          <w:p>
            <w:pPr>
              <w:pStyle w:val="Compact"/>
              <w:jc w:val="left"/>
            </w:pPr>
            <w:r>
              <w:t xml:space="preserve">0.01</w:t>
            </w:r>
          </w:p>
        </w:tc>
        <w:tc>
          <w:tcPr/>
          <w:p>
            <w:pPr>
              <w:pStyle w:val="Compact"/>
              <w:jc w:val="left"/>
            </w:pPr>
            <w:r>
              <w:t xml:space="preserve">[-0.09, 0.11]</w:t>
            </w:r>
          </w:p>
        </w:tc>
        <w:tc>
          <w:tcPr/>
          <w:p>
            <w:pPr>
              <w:pStyle w:val="Compact"/>
              <w:jc w:val="left"/>
            </w:pPr>
            <w:r>
              <w:t xml:space="preserve">0.17</w:t>
            </w:r>
          </w:p>
        </w:tc>
        <w:tc>
          <w:tcPr/>
          <w:p>
            <w:pPr>
              <w:pStyle w:val="Compact"/>
              <w:jc w:val="left"/>
            </w:pPr>
            <w:r>
              <w:t xml:space="preserve">0.86</w:t>
            </w:r>
          </w:p>
        </w:tc>
      </w:tr>
    </w:tbl>
    <w:bookmarkEnd w:id="27"/>
    <w:p>
      <w:pPr>
        <w:pStyle w:val="BodyText"/>
      </w:pPr>
      <w:r>
        <w:t xml:space="preserve"> </w:t>
      </w:r>
    </w:p>
    <w:bookmarkStart w:id="28" w:name="tbl-foapars"/>
    <w:p>
      <w:pPr>
        <w:pStyle w:val="TableCaption"/>
      </w:pPr>
      <w:r>
        <w:t xml:space="preserve">Table 2: Parameter estimates for comparisons between study types</w:t>
      </w:r>
    </w:p>
    <w:tbl>
      <w:tblPr>
        <w:tblStyle w:val="Table"/>
        <w:tblW w:type="pct" w:w="5000"/>
        <w:tblLook w:firstRow="1" w:lastRow="0" w:firstColumn="0" w:lastColumn="0" w:noHBand="0" w:noVBand="0" w:val="0020"/>
        <w:jc w:val="start"/>
        <w:tblCaption w:val="Table 2: Parameter estimates for comparisons between study types"/>
      </w:tblPr>
      <w:tblGrid>
        <w:gridCol w:w="4096"/>
        <w:gridCol w:w="1365"/>
        <w:gridCol w:w="1365"/>
        <w:gridCol w:w="546"/>
        <w:gridCol w:w="546"/>
      </w:tblGrid>
      <w:tr>
        <w:trPr>
          <w:tblHeader w:val="true"/>
        </w:trPr>
        <w:tc>
          <w:tcPr/>
          <w:p>
            <w:pPr>
              <w:pStyle w:val="Compact"/>
              <w:jc w:val="left"/>
            </w:pPr>
            <w:r>
              <w:t xml:space="preserve">Comparison</w:t>
            </w:r>
          </w:p>
        </w:tc>
        <w:tc>
          <w:tcPr/>
          <w:p>
            <w:pPr>
              <w:pStyle w:val="Compact"/>
              <w:jc w:val="left"/>
            </w:pPr>
            <m:oMath>
              <m:acc>
                <m:accPr>
                  <m:chr m:val="̂"/>
                </m:accPr>
                <m:e>
                  <m:r>
                    <m:t>θ</m:t>
                  </m:r>
                </m:e>
              </m:acc>
            </m:oMath>
          </w:p>
        </w:tc>
        <w:tc>
          <w:tcPr/>
          <w:p>
            <w:pPr>
              <w:pStyle w:val="Compact"/>
              <w:jc w:val="left"/>
            </w:pPr>
            <w:r>
              <w:t xml:space="preserve">95% CI</w:t>
            </w:r>
          </w:p>
        </w:tc>
        <w:tc>
          <w:tcPr/>
          <w:p>
            <w:pPr>
              <w:pStyle w:val="Compact"/>
              <w:jc w:val="left"/>
            </w:pPr>
            <m:oMath>
              <m:r>
                <m:t>t</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0.46</w:t>
            </w:r>
          </w:p>
        </w:tc>
        <w:tc>
          <w:tcPr/>
          <w:p>
            <w:pPr>
              <w:pStyle w:val="Compact"/>
              <w:jc w:val="left"/>
            </w:pPr>
            <w:r>
              <w:t xml:space="preserve">[0.22, 0.70]</w:t>
            </w:r>
          </w:p>
        </w:tc>
        <w:tc>
          <w:tcPr/>
          <w:p>
            <w:pPr>
              <w:pStyle w:val="Compact"/>
              <w:jc w:val="left"/>
            </w:pPr>
            <w:r>
              <w:t xml:space="preserve">4.14</w:t>
            </w:r>
          </w:p>
        </w:tc>
        <w:tc>
          <w:tcPr/>
          <w:p>
            <w:pPr>
              <w:pStyle w:val="Compact"/>
              <w:jc w:val="left"/>
            </w:pPr>
            <w:r>
              <w:t xml:space="preserve">0.001</w:t>
            </w:r>
          </w:p>
        </w:tc>
      </w:tr>
      <w:tr>
        <w:tc>
          <w:tcPr/>
          <w:p>
            <w:pPr>
              <w:pStyle w:val="Compact"/>
              <w:jc w:val="left"/>
            </w:pPr>
            <w:r>
              <w:t xml:space="preserve">FOA (Global) vs. FOA (Detailed)</w:t>
            </w:r>
          </w:p>
        </w:tc>
        <w:tc>
          <w:tcPr/>
          <w:p>
            <w:pPr>
              <w:pStyle w:val="Compact"/>
              <w:jc w:val="left"/>
            </w:pPr>
            <w:r>
              <w:t xml:space="preserve">0.27</w:t>
            </w:r>
          </w:p>
        </w:tc>
        <w:tc>
          <w:tcPr/>
          <w:p>
            <w:pPr>
              <w:pStyle w:val="Compact"/>
              <w:jc w:val="left"/>
            </w:pPr>
            <w:r>
              <w:t xml:space="preserve">[0.01, 0.54]</w:t>
            </w:r>
          </w:p>
        </w:tc>
        <w:tc>
          <w:tcPr/>
          <w:p>
            <w:pPr>
              <w:pStyle w:val="Compact"/>
              <w:jc w:val="left"/>
            </w:pPr>
            <w:r>
              <w:t xml:space="preserve">2.24</w:t>
            </w:r>
          </w:p>
        </w:tc>
        <w:tc>
          <w:tcPr/>
          <w:p>
            <w:pPr>
              <w:pStyle w:val="Compact"/>
              <w:jc w:val="left"/>
            </w:pPr>
            <w:r>
              <w:t xml:space="preserve">0.042</w:t>
            </w:r>
          </w:p>
        </w:tc>
      </w:tr>
      <w:tr>
        <w:tc>
          <w:tcPr/>
          <w:p>
            <w:pPr>
              <w:pStyle w:val="Compact"/>
              <w:jc w:val="left"/>
            </w:pPr>
            <w:r>
              <w:t xml:space="preserve">Not FOA (Disorganisation) vs. FOA (Detailed)</w:t>
            </w:r>
          </w:p>
        </w:tc>
        <w:tc>
          <w:tcPr/>
          <w:p>
            <w:pPr>
              <w:pStyle w:val="Compact"/>
              <w:jc w:val="left"/>
            </w:pPr>
            <w:r>
              <w:t xml:space="preserve">-0.06</w:t>
            </w:r>
          </w:p>
        </w:tc>
        <w:tc>
          <w:tcPr/>
          <w:p>
            <w:pPr>
              <w:pStyle w:val="Compact"/>
              <w:jc w:val="left"/>
            </w:pPr>
            <w:r>
              <w:t xml:space="preserve">[-0.37, 0.24]</w:t>
            </w:r>
          </w:p>
        </w:tc>
        <w:tc>
          <w:tcPr/>
          <w:p>
            <w:pPr>
              <w:pStyle w:val="Compact"/>
              <w:jc w:val="left"/>
            </w:pPr>
            <w:r>
              <w:t xml:space="preserve">-0.44</w:t>
            </w:r>
          </w:p>
        </w:tc>
        <w:tc>
          <w:tcPr/>
          <w:p>
            <w:pPr>
              <w:pStyle w:val="Compact"/>
              <w:jc w:val="left"/>
            </w:pPr>
            <w:r>
              <w:t xml:space="preserve">0.665</w:t>
            </w:r>
          </w:p>
        </w:tc>
      </w:tr>
      <w:tr>
        <w:tc>
          <w:tcPr/>
          <w:p>
            <w:pPr>
              <w:pStyle w:val="Compact"/>
              <w:jc w:val="left"/>
            </w:pPr>
            <w:r>
              <w:t xml:space="preserve">Not FOA (Organisation) vs. FOA (Detailed)</w:t>
            </w:r>
          </w:p>
        </w:tc>
        <w:tc>
          <w:tcPr/>
          <w:p>
            <w:pPr>
              <w:pStyle w:val="Compact"/>
              <w:jc w:val="left"/>
            </w:pPr>
            <w:r>
              <w:t xml:space="preserve">-0.45</w:t>
            </w:r>
          </w:p>
        </w:tc>
        <w:tc>
          <w:tcPr/>
          <w:p>
            <w:pPr>
              <w:pStyle w:val="Compact"/>
              <w:jc w:val="left"/>
            </w:pPr>
            <w:r>
              <w:t xml:space="preserve">[-0.71, -0.18]</w:t>
            </w:r>
          </w:p>
        </w:tc>
        <w:tc>
          <w:tcPr/>
          <w:p>
            <w:pPr>
              <w:pStyle w:val="Compact"/>
              <w:jc w:val="left"/>
            </w:pPr>
            <w:r>
              <w:t xml:space="preserve">-3.64</w:t>
            </w:r>
          </w:p>
        </w:tc>
        <w:tc>
          <w:tcPr/>
          <w:p>
            <w:pPr>
              <w:pStyle w:val="Compact"/>
              <w:jc w:val="left"/>
            </w:pPr>
            <w:r>
              <w:t xml:space="preserve">0.003</w:t>
            </w:r>
          </w:p>
        </w:tc>
      </w:tr>
    </w:tbl>
    <w:bookmarkEnd w:id="28"/>
    <w:bookmarkEnd w:id="29"/>
    <w:bookmarkStart w:id="31" w:name="the-effect-of-age-group"/>
    <w:p>
      <w:pPr>
        <w:pStyle w:val="Heading3"/>
      </w:pPr>
      <w:r>
        <w:t xml:space="preserve">The effect of age group</w:t>
      </w:r>
    </w:p>
    <w:p>
      <w:pPr>
        <w:pStyle w:val="FirstParagraph"/>
      </w:pPr>
      <w:r>
        <w:t xml:space="preserve">In the model including age group as a moderator, the between study variability was</w:t>
      </w:r>
      <w:r>
        <w:t xml:space="preserve"> </w:t>
      </w:r>
      <m:oMath>
        <m:sSubSup>
          <m:e>
            <m:acc>
              <m:accPr>
                <m:chr m:val="̂"/>
              </m:accPr>
              <m:e>
                <m:r>
                  <m:t>σ</m:t>
                </m:r>
              </m:e>
            </m:acc>
          </m:e>
          <m:sub>
            <m:r>
              <m:t>B</m:t>
            </m:r>
          </m:sub>
          <m:sup>
            <m:r>
              <m:t>2</m:t>
            </m:r>
          </m:sup>
        </m:sSubSup>
      </m:oMath>
      <w:r>
        <w:t xml:space="preserve"> </w:t>
      </w:r>
      <w:r>
        <w:t xml:space="preserve">= 0.055 and the within study variability was</w:t>
      </w:r>
      <w:r>
        <w:t xml:space="preserve"> </w:t>
      </w:r>
      <m:oMath>
        <m:sSubSup>
          <m:e>
            <m:acc>
              <m:accPr>
                <m:chr m:val="̂"/>
              </m:accPr>
              <m:e>
                <m:r>
                  <m:t>σ</m:t>
                </m:r>
              </m:e>
            </m:acc>
          </m:e>
          <m:sub>
            <m:r>
              <m:t>W</m:t>
            </m:r>
          </m:sub>
          <m:sup>
            <m:r>
              <m:t>2</m:t>
            </m:r>
          </m:sup>
        </m:sSubSup>
      </m:oMath>
      <w:r>
        <w:t xml:space="preserve"> </w:t>
      </w:r>
      <w:r>
        <w:t xml:space="preserve">= 0.048. There was significant heterogeneity,</w:t>
      </w:r>
      <w:r>
        <w:t xml:space="preserve"> </w:t>
      </w:r>
      <m:oMath>
        <m:sSub>
          <m:e>
            <m:r>
              <m:t>Q</m:t>
            </m:r>
          </m:e>
          <m:sub>
            <m:r>
              <m:t>E</m:t>
            </m:r>
          </m:sub>
        </m:sSub>
      </m:oMath>
      <w:r>
        <w:t xml:space="preserve">(78) = 202.20,</w:t>
      </w:r>
      <w:r>
        <w:t xml:space="preserve"> </w:t>
      </w:r>
      <w:r>
        <w:rPr>
          <w:iCs/>
          <w:i/>
        </w:rPr>
        <w:t xml:space="preserve">p</w:t>
      </w:r>
      <w:r>
        <w:t xml:space="preserve"> </w:t>
      </w:r>
      <w:r>
        <w:t xml:space="preserve">&lt; .001. The overall moderation effect was close to zero and not significant,</w:t>
      </w:r>
      <w:r>
        <w:t xml:space="preserve"> </w:t>
      </w:r>
      <m:oMath>
        <m:acc>
          <m:accPr>
            <m:chr m:val="̂"/>
          </m:accPr>
          <m:e>
            <m:r>
              <m:t>β</m:t>
            </m:r>
          </m:e>
        </m:acc>
      </m:oMath>
      <w:r>
        <w:t xml:space="preserve"> </w:t>
      </w:r>
      <w:r>
        <w:t xml:space="preserve">= -0.07 [-0.36, 0.23],</w:t>
      </w:r>
      <w:r>
        <w:t xml:space="preserve"> </w:t>
      </w:r>
      <w:r>
        <w:rPr>
          <w:iCs/>
          <w:i/>
        </w:rPr>
        <w:t xml:space="preserve">t</w:t>
      </w:r>
      <w:r>
        <w:t xml:space="preserve">(16) = -0.49,</w:t>
      </w:r>
      <w:r>
        <w:t xml:space="preserve"> </w:t>
      </w:r>
      <w:r>
        <w:rPr>
          <w:iCs/>
          <w:i/>
        </w:rPr>
        <w:t xml:space="preserve">p</w:t>
      </w:r>
      <w:r>
        <w:t xml:space="preserve"> </w:t>
      </w:r>
      <w:r>
        <w:t xml:space="preserve">= 0.630.</w:t>
      </w:r>
      <w:r>
        <w:t xml:space="preserve"> </w:t>
      </w:r>
      <w:hyperlink w:anchor="tbl-age">
        <w:r>
          <w:rPr>
            <w:rStyle w:val="Hyperlink"/>
          </w:rPr>
          <w:t xml:space="preserve">Table 3</w:t>
        </w:r>
      </w:hyperlink>
      <w:r>
        <w:t xml:space="preserve"> </w:t>
      </w:r>
      <w:r>
        <w:t xml:space="preserve">shows that the effects were very similar in (</w:t>
      </w:r>
      <m:oMath>
        <m:sSub>
          <m:e>
            <m:acc>
              <m:accPr>
                <m:chr m:val="̂"/>
              </m:accPr>
              <m:e>
                <m:r>
                  <m:t>θ</m:t>
                </m:r>
              </m:e>
            </m:acc>
          </m:e>
          <m:sub>
            <m:r>
              <m:rPr>
                <m:nor/>
                <m:sty m:val="p"/>
              </m:rPr>
              <m:t>Adult</m:t>
            </m:r>
          </m:sub>
        </m:sSub>
      </m:oMath>
      <w:r>
        <w:t xml:space="preserve"> </w:t>
      </w:r>
      <w:r>
        <w:t xml:space="preserve">= 0.33) and youth (</w:t>
      </w:r>
      <m:oMath>
        <m:sSub>
          <m:e>
            <m:acc>
              <m:accPr>
                <m:chr m:val="̂"/>
              </m:accPr>
              <m:e>
                <m:r>
                  <m:t>θ</m:t>
                </m:r>
              </m:e>
            </m:acc>
          </m:e>
          <m:sub>
            <m:r>
              <m:rPr>
                <m:nor/>
                <m:sty m:val="p"/>
              </m:rPr>
              <m:t>Youth</m:t>
            </m:r>
          </m:sub>
        </m:sSub>
      </m:oMath>
      <w:r>
        <w:t xml:space="preserve"> </w:t>
      </w:r>
      <w:r>
        <w:t xml:space="preserve">= 0.24) samples.</w:t>
      </w:r>
    </w:p>
    <w:bookmarkStart w:id="30" w:name="tbl-age"/>
    <w:p>
      <w:pPr>
        <w:pStyle w:val="TableCaption"/>
      </w:pPr>
      <w:r>
        <w:t xml:space="preserve">Table 3: Individual meta-analyses by age of sample</w:t>
      </w:r>
    </w:p>
    <w:tbl>
      <w:tblPr>
        <w:tblStyle w:val="Table"/>
        <w:tblW w:type="pct" w:w="5000"/>
        <w:tblLook w:firstRow="1" w:lastRow="0" w:firstColumn="0" w:lastColumn="0" w:noHBand="0" w:noVBand="0" w:val="0020"/>
        <w:jc w:val="start"/>
        <w:tblCaption w:val="Table 3: Individual meta-analyses by age of sample"/>
      </w:tblPr>
      <w:tblGrid>
        <w:gridCol w:w="800"/>
        <w:gridCol w:w="320"/>
        <w:gridCol w:w="1040"/>
        <w:gridCol w:w="1040"/>
        <w:gridCol w:w="560"/>
        <w:gridCol w:w="560"/>
        <w:gridCol w:w="480"/>
        <w:gridCol w:w="1200"/>
        <w:gridCol w:w="1120"/>
        <w:gridCol w:w="400"/>
        <w:gridCol w:w="400"/>
      </w:tblGrid>
      <w:tr>
        <w:trPr>
          <w:tblHeader w:val="true"/>
        </w:trPr>
        <w:tc>
          <w:tcPr/>
          <w:p>
            <w:pPr>
              <w:pStyle w:val="Compact"/>
              <w:jc w:val="left"/>
            </w:pPr>
            <w:r>
              <w:t xml:space="preserve">Age group</w:t>
            </w:r>
          </w:p>
        </w:tc>
        <w:tc>
          <w:tcPr/>
          <w:p>
            <w:pPr>
              <w:pStyle w:val="Compact"/>
              <w:jc w:val="right"/>
            </w:pPr>
            <m:oMath>
              <m:r>
                <m:t>k</m:t>
              </m:r>
            </m:oMath>
          </w:p>
        </w:tc>
        <w:tc>
          <w:tcPr/>
          <w:p>
            <w:pPr>
              <w:pStyle w:val="Compact"/>
              <w:jc w:val="left"/>
            </w:pPr>
            <m:oMath>
              <m:sSubSup>
                <m:e>
                  <m:r>
                    <m:t>σ</m:t>
                  </m:r>
                </m:e>
                <m:sub>
                  <m:r>
                    <m:t>B</m:t>
                  </m:r>
                </m:sub>
                <m:sup>
                  <m:r>
                    <m:t>2</m:t>
                  </m:r>
                </m:sup>
              </m:sSubSup>
            </m:oMath>
          </w:p>
        </w:tc>
        <w:tc>
          <w:tcPr/>
          <w:p>
            <w:pPr>
              <w:pStyle w:val="Compact"/>
              <w:jc w:val="left"/>
            </w:pPr>
            <m:oMath>
              <m:sSubSup>
                <m:e>
                  <m:r>
                    <m:t>σ</m:t>
                  </m:r>
                </m:e>
                <m:sub>
                  <m:r>
                    <m:t>W</m:t>
                  </m:r>
                </m:sub>
                <m:sup>
                  <m:r>
                    <m:t>2</m:t>
                  </m:r>
                </m:sup>
              </m:sSubSup>
            </m:oMath>
          </w:p>
        </w:tc>
        <w:tc>
          <w:tcPr/>
          <w:p>
            <w:pPr>
              <w:pStyle w:val="Compact"/>
              <w:jc w:val="left"/>
            </w:pPr>
            <m:oMath>
              <m:r>
                <m:t>Q</m:t>
              </m:r>
            </m:oMath>
          </w:p>
        </w:tc>
        <w:tc>
          <w:tcPr/>
          <w:p>
            <w:pPr>
              <w:pStyle w:val="Compact"/>
              <w:jc w:val="right"/>
            </w:pPr>
            <m:oMath>
              <m:r>
                <m:t>d</m:t>
              </m:r>
              <m:sSub>
                <m:e>
                  <m:r>
                    <m:t>f</m:t>
                  </m:r>
                </m:e>
                <m:sub>
                  <m:r>
                    <m:t>Q</m:t>
                  </m:r>
                </m:sub>
              </m:sSub>
            </m:oMath>
          </w:p>
        </w:tc>
        <w:tc>
          <w:tcPr/>
          <w:p>
            <w:pPr>
              <w:pStyle w:val="Compact"/>
              <w:jc w:val="left"/>
            </w:pPr>
            <m:oMath>
              <m:sSub>
                <m:e>
                  <m:r>
                    <m:t>p</m:t>
                  </m:r>
                </m:e>
                <m:sub>
                  <m:r>
                    <m:t>Q</m:t>
                  </m:r>
                </m:sub>
              </m:sSub>
            </m:oMath>
          </w:p>
        </w:tc>
        <w:tc>
          <w:tcPr/>
          <w:p>
            <w:pPr>
              <w:pStyle w:val="Compact"/>
              <w:jc w:val="left"/>
            </w:pPr>
            <m:oMath>
              <m:acc>
                <m:accPr>
                  <m:chr m:val="̂"/>
                </m:accPr>
                <m:e>
                  <m:r>
                    <m:t>θ</m:t>
                  </m:r>
                </m:e>
              </m:acc>
            </m:oMath>
          </w:p>
        </w:tc>
        <w:tc>
          <w:tcPr/>
          <w:p>
            <w:pPr>
              <w:pStyle w:val="Compact"/>
              <w:jc w:val="left"/>
            </w:pPr>
            <w:r>
              <w:t xml:space="preserve">95% CI</w:t>
            </w:r>
          </w:p>
        </w:tc>
        <w:tc>
          <w:tcPr/>
          <w:p>
            <w:pPr>
              <w:pStyle w:val="Compact"/>
              <w:jc w:val="left"/>
            </w:pPr>
            <m:oMath>
              <m:r>
                <m:t>t</m:t>
              </m:r>
            </m:oMath>
          </w:p>
        </w:tc>
        <w:tc>
          <w:tcPr/>
          <w:p>
            <w:pPr>
              <w:pStyle w:val="Compact"/>
              <w:jc w:val="left"/>
            </w:pPr>
            <m:oMath>
              <m:r>
                <m:t>p</m:t>
              </m:r>
            </m:oMath>
          </w:p>
        </w:tc>
      </w:tr>
      <w:tr>
        <w:tc>
          <w:tcPr/>
          <w:p>
            <w:pPr>
              <w:pStyle w:val="Compact"/>
              <w:jc w:val="left"/>
            </w:pPr>
            <w:r>
              <w:t xml:space="preserve">Adult</w:t>
            </w:r>
          </w:p>
        </w:tc>
        <w:tc>
          <w:tcPr/>
          <w:p>
            <w:pPr>
              <w:pStyle w:val="Compact"/>
              <w:jc w:val="right"/>
            </w:pPr>
            <w:r>
              <w:t xml:space="preserve">64</w:t>
            </w:r>
          </w:p>
        </w:tc>
        <w:tc>
          <w:tcPr/>
          <w:p>
            <w:pPr>
              <w:pStyle w:val="Compact"/>
              <w:jc w:val="left"/>
            </w:pPr>
            <w:r>
              <w:t xml:space="preserve">0.06</w:t>
            </w:r>
          </w:p>
        </w:tc>
        <w:tc>
          <w:tcPr/>
          <w:p>
            <w:pPr>
              <w:pStyle w:val="Compact"/>
              <w:jc w:val="left"/>
            </w:pPr>
            <w:r>
              <w:t xml:space="preserve">0.03</w:t>
            </w:r>
          </w:p>
        </w:tc>
        <w:tc>
          <w:tcPr/>
          <w:p>
            <w:pPr>
              <w:pStyle w:val="Compact"/>
              <w:jc w:val="left"/>
            </w:pPr>
            <w:r>
              <w:t xml:space="preserve">155.41</w:t>
            </w:r>
          </w:p>
        </w:tc>
        <w:tc>
          <w:tcPr/>
          <w:p>
            <w:pPr>
              <w:pStyle w:val="Compact"/>
              <w:jc w:val="right"/>
            </w:pPr>
            <w:r>
              <w:t xml:space="preserve">63</w:t>
            </w:r>
          </w:p>
        </w:tc>
        <w:tc>
          <w:tcPr/>
          <w:p>
            <w:pPr>
              <w:pStyle w:val="Compact"/>
              <w:jc w:val="left"/>
            </w:pPr>
            <w:r>
              <w:t xml:space="preserve">&lt;.001</w:t>
            </w:r>
          </w:p>
        </w:tc>
        <w:tc>
          <w:tcPr/>
          <w:p>
            <w:pPr>
              <w:pStyle w:val="Compact"/>
              <w:jc w:val="left"/>
            </w:pPr>
            <w:r>
              <w:t xml:space="preserve">0.33</w:t>
            </w:r>
          </w:p>
        </w:tc>
        <w:tc>
          <w:tcPr/>
          <w:p>
            <w:pPr>
              <w:pStyle w:val="Compact"/>
              <w:jc w:val="left"/>
            </w:pPr>
            <w:r>
              <w:t xml:space="preserve">[0.17, 0.49]</w:t>
            </w:r>
          </w:p>
        </w:tc>
        <w:tc>
          <w:tcPr/>
          <w:p>
            <w:pPr>
              <w:pStyle w:val="Compact"/>
              <w:jc w:val="left"/>
            </w:pPr>
            <w:r>
              <w:t xml:space="preserve">4.04</w:t>
            </w:r>
          </w:p>
        </w:tc>
        <w:tc>
          <w:tcPr/>
          <w:p>
            <w:pPr>
              <w:pStyle w:val="Compact"/>
              <w:jc w:val="left"/>
            </w:pPr>
            <w:r>
              <w:t xml:space="preserve">0.00</w:t>
            </w:r>
          </w:p>
        </w:tc>
      </w:tr>
      <w:tr>
        <w:tc>
          <w:tcPr/>
          <w:p>
            <w:pPr>
              <w:pStyle w:val="Compact"/>
              <w:jc w:val="left"/>
            </w:pPr>
            <w:r>
              <w:t xml:space="preserve">Youth</w:t>
            </w:r>
          </w:p>
        </w:tc>
        <w:tc>
          <w:tcPr/>
          <w:p>
            <w:pPr>
              <w:pStyle w:val="Compact"/>
              <w:jc w:val="right"/>
            </w:pPr>
            <w:r>
              <w:t xml:space="preserve">16</w:t>
            </w:r>
          </w:p>
        </w:tc>
        <w:tc>
          <w:tcPr/>
          <w:p>
            <w:pPr>
              <w:pStyle w:val="Compact"/>
              <w:jc w:val="left"/>
            </w:pPr>
            <w:r>
              <w:t xml:space="preserve">0.02</w:t>
            </w:r>
          </w:p>
        </w:tc>
        <w:tc>
          <w:tcPr/>
          <w:p>
            <w:pPr>
              <w:pStyle w:val="Compact"/>
              <w:jc w:val="left"/>
            </w:pPr>
            <w:r>
              <w:t xml:space="preserve">0.09</w:t>
            </w:r>
          </w:p>
        </w:tc>
        <w:tc>
          <w:tcPr/>
          <w:p>
            <w:pPr>
              <w:pStyle w:val="Compact"/>
              <w:jc w:val="left"/>
            </w:pPr>
            <w:r>
              <w:t xml:space="preserve">46.79</w:t>
            </w:r>
          </w:p>
        </w:tc>
        <w:tc>
          <w:tcPr/>
          <w:p>
            <w:pPr>
              <w:pStyle w:val="Compact"/>
              <w:jc w:val="right"/>
            </w:pPr>
            <w:r>
              <w:t xml:space="preserve">15</w:t>
            </w:r>
          </w:p>
        </w:tc>
        <w:tc>
          <w:tcPr/>
          <w:p>
            <w:pPr>
              <w:pStyle w:val="Compact"/>
              <w:jc w:val="left"/>
            </w:pPr>
            <w:r>
              <w:t xml:space="preserve">&lt;.001</w:t>
            </w:r>
          </w:p>
        </w:tc>
        <w:tc>
          <w:tcPr/>
          <w:p>
            <w:pPr>
              <w:pStyle w:val="Compact"/>
              <w:jc w:val="left"/>
            </w:pPr>
            <w:r>
              <w:t xml:space="preserve">0.24</w:t>
            </w:r>
          </w:p>
        </w:tc>
        <w:tc>
          <w:tcPr/>
          <w:p>
            <w:pPr>
              <w:pStyle w:val="Compact"/>
              <w:jc w:val="left"/>
            </w:pPr>
            <w:r>
              <w:t xml:space="preserve">[-0.00, 0.49]</w:t>
            </w:r>
          </w:p>
        </w:tc>
        <w:tc>
          <w:tcPr/>
          <w:p>
            <w:pPr>
              <w:pStyle w:val="Compact"/>
              <w:jc w:val="left"/>
            </w:pPr>
            <w:r>
              <w:t xml:space="preserve">1.93</w:t>
            </w:r>
          </w:p>
        </w:tc>
        <w:tc>
          <w:tcPr/>
          <w:p>
            <w:pPr>
              <w:pStyle w:val="Compact"/>
              <w:jc w:val="left"/>
            </w:pPr>
            <w:r>
              <w:t xml:space="preserve">0.05</w:t>
            </w:r>
          </w:p>
        </w:tc>
      </w:tr>
    </w:tbl>
    <w:bookmarkEnd w:id="30"/>
    <w:bookmarkEnd w:id="31"/>
    <w:bookmarkStart w:id="33" w:name="Xaef217c57fa9c27c980dbb7aebed13b0d7f015e"/>
    <w:p>
      <w:pPr>
        <w:pStyle w:val="Heading3"/>
      </w:pPr>
      <w:r>
        <w:t xml:space="preserve">The effect of the type of disorganization measure</w:t>
      </w:r>
    </w:p>
    <w:p>
      <w:pPr>
        <w:pStyle w:val="FirstParagraph"/>
      </w:pPr>
      <w:r>
        <w:t xml:space="preserve">An analysis was done to see whether effect sizes could be predicted by whether the measure of disorganisation measured disorganisation (disorganisation is represented by a high score) or a lack of organization (disorganisation is represented by a low score) instudies from the by the Rubin/Bernsten laboratory.</w:t>
      </w:r>
    </w:p>
    <w:p>
      <w:pPr>
        <w:pStyle w:val="BodyText"/>
      </w:pPr>
      <w:r>
        <w:t xml:space="preserve">In this model, the between study variability was</w:t>
      </w:r>
      <w:r>
        <w:t xml:space="preserve"> </w:t>
      </w:r>
      <m:oMath>
        <m:sSubSup>
          <m:e>
            <m:acc>
              <m:accPr>
                <m:chr m:val="̂"/>
              </m:accPr>
              <m:e>
                <m:r>
                  <m:t>σ</m:t>
                </m:r>
              </m:e>
            </m:acc>
          </m:e>
          <m:sub>
            <m:r>
              <m:t>B</m:t>
            </m:r>
          </m:sub>
          <m:sup>
            <m:r>
              <m:t>2</m:t>
            </m:r>
          </m:sup>
        </m:sSubSup>
      </m:oMath>
      <w:r>
        <w:t xml:space="preserve"> </w:t>
      </w:r>
      <w:r>
        <w:t xml:space="preserve">= 0.000 and the within study variability was</w:t>
      </w:r>
      <w:r>
        <w:t xml:space="preserve"> </w:t>
      </w:r>
      <m:oMath>
        <m:sSubSup>
          <m:e>
            <m:acc>
              <m:accPr>
                <m:chr m:val="̂"/>
              </m:accPr>
              <m:e>
                <m:r>
                  <m:t>σ</m:t>
                </m:r>
              </m:e>
            </m:acc>
          </m:e>
          <m:sub>
            <m:r>
              <m:t>W</m:t>
            </m:r>
          </m:sub>
          <m:sup>
            <m:r>
              <m:t>2</m:t>
            </m:r>
          </m:sup>
        </m:sSubSup>
      </m:oMath>
      <w:r>
        <w:t xml:space="preserve"> </w:t>
      </w:r>
      <w:r>
        <w:t xml:space="preserve">= 0.006. There was not significant heterogeneity,</w:t>
      </w:r>
      <w:r>
        <w:t xml:space="preserve"> </w:t>
      </w:r>
      <m:oMath>
        <m:sSub>
          <m:e>
            <m:r>
              <m:t>Q</m:t>
            </m:r>
          </m:e>
          <m:sub>
            <m:r>
              <m:t>E</m:t>
            </m:r>
          </m:sub>
        </m:sSub>
      </m:oMath>
      <w:r>
        <w:t xml:space="preserve">(23) = 25.41,</w:t>
      </w:r>
      <w:r>
        <w:t xml:space="preserve"> </w:t>
      </w:r>
      <w:r>
        <w:rPr>
          <w:iCs/>
          <w:i/>
        </w:rPr>
        <w:t xml:space="preserve">p</w:t>
      </w:r>
      <w:r>
        <w:t xml:space="preserve"> </w:t>
      </w:r>
      <w:r>
        <w:t xml:space="preserve">= 0.329. The effect of the type of scale was strong but only just significant (</w:t>
      </w:r>
      <w:r>
        <w:rPr>
          <w:iCs/>
          <w:i/>
        </w:rPr>
        <w:t xml:space="preserve">k</w:t>
      </w:r>
      <w:r>
        <w:t xml:space="preserve"> </w:t>
      </w:r>
      <w:r>
        <w:t xml:space="preserve">is small),</w:t>
      </w:r>
      <w:r>
        <w:t xml:space="preserve"> </w:t>
      </w:r>
      <m:oMath>
        <m:acc>
          <m:accPr>
            <m:chr m:val="̂"/>
          </m:accPr>
          <m:e>
            <m:r>
              <m:t>β</m:t>
            </m:r>
          </m:e>
        </m:acc>
      </m:oMath>
      <w:r>
        <w:t xml:space="preserve"> </w:t>
      </w:r>
      <w:r>
        <w:t xml:space="preserve">= 0.35 [0.00, 0.69],</w:t>
      </w:r>
      <w:r>
        <w:t xml:space="preserve"> </w:t>
      </w:r>
      <w:r>
        <w:rPr>
          <w:iCs/>
          <w:i/>
        </w:rPr>
        <w:t xml:space="preserve">t</w:t>
      </w:r>
      <w:r>
        <w:t xml:space="preserve">(4) = 2.79,</w:t>
      </w:r>
      <w:r>
        <w:t xml:space="preserve"> </w:t>
      </w:r>
      <w:r>
        <w:rPr>
          <w:iCs/>
          <w:i/>
        </w:rPr>
        <w:t xml:space="preserve">p</w:t>
      </w:r>
      <w:r>
        <w:t xml:space="preserve"> </w:t>
      </w:r>
      <w:r>
        <w:t xml:space="preserve">= 0.049.</w:t>
      </w:r>
      <w:r>
        <w:t xml:space="preserve"> </w:t>
      </w:r>
      <w:hyperlink w:anchor="tbl-reverse_rubin">
        <w:r>
          <w:rPr>
            <w:rStyle w:val="Hyperlink"/>
          </w:rPr>
          <w:t xml:space="preserve">Table 4</w:t>
        </w:r>
      </w:hyperlink>
      <w:r>
        <w:t xml:space="preserve"> </w:t>
      </w:r>
      <w:r>
        <w:t xml:space="preserve">shows that the effect was large and significantly different from 0 when a measure of disorganization was used (</w:t>
      </w:r>
      <m:oMath>
        <m:sSub>
          <m:e>
            <m:acc>
              <m:accPr>
                <m:chr m:val="̂"/>
              </m:accPr>
              <m:e>
                <m:r>
                  <m:t>θ</m:t>
                </m:r>
              </m:e>
            </m:acc>
          </m:e>
          <m:sub>
            <m:r>
              <m:rPr>
                <m:nor/>
                <m:sty m:val="p"/>
              </m:rPr>
              <m:t>Disorganization</m:t>
            </m:r>
          </m:sub>
        </m:sSub>
      </m:oMath>
      <w:r>
        <w:t xml:space="preserve"> </w:t>
      </w:r>
      <w:r>
        <w:t xml:space="preserve">= 0.26) but was close to zero and non-significant for studies that used measures of organization/coherance (</w:t>
      </w:r>
      <m:oMath>
        <m:sSub>
          <m:e>
            <m:acc>
              <m:accPr>
                <m:chr m:val="̂"/>
              </m:accPr>
              <m:e>
                <m:r>
                  <m:t>θ</m:t>
                </m:r>
              </m:e>
            </m:acc>
          </m:e>
          <m:sub>
            <m:r>
              <m:rPr>
                <m:nor/>
                <m:sty m:val="p"/>
              </m:rPr>
              <m:t>Organization</m:t>
            </m:r>
          </m:sub>
        </m:sSub>
      </m:oMath>
      <w:r>
        <w:t xml:space="preserve"> </w:t>
      </w:r>
      <w:r>
        <w:t xml:space="preserve">= -0.08).</w:t>
      </w:r>
    </w:p>
    <w:bookmarkStart w:id="32" w:name="tbl-reverse_rubin"/>
    <w:p>
      <w:pPr>
        <w:pStyle w:val="TableCaption"/>
      </w:pPr>
      <w:r>
        <w:t xml:space="preserve">Table 4: Individual meta-analyses of each study type (Rubin/Berntsen lab only)</w:t>
      </w:r>
    </w:p>
    <w:tbl>
      <w:tblPr>
        <w:tblStyle w:val="Table"/>
        <w:tblW w:type="pct" w:w="5000"/>
        <w:tblLook w:firstRow="1" w:lastRow="0" w:firstColumn="0" w:lastColumn="0" w:noHBand="0" w:noVBand="0" w:val="0020"/>
        <w:jc w:val="start"/>
        <w:tblCaption w:val="Table 4: Individual meta-analyses of each study type (Rubin/Berntsen lab only)"/>
      </w:tblPr>
      <w:tblGrid>
        <w:gridCol w:w="1206"/>
        <w:gridCol w:w="301"/>
        <w:gridCol w:w="980"/>
        <w:gridCol w:w="980"/>
        <w:gridCol w:w="452"/>
        <w:gridCol w:w="528"/>
        <w:gridCol w:w="452"/>
        <w:gridCol w:w="1131"/>
        <w:gridCol w:w="1056"/>
        <w:gridCol w:w="452"/>
        <w:gridCol w:w="377"/>
      </w:tblGrid>
      <w:tr>
        <w:trPr>
          <w:tblHeader w:val="true"/>
        </w:trPr>
        <w:tc>
          <w:tcPr/>
          <w:p>
            <w:pPr>
              <w:pStyle w:val="Compact"/>
              <w:jc w:val="left"/>
            </w:pPr>
            <w:r>
              <w:t xml:space="preserve">Disorganization</w:t>
            </w:r>
          </w:p>
        </w:tc>
        <w:tc>
          <w:tcPr/>
          <w:p>
            <w:pPr>
              <w:pStyle w:val="Compact"/>
              <w:jc w:val="right"/>
            </w:pPr>
            <m:oMath>
              <m:r>
                <m:t>k</m:t>
              </m:r>
            </m:oMath>
          </w:p>
        </w:tc>
        <w:tc>
          <w:tcPr/>
          <w:p>
            <w:pPr>
              <w:pStyle w:val="Compact"/>
              <w:jc w:val="left"/>
            </w:pPr>
            <m:oMath>
              <m:sSubSup>
                <m:e>
                  <m:r>
                    <m:t>σ</m:t>
                  </m:r>
                </m:e>
                <m:sub>
                  <m:r>
                    <m:t>B</m:t>
                  </m:r>
                </m:sub>
                <m:sup>
                  <m:r>
                    <m:t>2</m:t>
                  </m:r>
                </m:sup>
              </m:sSubSup>
            </m:oMath>
          </w:p>
        </w:tc>
        <w:tc>
          <w:tcPr/>
          <w:p>
            <w:pPr>
              <w:pStyle w:val="Compact"/>
              <w:jc w:val="left"/>
            </w:pPr>
            <m:oMath>
              <m:sSubSup>
                <m:e>
                  <m:r>
                    <m:t>σ</m:t>
                  </m:r>
                </m:e>
                <m:sub>
                  <m:r>
                    <m:t>W</m:t>
                  </m:r>
                </m:sub>
                <m:sup>
                  <m:r>
                    <m:t>2</m:t>
                  </m:r>
                </m:sup>
              </m:sSubSup>
            </m:oMath>
          </w:p>
        </w:tc>
        <w:tc>
          <w:tcPr/>
          <w:p>
            <w:pPr>
              <w:pStyle w:val="Compact"/>
              <w:jc w:val="left"/>
            </w:pPr>
            <m:oMath>
              <m:r>
                <m:t>Q</m:t>
              </m:r>
            </m:oMath>
          </w:p>
        </w:tc>
        <w:tc>
          <w:tcPr/>
          <w:p>
            <w:pPr>
              <w:pStyle w:val="Compact"/>
              <w:jc w:val="right"/>
            </w:pPr>
            <m:oMath>
              <m:r>
                <m:t>d</m:t>
              </m:r>
              <m:sSub>
                <m:e>
                  <m:r>
                    <m:t>f</m:t>
                  </m:r>
                </m:e>
                <m:sub>
                  <m:r>
                    <m:t>Q</m:t>
                  </m:r>
                </m:sub>
              </m:sSub>
            </m:oMath>
          </w:p>
        </w:tc>
        <w:tc>
          <w:tcPr/>
          <w:p>
            <w:pPr>
              <w:pStyle w:val="Compact"/>
              <w:jc w:val="left"/>
            </w:pPr>
            <m:oMath>
              <m:sSub>
                <m:e>
                  <m:r>
                    <m:t>p</m:t>
                  </m:r>
                </m:e>
                <m:sub>
                  <m:r>
                    <m:t>Q</m:t>
                  </m:r>
                </m:sub>
              </m:sSub>
            </m:oMath>
          </w:p>
        </w:tc>
        <w:tc>
          <w:tcPr/>
          <w:p>
            <w:pPr>
              <w:pStyle w:val="Compact"/>
              <w:jc w:val="left"/>
            </w:pPr>
            <m:oMath>
              <m:acc>
                <m:accPr>
                  <m:chr m:val="̂"/>
                </m:accPr>
                <m:e>
                  <m:r>
                    <m:t>θ</m:t>
                  </m:r>
                </m:e>
              </m:acc>
            </m:oMath>
          </w:p>
        </w:tc>
        <w:tc>
          <w:tcPr/>
          <w:p>
            <w:pPr>
              <w:pStyle w:val="Compact"/>
              <w:jc w:val="left"/>
            </w:pPr>
            <w:r>
              <w:t xml:space="preserve">95% CI</w:t>
            </w:r>
          </w:p>
        </w:tc>
        <w:tc>
          <w:tcPr/>
          <w:p>
            <w:pPr>
              <w:pStyle w:val="Compact"/>
              <w:jc w:val="left"/>
            </w:pPr>
            <m:oMath>
              <m:r>
                <m:t>t</m:t>
              </m:r>
            </m:oMath>
          </w:p>
        </w:tc>
        <w:tc>
          <w:tcPr/>
          <w:p>
            <w:pPr>
              <w:pStyle w:val="Compact"/>
              <w:jc w:val="left"/>
            </w:pPr>
            <m:oMath>
              <m:r>
                <m:t>p</m:t>
              </m:r>
            </m:oMath>
          </w:p>
        </w:tc>
      </w:tr>
      <w:tr>
        <w:tc>
          <w:tcPr/>
          <w:p>
            <w:pPr>
              <w:pStyle w:val="Compact"/>
              <w:jc w:val="left"/>
            </w:pPr>
            <w:r>
              <w:t xml:space="preserve">Low score</w:t>
            </w:r>
          </w:p>
        </w:tc>
        <w:tc>
          <w:tcPr/>
          <w:p>
            <w:pPr>
              <w:pStyle w:val="Compact"/>
              <w:jc w:val="right"/>
            </w:pPr>
            <w:r>
              <w:t xml:space="preserve">17</w:t>
            </w:r>
          </w:p>
        </w:tc>
        <w:tc>
          <w:tcPr/>
          <w:p>
            <w:pPr>
              <w:pStyle w:val="Compact"/>
              <w:jc w:val="left"/>
            </w:pPr>
            <w:r>
              <w:t xml:space="preserve">0.00</w:t>
            </w:r>
          </w:p>
        </w:tc>
        <w:tc>
          <w:tcPr/>
          <w:p>
            <w:pPr>
              <w:pStyle w:val="Compact"/>
              <w:jc w:val="left"/>
            </w:pPr>
            <w:r>
              <w:t xml:space="preserve">0.02</w:t>
            </w:r>
          </w:p>
        </w:tc>
        <w:tc>
          <w:tcPr/>
          <w:p>
            <w:pPr>
              <w:pStyle w:val="Compact"/>
              <w:jc w:val="left"/>
            </w:pPr>
            <w:r>
              <w:t xml:space="preserve">19.88</w:t>
            </w:r>
          </w:p>
        </w:tc>
        <w:tc>
          <w:tcPr/>
          <w:p>
            <w:pPr>
              <w:pStyle w:val="Compact"/>
              <w:jc w:val="right"/>
            </w:pPr>
            <w:r>
              <w:t xml:space="preserve">16</w:t>
            </w:r>
          </w:p>
        </w:tc>
        <w:tc>
          <w:tcPr/>
          <w:p>
            <w:pPr>
              <w:pStyle w:val="Compact"/>
              <w:jc w:val="left"/>
            </w:pPr>
            <w:r>
              <w:t xml:space="preserve">0.226</w:t>
            </w:r>
          </w:p>
        </w:tc>
        <w:tc>
          <w:tcPr/>
          <w:p>
            <w:pPr>
              <w:pStyle w:val="Compact"/>
              <w:jc w:val="left"/>
            </w:pPr>
            <w:r>
              <w:t xml:space="preserve">-0.08</w:t>
            </w:r>
          </w:p>
        </w:tc>
        <w:tc>
          <w:tcPr/>
          <w:p>
            <w:pPr>
              <w:pStyle w:val="Compact"/>
              <w:jc w:val="left"/>
            </w:pPr>
            <w:r>
              <w:t xml:space="preserve">[-0.22, 0.07]</w:t>
            </w:r>
          </w:p>
        </w:tc>
        <w:tc>
          <w:tcPr/>
          <w:p>
            <w:pPr>
              <w:pStyle w:val="Compact"/>
              <w:jc w:val="left"/>
            </w:pPr>
            <w:r>
              <w:t xml:space="preserve">-1.04</w:t>
            </w:r>
          </w:p>
        </w:tc>
        <w:tc>
          <w:tcPr/>
          <w:p>
            <w:pPr>
              <w:pStyle w:val="Compact"/>
              <w:jc w:val="left"/>
            </w:pPr>
            <w:r>
              <w:t xml:space="preserve">0.30</w:t>
            </w:r>
          </w:p>
        </w:tc>
      </w:tr>
      <w:tr>
        <w:tc>
          <w:tcPr/>
          <w:p>
            <w:pPr>
              <w:pStyle w:val="Compact"/>
              <w:jc w:val="left"/>
            </w:pPr>
            <w:r>
              <w:t xml:space="preserve">High score</w:t>
            </w:r>
          </w:p>
        </w:tc>
        <w:tc>
          <w:tcPr/>
          <w:p>
            <w:pPr>
              <w:pStyle w:val="Compact"/>
              <w:jc w:val="right"/>
            </w:pPr>
            <w:r>
              <w:t xml:space="preserve">8</w:t>
            </w:r>
          </w:p>
        </w:tc>
        <w:tc>
          <w:tcPr/>
          <w:p>
            <w:pPr>
              <w:pStyle w:val="Compact"/>
              <w:jc w:val="left"/>
            </w:pPr>
            <w:r>
              <w:t xml:space="preserve">0.00</w:t>
            </w:r>
          </w:p>
        </w:tc>
        <w:tc>
          <w:tcPr/>
          <w:p>
            <w:pPr>
              <w:pStyle w:val="Compact"/>
              <w:jc w:val="left"/>
            </w:pPr>
            <w:r>
              <w:t xml:space="preserve">0.00</w:t>
            </w:r>
          </w:p>
        </w:tc>
        <w:tc>
          <w:tcPr/>
          <w:p>
            <w:pPr>
              <w:pStyle w:val="Compact"/>
              <w:jc w:val="left"/>
            </w:pPr>
            <w:r>
              <w:t xml:space="preserve">5.53</w:t>
            </w:r>
          </w:p>
        </w:tc>
        <w:tc>
          <w:tcPr/>
          <w:p>
            <w:pPr>
              <w:pStyle w:val="Compact"/>
              <w:jc w:val="right"/>
            </w:pPr>
            <w:r>
              <w:t xml:space="preserve">7</w:t>
            </w:r>
          </w:p>
        </w:tc>
        <w:tc>
          <w:tcPr/>
          <w:p>
            <w:pPr>
              <w:pStyle w:val="Compact"/>
              <w:jc w:val="left"/>
            </w:pPr>
            <w:r>
              <w:t xml:space="preserve">0.595</w:t>
            </w:r>
          </w:p>
        </w:tc>
        <w:tc>
          <w:tcPr/>
          <w:p>
            <w:pPr>
              <w:pStyle w:val="Compact"/>
              <w:jc w:val="left"/>
            </w:pPr>
            <w:r>
              <w:t xml:space="preserve">0.26</w:t>
            </w:r>
          </w:p>
        </w:tc>
        <w:tc>
          <w:tcPr/>
          <w:p>
            <w:pPr>
              <w:pStyle w:val="Compact"/>
              <w:jc w:val="left"/>
            </w:pPr>
            <w:r>
              <w:t xml:space="preserve">[0.09, 0.44]</w:t>
            </w:r>
          </w:p>
        </w:tc>
        <w:tc>
          <w:tcPr/>
          <w:p>
            <w:pPr>
              <w:pStyle w:val="Compact"/>
              <w:jc w:val="left"/>
            </w:pPr>
            <w:r>
              <w:t xml:space="preserve">3.02</w:t>
            </w:r>
          </w:p>
        </w:tc>
        <w:tc>
          <w:tcPr/>
          <w:p>
            <w:pPr>
              <w:pStyle w:val="Compact"/>
              <w:jc w:val="left"/>
            </w:pPr>
            <w:r>
              <w:t xml:space="preserve">0.00</w:t>
            </w:r>
          </w:p>
        </w:tc>
      </w:tr>
    </w:tbl>
    <w:bookmarkEnd w:id="32"/>
    <w:bookmarkEnd w:id="33"/>
    <w:bookmarkEnd w:id="34"/>
    <w:bookmarkStart w:id="36" w:name="publication-bias"/>
    <w:p>
      <w:pPr>
        <w:pStyle w:val="Heading2"/>
      </w:pPr>
      <w:r>
        <w:t xml:space="preserve">Publication bias</w:t>
      </w:r>
    </w:p>
    <w:p>
      <w:pPr>
        <w:pStyle w:val="FirstParagraph"/>
      </w:pPr>
      <w:hyperlink w:anchor="tbl-pubbias">
        <w:r>
          <w:rPr>
            <w:rStyle w:val="Hyperlink"/>
          </w:rPr>
          <w:t xml:space="preserve">Table 5</w:t>
        </w:r>
      </w:hyperlink>
      <w:r>
        <w:t xml:space="preserve"> </w:t>
      </w:r>
      <w:r>
        <w:t xml:space="preserve">shows the results of modelling moderate and severe one-tailed selections bias. These models should be interpreted as a sensitivity analysis in which the unadjusted effect size estimate (</w:t>
      </w:r>
      <m:oMath>
        <m:acc>
          <m:accPr>
            <m:chr m:val="̂"/>
          </m:accPr>
          <m:e>
            <m:r>
              <m:t>θ</m:t>
            </m:r>
          </m:e>
        </m:acc>
      </m:oMath>
      <w:r>
        <w:t xml:space="preserve">) is compared to the effect size estimate adjusted for selection bias (</w:t>
      </w:r>
      <m:oMath>
        <m:sSub>
          <m:e>
            <m:acc>
              <m:accPr>
                <m:chr m:val="̂"/>
              </m:accPr>
              <m:e>
                <m:r>
                  <m:t>θ</m:t>
                </m:r>
              </m:e>
            </m:acc>
          </m:e>
          <m:sub>
            <m:r>
              <m:rPr>
                <m:nor/>
                <m:sty m:val="p"/>
              </m:rPr>
              <m:t>Adj</m:t>
            </m:r>
          </m:sub>
        </m:sSub>
      </m:oMath>
      <w:r>
        <w:t xml:space="preserve">). For all types of studies and measures moderate publication bias makes little difference to the estimated effect size, whereas severe publication bias dramatically reduces the estimated effect size in all cases except for studies classified as FOA that use global coding.</w:t>
      </w:r>
    </w:p>
    <w:bookmarkStart w:id="35" w:name="tbl-pubbias"/>
    <w:p>
      <w:pPr>
        <w:pStyle w:val="TableCaption"/>
      </w:pPr>
      <w:r>
        <w:t xml:space="preserve">Table 5: Selection models of publication bias</w:t>
      </w:r>
    </w:p>
    <w:tbl>
      <w:tblPr>
        <w:tblStyle w:val="Table"/>
        <w:tblW w:type="pct" w:w="5000"/>
        <w:tblLook w:firstRow="1" w:lastRow="0" w:firstColumn="0" w:lastColumn="0" w:noHBand="0" w:noVBand="0" w:val="0020"/>
        <w:jc w:val="start"/>
        <w:tblCaption w:val="Table 5: Selection models of publication bias"/>
      </w:tblPr>
      <w:tblGrid>
        <w:gridCol w:w="2059"/>
        <w:gridCol w:w="1267"/>
        <w:gridCol w:w="1267"/>
        <w:gridCol w:w="1663"/>
        <w:gridCol w:w="1188"/>
        <w:gridCol w:w="475"/>
      </w:tblGrid>
      <w:tr>
        <w:trPr>
          <w:tblHeader w:val="true"/>
        </w:trPr>
        <w:tc>
          <w:tcPr/>
          <w:p>
            <w:pPr>
              <w:pStyle w:val="Compact"/>
              <w:jc w:val="left"/>
            </w:pPr>
            <w:r>
              <w:t xml:space="preserve">Domain</w:t>
            </w:r>
          </w:p>
        </w:tc>
        <w:tc>
          <w:tcPr/>
          <w:p>
            <w:pPr>
              <w:pStyle w:val="Compact"/>
              <w:jc w:val="left"/>
            </w:pPr>
            <w:r>
              <w:t xml:space="preserve">Selection model</w:t>
            </w:r>
          </w:p>
        </w:tc>
        <w:tc>
          <w:tcPr/>
          <w:p>
            <w:pPr>
              <w:pStyle w:val="Compact"/>
              <w:jc w:val="left"/>
            </w:pPr>
            <m:oMath>
              <m:acc>
                <m:accPr>
                  <m:chr m:val="̂"/>
                </m:accPr>
                <m:e>
                  <m:r>
                    <m:t>θ</m:t>
                  </m:r>
                </m:e>
              </m:acc>
            </m:oMath>
          </w:p>
        </w:tc>
        <w:tc>
          <w:tcPr/>
          <w:p>
            <w:pPr>
              <w:pStyle w:val="Compact"/>
              <w:jc w:val="left"/>
            </w:pPr>
            <m:oMath>
              <m:sSub>
                <m:e>
                  <m:acc>
                    <m:accPr>
                      <m:chr m:val="̂"/>
                    </m:accPr>
                    <m:e>
                      <m:r>
                        <m:t>θ</m:t>
                      </m:r>
                    </m:e>
                  </m:acc>
                </m:e>
                <m:sub>
                  <m:r>
                    <m:t>A</m:t>
                  </m:r>
                  <m:r>
                    <m:t>d</m:t>
                  </m:r>
                  <m:r>
                    <m:t>j</m:t>
                  </m:r>
                </m:sub>
              </m:sSub>
            </m:oMath>
          </w:p>
        </w:tc>
        <w:tc>
          <w:tcPr/>
          <w:p>
            <w:pPr>
              <w:pStyle w:val="Compact"/>
              <w:jc w:val="left"/>
            </w:pPr>
            <w:r>
              <w:t xml:space="preserve">95% CI</w:t>
            </w:r>
          </w:p>
        </w:tc>
        <w:tc>
          <w:tcPr/>
          <w:p>
            <w:pPr>
              <w:pStyle w:val="Compact"/>
              <w:jc w:val="left"/>
            </w:pPr>
            <m:oMath>
              <m:r>
                <m:t>p</m:t>
              </m:r>
            </m:oMath>
          </w:p>
        </w:tc>
      </w:tr>
      <w:tr>
        <w:tc>
          <w:tcPr/>
          <w:p>
            <w:pPr>
              <w:pStyle w:val="Compact"/>
              <w:jc w:val="left"/>
            </w:pPr>
            <w:r>
              <w:t xml:space="preserve">FOA (Detailed)</w:t>
            </w:r>
          </w:p>
        </w:tc>
        <w:tc>
          <w:tcPr/>
          <w:p>
            <w:pPr>
              <w:pStyle w:val="Compact"/>
              <w:jc w:val="left"/>
            </w:pPr>
            <w:r>
              <w:t xml:space="preserve">Moderate</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[0.12, 0.67]</w:t>
            </w:r>
          </w:p>
        </w:tc>
        <w:tc>
          <w:tcPr/>
          <w:p>
            <w:pPr>
              <w:pStyle w:val="Compact"/>
              <w:jc w:val="left"/>
            </w:pPr>
            <w:r>
              <w:t xml:space="preserve">0.006</w:t>
            </w:r>
          </w:p>
        </w:tc>
      </w:tr>
      <w:tr>
        <w:tc>
          <w:tcPr/>
          <w:p>
            <w:pPr>
              <w:pStyle w:val="Compact"/>
              <w:jc w:val="left"/>
            </w:pPr>
            <w:r>
              <w:t xml:space="preserve">FOA (Detailed)</w:t>
            </w:r>
          </w:p>
        </w:tc>
        <w:tc>
          <w:tcPr/>
          <w:p>
            <w:pPr>
              <w:pStyle w:val="Compact"/>
              <w:jc w:val="left"/>
            </w:pPr>
            <w:r>
              <w:t xml:space="preserve">Severe</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[-0.15, 0.65]</w:t>
            </w:r>
          </w:p>
        </w:tc>
        <w:tc>
          <w:tcPr/>
          <w:p>
            <w:pPr>
              <w:pStyle w:val="Compact"/>
              <w:jc w:val="left"/>
            </w:pPr>
            <w:r>
              <w:t xml:space="preserve">0.217</w:t>
            </w:r>
          </w:p>
        </w:tc>
      </w:tr>
      <w:tr>
        <w:tc>
          <w:tcPr/>
          <w:p>
            <w:pPr>
              <w:pStyle w:val="Compact"/>
              <w:jc w:val="left"/>
            </w:pPr>
            <w:r>
              <w:t xml:space="preserve">FOA (Global)</w:t>
            </w:r>
          </w:p>
        </w:tc>
        <w:tc>
          <w:tcPr/>
          <w:p>
            <w:pPr>
              <w:pStyle w:val="Compact"/>
              <w:jc w:val="left"/>
            </w:pPr>
            <w:r>
              <w:t xml:space="preserve">Moderate</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[0.48, 0.88]</w:t>
            </w:r>
          </w:p>
        </w:tc>
        <w:tc>
          <w:tcPr/>
          <w:p>
            <w:pPr>
              <w:pStyle w:val="Compact"/>
              <w:jc w:val="left"/>
            </w:pPr>
            <w:r>
              <w:t xml:space="preserve">&lt;.001</w:t>
            </w:r>
          </w:p>
        </w:tc>
      </w:tr>
      <w:tr>
        <w:tc>
          <w:tcPr/>
          <w:p>
            <w:pPr>
              <w:pStyle w:val="Compact"/>
              <w:jc w:val="left"/>
            </w:pPr>
            <w:r>
              <w:t xml:space="preserve">FOA (Global)</w:t>
            </w:r>
          </w:p>
        </w:tc>
        <w:tc>
          <w:tcPr/>
          <w:p>
            <w:pPr>
              <w:pStyle w:val="Compact"/>
              <w:jc w:val="left"/>
            </w:pPr>
            <w:r>
              <w:t xml:space="preserve">Severe</w:t>
            </w:r>
          </w:p>
        </w:tc>
        <w:tc>
          <w:tcPr/>
          <w:p>
            <w:pPr>
              <w:pStyle w:val="Compact"/>
              <w:jc w:val="left"/>
            </w:pPr>
            <w:r>
              <w:t xml:space="preserve">0.70</w:t>
            </w:r>
          </w:p>
        </w:tc>
        <w:tc>
          <w:tcPr/>
          <w:p>
            <w:pPr>
              <w:pStyle w:val="Compact"/>
              <w:jc w:val="left"/>
            </w:pPr>
            <w:r>
              <w:t xml:space="preserve">0.67</w:t>
            </w:r>
          </w:p>
        </w:tc>
        <w:tc>
          <w:tcPr/>
          <w:p>
            <w:pPr>
              <w:pStyle w:val="Compact"/>
              <w:jc w:val="left"/>
            </w:pPr>
            <w:r>
              <w:t xml:space="preserve">[0.46, 0.87]</w:t>
            </w:r>
          </w:p>
        </w:tc>
        <w:tc>
          <w:tcPr/>
          <w:p>
            <w:pPr>
              <w:pStyle w:val="Compact"/>
              <w:jc w:val="left"/>
            </w:pPr>
            <w:r>
              <w:t xml:space="preserve">&lt;.001</w:t>
            </w:r>
          </w:p>
        </w:tc>
      </w:tr>
      <w:tr>
        <w:tc>
          <w:tcPr/>
          <w:p>
            <w:pPr>
              <w:pStyle w:val="Compact"/>
              <w:jc w:val="left"/>
            </w:pPr>
            <w:r>
              <w:t xml:space="preserve">Not FOA (Disorganisation)</w:t>
            </w:r>
          </w:p>
        </w:tc>
        <w:tc>
          <w:tcPr/>
          <w:p>
            <w:pPr>
              <w:pStyle w:val="Compact"/>
              <w:jc w:val="left"/>
            </w:pPr>
            <w:r>
              <w:t xml:space="preserve">Moderate</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[0.15, 0.49]</w:t>
            </w:r>
          </w:p>
        </w:tc>
        <w:tc>
          <w:tcPr/>
          <w:p>
            <w:pPr>
              <w:pStyle w:val="Compact"/>
              <w:jc w:val="left"/>
            </w:pPr>
            <w:r>
              <w:t xml:space="preserve">&lt;.001</w:t>
            </w:r>
          </w:p>
        </w:tc>
      </w:tr>
      <w:tr>
        <w:tc>
          <w:tcPr/>
          <w:p>
            <w:pPr>
              <w:pStyle w:val="Compact"/>
              <w:jc w:val="left"/>
            </w:pPr>
            <w:r>
              <w:t xml:space="preserve">Not FOA (Disorganisation)</w:t>
            </w:r>
          </w:p>
        </w:tc>
        <w:tc>
          <w:tcPr/>
          <w:p>
            <w:pPr>
              <w:pStyle w:val="Compact"/>
              <w:jc w:val="left"/>
            </w:pPr>
            <w:r>
              <w:t xml:space="preserve">Severe</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[0.08, 0.44]</w:t>
            </w:r>
          </w:p>
        </w:tc>
        <w:tc>
          <w:tcPr/>
          <w:p>
            <w:pPr>
              <w:pStyle w:val="Compact"/>
              <w:jc w:val="left"/>
            </w:pPr>
            <w:r>
              <w:t xml:space="preserve">0.006</w:t>
            </w:r>
          </w:p>
        </w:tc>
      </w:tr>
      <w:tr>
        <w:tc>
          <w:tcPr/>
          <w:p>
            <w:pPr>
              <w:pStyle w:val="Compact"/>
              <w:jc w:val="left"/>
            </w:pPr>
            <w:r>
              <w:t xml:space="preserve">Not FOA (Organisation)</w:t>
            </w:r>
          </w:p>
        </w:tc>
        <w:tc>
          <w:tcPr/>
          <w:p>
            <w:pPr>
              <w:pStyle w:val="Compact"/>
              <w:jc w:val="left"/>
            </w:pPr>
            <w:r>
              <w:t xml:space="preserve">Moderate</w:t>
            </w:r>
          </w:p>
        </w:tc>
        <w:tc>
          <w:tcPr/>
          <w:p>
            <w:pPr>
              <w:pStyle w:val="Compact"/>
              <w:jc w:val="left"/>
            </w:pPr>
            <w:r>
              <w:t xml:space="preserve">-0.04</w:t>
            </w:r>
          </w:p>
        </w:tc>
        <w:tc>
          <w:tcPr/>
          <w:p>
            <w:pPr>
              <w:pStyle w:val="Compact"/>
              <w:jc w:val="left"/>
            </w:pPr>
            <w:r>
              <w:t xml:space="preserve">-0.07</w:t>
            </w:r>
          </w:p>
        </w:tc>
        <w:tc>
          <w:tcPr/>
          <w:p>
            <w:pPr>
              <w:pStyle w:val="Compact"/>
              <w:jc w:val="left"/>
            </w:pPr>
            <w:r>
              <w:t xml:space="preserve">[-0.22, 0.08]</w:t>
            </w:r>
          </w:p>
        </w:tc>
        <w:tc>
          <w:tcPr/>
          <w:p>
            <w:pPr>
              <w:pStyle w:val="Compact"/>
              <w:jc w:val="left"/>
            </w:pPr>
            <w:r>
              <w:t xml:space="preserve">0.360</w:t>
            </w:r>
          </w:p>
        </w:tc>
      </w:tr>
      <w:tr>
        <w:tc>
          <w:tcPr/>
          <w:p>
            <w:pPr>
              <w:pStyle w:val="Compact"/>
              <w:jc w:val="left"/>
            </w:pPr>
            <w:r>
              <w:t xml:space="preserve">Not FOA (Organisation)</w:t>
            </w:r>
          </w:p>
        </w:tc>
        <w:tc>
          <w:tcPr/>
          <w:p>
            <w:pPr>
              <w:pStyle w:val="Compact"/>
              <w:jc w:val="left"/>
            </w:pPr>
            <w:r>
              <w:t xml:space="preserve">Severe</w:t>
            </w:r>
          </w:p>
        </w:tc>
        <w:tc>
          <w:tcPr/>
          <w:p>
            <w:pPr>
              <w:pStyle w:val="Compact"/>
              <w:jc w:val="left"/>
            </w:pPr>
            <w:r>
              <w:t xml:space="preserve">-0.04</w:t>
            </w:r>
          </w:p>
        </w:tc>
        <w:tc>
          <w:tcPr/>
          <w:p>
            <w:pPr>
              <w:pStyle w:val="Compact"/>
              <w:jc w:val="left"/>
            </w:pPr>
            <w:r>
              <w:t xml:space="preserve">-0.18</w:t>
            </w:r>
          </w:p>
        </w:tc>
        <w:tc>
          <w:tcPr/>
          <w:p>
            <w:pPr>
              <w:pStyle w:val="Compact"/>
              <w:jc w:val="left"/>
            </w:pPr>
            <w:r>
              <w:t xml:space="preserve">[-0.32, -0.04]</w:t>
            </w:r>
          </w:p>
        </w:tc>
        <w:tc>
          <w:tcPr/>
          <w:p>
            <w:pPr>
              <w:pStyle w:val="Compact"/>
              <w:jc w:val="left"/>
            </w:pPr>
            <w:r>
              <w:t xml:space="preserve">0.010</w:t>
            </w:r>
          </w:p>
        </w:tc>
      </w:tr>
    </w:tbl>
    <w:bookmarkEnd w:id="35"/>
    <w:bookmarkEnd w:id="36"/>
    <w:bookmarkStart w:id="41" w:name="figures"/>
    <w:p>
      <w:pPr>
        <w:pStyle w:val="Heading2"/>
      </w:pPr>
      <w:r>
        <w:t xml:space="preserve">Figures</w:t>
      </w:r>
    </w:p>
    <w:tbl>
      <w:tblPr>
        <w:tblStyle w:val="Table"/>
        <w:tblW w:type="pct" w:w="5000"/>
        <w:tblLook w:firstRow="0" w:lastRow="0" w:firstColumn="0" w:lastColumn="0" w:noHBand="0" w:noVBand="0" w:val="0000"/>
        <w:jc w:val="start"/>
      </w:tblPr>
      <w:tblGrid>
        <w:gridCol w:w="7920"/>
      </w:tblGrid>
      <w:tr>
        <w:tc>
          <w:tcPr/>
          <w:bookmarkStart w:id="40" w:name="fig-fp"/>
          <w:p>
            <w:pPr>
              <w:jc w:val="center"/>
            </w:pPr>
            <w:r>
              <w:drawing>
                <wp:inline>
                  <wp:extent cx="5943600" cy="8585200"/>
                  <wp:effectExtent b="0" l="0" r="0" t="0"/>
                  <wp:docPr descr="" title="" id="38" name="Picture"/>
                  <a:graphic>
                    <a:graphicData uri="http://schemas.openxmlformats.org/drawingml/2006/picture">
                      <pic:pic>
                        <pic:nvPicPr>
                          <pic:cNvPr descr="forest_plot_foa.pdf" id="39" name="Picture"/>
                          <pic:cNvPicPr>
                            <a:picLocks noChangeArrowheads="1" noChangeAspect="1"/>
                          </pic:cNvPicPr>
                        </pic:nvPicPr>
                        <pic:blipFill>
                          <a:blip r:embed="rId37"/>
                          <a:stretch>
                            <a:fillRect/>
                          </a:stretch>
                        </pic:blipFill>
                        <pic:spPr bwMode="auto">
                          <a:xfrm>
                            <a:off x="0" y="0"/>
                            <a:ext cx="5943600" cy="8585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Forest plot</w:t>
            </w:r>
          </w:p>
          <w:bookmarkEnd w:id="40"/>
        </w:tc>
      </w:tr>
    </w:tbl>
    <w:bookmarkEnd w:id="41"/>
    <w:bookmarkStart w:id="61" w:name="references"/>
    <w:p>
      <w:pPr>
        <w:pStyle w:val="Heading2"/>
      </w:pPr>
      <w:r>
        <w:t xml:space="preserve">References</w:t>
      </w:r>
    </w:p>
    <w:bookmarkStart w:id="60" w:name="refs"/>
    <w:bookmarkStart w:id="42" w:name="ref-meta"/>
    <w:p>
      <w:pPr>
        <w:pStyle w:val="Bibliography"/>
      </w:pPr>
      <w:r>
        <w:t xml:space="preserve">Balduzzi, Sara, Gerta Rücker, and Guido Schwarzer. 2019.</w:t>
      </w:r>
      <w:r>
        <w:t xml:space="preserve"> </w:t>
      </w:r>
      <w:r>
        <w:t xml:space="preserve">“How to Perform a Meta-Analysis with {R}: A Practical Tutorial.”</w:t>
      </w:r>
    </w:p>
    <w:bookmarkEnd w:id="42"/>
    <w:bookmarkStart w:id="43" w:name="ref-cohen1988"/>
    <w:p>
      <w:pPr>
        <w:pStyle w:val="Bibliography"/>
      </w:pPr>
      <w:r>
        <w:t xml:space="preserve">Cohen, J. 1988.</w:t>
      </w:r>
      <w:r>
        <w:t xml:space="preserve"> </w:t>
      </w:r>
      <w:r>
        <w:rPr>
          <w:iCs/>
          <w:i/>
        </w:rPr>
        <w:t xml:space="preserve">Statistical Power Analysis for the Behavioural Sciences</w:t>
      </w:r>
      <w:r>
        <w:t xml:space="preserve">. 2nd ed. New York: Academic Press.</w:t>
      </w:r>
    </w:p>
    <w:bookmarkEnd w:id="43"/>
    <w:bookmarkStart w:id="45" w:name="ref-colincameron2015"/>
    <w:p>
      <w:pPr>
        <w:pStyle w:val="Bibliography"/>
      </w:pPr>
      <w:r>
        <w:t xml:space="preserve">Colin Cameron, A., and Douglas L. Miller. 2015.</w:t>
      </w:r>
      <w:r>
        <w:t xml:space="preserve"> </w:t>
      </w:r>
      <w:r>
        <w:t xml:space="preserve">“A Practitioner’s Guide to Cluster-Robust Inference.”</w:t>
      </w:r>
      <w:r>
        <w:t xml:space="preserve"> </w:t>
      </w:r>
      <w:r>
        <w:rPr>
          <w:iCs/>
          <w:i/>
        </w:rPr>
        <w:t xml:space="preserve">Journal of Human Resources</w:t>
      </w:r>
      <w:r>
        <w:t xml:space="preserve"> </w:t>
      </w:r>
      <w:r>
        <w:t xml:space="preserve">50 (2): 317–72.</w:t>
      </w:r>
      <w:r>
        <w:t xml:space="preserve"> </w:t>
      </w:r>
      <w:hyperlink r:id="rId44">
        <w:r>
          <w:rPr>
            <w:rStyle w:val="Hyperlink"/>
          </w:rPr>
          <w:t xml:space="preserve">https://doi.org/10.3368/jhr.50.2.317</w:t>
        </w:r>
      </w:hyperlink>
      <w:r>
        <w:t xml:space="preserve">.</w:t>
      </w:r>
    </w:p>
    <w:bookmarkEnd w:id="45"/>
    <w:bookmarkStart w:id="47" w:name="ref-hagenaars2009"/>
    <w:p>
      <w:pPr>
        <w:pStyle w:val="Bibliography"/>
      </w:pPr>
      <w:r>
        <w:t xml:space="preserve">Hagenaars, Muriel A., Agnes van Minnen, Cees A.L. Hoogduin, and Marc Verbraak. 2009.</w:t>
      </w:r>
      <w:r>
        <w:t xml:space="preserve"> </w:t>
      </w:r>
      <w:r>
        <w:t xml:space="preserve">“A Transdiagnostic Comparison of Trauma and Panic Memories in PTSD, Panic Disorder, and Healthy Controls.”</w:t>
      </w:r>
      <w:r>
        <w:t xml:space="preserve"> </w:t>
      </w:r>
      <w:r>
        <w:rPr>
          <w:iCs/>
          <w:i/>
        </w:rPr>
        <w:t xml:space="preserve">Journal of Behavior Therapy and Experimental Psychiatry</w:t>
      </w:r>
      <w:r>
        <w:t xml:space="preserve"> </w:t>
      </w:r>
      <w:r>
        <w:t xml:space="preserve">40 (3): 412–22.</w:t>
      </w:r>
      <w:r>
        <w:t xml:space="preserve"> </w:t>
      </w:r>
      <w:hyperlink r:id="rId46">
        <w:r>
          <w:rPr>
            <w:rStyle w:val="Hyperlink"/>
          </w:rPr>
          <w:t xml:space="preserve">https://doi.org/10.1016/j.jbtep.2009.04.001</w:t>
        </w:r>
      </w:hyperlink>
      <w:r>
        <w:t xml:space="preserve">.</w:t>
      </w:r>
    </w:p>
    <w:bookmarkEnd w:id="47"/>
    <w:bookmarkStart w:id="48" w:name="ref-hedges1981"/>
    <w:p>
      <w:pPr>
        <w:pStyle w:val="Bibliography"/>
      </w:pPr>
      <w:r>
        <w:t xml:space="preserve">Hedges, L. 1981.</w:t>
      </w:r>
      <w:r>
        <w:t xml:space="preserve"> </w:t>
      </w:r>
      <w:r>
        <w:t xml:space="preserve">“Distribution Theory for Glass’s Estimator of Effect Size and Related Estimators.”</w:t>
      </w:r>
      <w:r>
        <w:t xml:space="preserve"> </w:t>
      </w:r>
      <w:r>
        <w:rPr>
          <w:iCs/>
          <w:i/>
        </w:rPr>
        <w:t xml:space="preserve">Journal of Educational Statistics</w:t>
      </w:r>
      <w:r>
        <w:t xml:space="preserve"> </w:t>
      </w:r>
      <w:r>
        <w:t xml:space="preserve">6: 107–28.</w:t>
      </w:r>
    </w:p>
    <w:bookmarkEnd w:id="48"/>
    <w:bookmarkStart w:id="50" w:name="ref-mathur2020"/>
    <w:p>
      <w:pPr>
        <w:pStyle w:val="Bibliography"/>
      </w:pPr>
      <w:r>
        <w:t xml:space="preserve">Mathur, Maya B., and Tyler J. VanderWeele. 2020.</w:t>
      </w:r>
      <w:r>
        <w:t xml:space="preserve"> </w:t>
      </w:r>
      <w:r>
        <w:t xml:space="preserve">“A Simple, Interpretable Conversion from Pearson’s Correlation to Cohen’s &lt;Em&gt;d&lt;/Em&gt; for Continuous Exposures.”</w:t>
      </w:r>
      <w:r>
        <w:t xml:space="preserve"> </w:t>
      </w:r>
      <w:r>
        <w:rPr>
          <w:iCs/>
          <w:i/>
        </w:rPr>
        <w:t xml:space="preserve">Epidemiology</w:t>
      </w:r>
      <w:r>
        <w:t xml:space="preserve"> </w:t>
      </w:r>
      <w:r>
        <w:t xml:space="preserve">31 (2): e16–17.</w:t>
      </w:r>
      <w:r>
        <w:t xml:space="preserve"> </w:t>
      </w:r>
      <w:hyperlink r:id="rId49">
        <w:r>
          <w:rPr>
            <w:rStyle w:val="Hyperlink"/>
          </w:rPr>
          <w:t xml:space="preserve">https://doi.org/10.1097/EDE.0000000000001111</w:t>
        </w:r>
      </w:hyperlink>
      <w:r>
        <w:t xml:space="preserve">.</w:t>
      </w:r>
    </w:p>
    <w:bookmarkEnd w:id="50"/>
    <w:bookmarkStart w:id="52" w:name="ref-oneill2014"/>
    <w:p>
      <w:pPr>
        <w:pStyle w:val="Bibliography"/>
      </w:pPr>
      <w:r>
        <w:t xml:space="preserve">O’Neill, B. 2014.</w:t>
      </w:r>
      <w:r>
        <w:t xml:space="preserve"> </w:t>
      </w:r>
      <w:r>
        <w:t xml:space="preserve">“Some Useful Moment Results in Sampling Problems.”</w:t>
      </w:r>
      <w:r>
        <w:t xml:space="preserve"> </w:t>
      </w:r>
      <w:r>
        <w:rPr>
          <w:iCs/>
          <w:i/>
        </w:rPr>
        <w:t xml:space="preserve">The American Statistician</w:t>
      </w:r>
      <w:r>
        <w:t xml:space="preserve"> </w:t>
      </w:r>
      <w:r>
        <w:t xml:space="preserve">68 (4): 282–96.</w:t>
      </w:r>
      <w:r>
        <w:t xml:space="preserve"> </w:t>
      </w:r>
      <w:hyperlink r:id="rId51">
        <w:r>
          <w:rPr>
            <w:rStyle w:val="Hyperlink"/>
          </w:rPr>
          <w:t xml:space="preserve">https://doi.org/10.1080/00031305.2014.966589</w:t>
        </w:r>
      </w:hyperlink>
      <w:r>
        <w:t xml:space="preserve">.</w:t>
      </w:r>
    </w:p>
    <w:bookmarkEnd w:id="52"/>
    <w:bookmarkStart w:id="54" w:name="ref-base"/>
    <w:p>
      <w:pPr>
        <w:pStyle w:val="Bibliography"/>
      </w:pPr>
      <w:r>
        <w:t xml:space="preserve">R Core Team. 2023.</w:t>
      </w:r>
      <w:r>
        <w:t xml:space="preserve"> </w:t>
      </w:r>
      <w:r>
        <w:t xml:space="preserve">“R: A Language and Environment for Statistical Computing.”</w:t>
      </w:r>
      <w:r>
        <w:t xml:space="preserve"> </w:t>
      </w:r>
      <w:hyperlink r:id="rId53">
        <w:r>
          <w:rPr>
            <w:rStyle w:val="Hyperlink"/>
          </w:rPr>
          <w:t xml:space="preserve">https://www.R-project.org/</w:t>
        </w:r>
      </w:hyperlink>
      <w:r>
        <w:t xml:space="preserve">.</w:t>
      </w:r>
    </w:p>
    <w:bookmarkEnd w:id="54"/>
    <w:bookmarkStart w:id="55" w:name="ref-vevea2005"/>
    <w:p>
      <w:pPr>
        <w:pStyle w:val="Bibliography"/>
      </w:pPr>
      <w:r>
        <w:t xml:space="preserve">Vevea, J. L., and C. M. Woods. 2005.</w:t>
      </w:r>
      <w:r>
        <w:t xml:space="preserve"> </w:t>
      </w:r>
      <w:r>
        <w:t xml:space="preserve">“Publication Bias in Research Synthesis: Sensitivity Analysis Using a Priori Weight Functions.”</w:t>
      </w:r>
      <w:r>
        <w:t xml:space="preserve"> </w:t>
      </w:r>
      <w:r>
        <w:rPr>
          <w:iCs/>
          <w:i/>
        </w:rPr>
        <w:t xml:space="preserve">Psychological Methods</w:t>
      </w:r>
      <w:r>
        <w:t xml:space="preserve"> </w:t>
      </w:r>
      <w:r>
        <w:t xml:space="preserve">10 (December): 428–43.</w:t>
      </w:r>
    </w:p>
    <w:bookmarkEnd w:id="55"/>
    <w:bookmarkStart w:id="57" w:name="ref-metafor"/>
    <w:p>
      <w:pPr>
        <w:pStyle w:val="Bibliography"/>
      </w:pPr>
      <w:r>
        <w:t xml:space="preserve">Viechtbauer, Wolfgang. 2010.</w:t>
      </w:r>
      <w:r>
        <w:t xml:space="preserve"> </w:t>
      </w:r>
      <w:r>
        <w:t xml:space="preserve">“Conducting Meta-Analyses in {R} with the {Metafor} Package.”</w:t>
      </w:r>
      <w:r>
        <w:t xml:space="preserve"> </w:t>
      </w:r>
      <w:hyperlink r:id="rId56">
        <w:r>
          <w:rPr>
            <w:rStyle w:val="Hyperlink"/>
          </w:rPr>
          <w:t xml:space="preserve">https://doi.org/10.18637/jss.v036.i03</w:t>
        </w:r>
      </w:hyperlink>
      <w:r>
        <w:t xml:space="preserve">.</w:t>
      </w:r>
    </w:p>
    <w:bookmarkEnd w:id="57"/>
    <w:bookmarkStart w:id="59" w:name="ref-tidyverse"/>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 </w:t>
      </w:r>
      <w:hyperlink r:id="rId58">
        <w:r>
          <w:rPr>
            <w:rStyle w:val="Hyperlink"/>
          </w:rPr>
          <w:t xml:space="preserve">https://doi.org/10.21105/joss.01686</w:t>
        </w:r>
      </w:hyperlink>
      <w:r>
        <w:t xml:space="preserve">.</w:t>
      </w:r>
    </w:p>
    <w:bookmarkEnd w:id="59"/>
    <w:bookmarkEnd w:id="60"/>
    <w:bookmarkEnd w:id="61"/>
    <w:sectPr w:rsidR="00861AD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Headings C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original effect size from</w:t>
      </w:r>
      <w:r>
        <w:t xml:space="preserve"> </w:t>
      </w:r>
      <w:r>
        <w:t xml:space="preserve">Hagenaars et al. (2009)</w:t>
      </w:r>
      <w:r>
        <w:t xml:space="preserve"> </w:t>
      </w:r>
      <w:r>
        <w:t xml:space="preserve">was implausibly large (</w:t>
      </w:r>
      <m:oMath>
        <m:r>
          <m:t>g</m:t>
        </m:r>
        <m:r>
          <m:rPr>
            <m:sty m:val="p"/>
          </m:rPr>
          <m:t>&gt;</m:t>
        </m:r>
        <m:r>
          <m:t>4</m:t>
        </m:r>
      </m:oMath>
      <w:r>
        <w:t xml:space="preserve">). The authors confirmed our suspicion that the reported standard deviations were standard errors so the reported values converted to standard deviations.</w:t>
      </w:r>
    </w:p>
  </w:footnote>
  <w:footnote w:id="22">
    <w:p>
      <w:pPr>
        <w:pStyle w:val="FootnoteText"/>
      </w:pPr>
      <w:r>
        <w:rPr>
          <w:rStyle w:val="FootnoteReference"/>
        </w:rPr>
        <w:footnoteRef/>
      </w:r>
      <w:r>
        <w:t xml:space="preserve"> </w:t>
      </w:r>
      <w:r>
        <w:t xml:space="preserve">For the</w:t>
      </w:r>
      <w:r>
        <w:t xml:space="preserve"> </w:t>
      </w:r>
      <m:oMath>
        <m:r>
          <m:t>k</m:t>
        </m:r>
      </m:oMath>
      <w:r>
        <w:t xml:space="preserve"> </w:t>
      </w:r>
      <w:r>
        <w:t xml:space="preserve">= 6 effect sizes where descriptive information about the PTSD measure was available, the average mean difference was 19.30 with an average standard deviation of 11.81 yielding a ratio of 1.63. The implication being for the</w:t>
      </w:r>
      <w:r>
        <w:t xml:space="preserve"> </w:t>
      </w:r>
      <m:oMath>
        <m:r>
          <m:t>k</m:t>
        </m:r>
      </m:oMath>
      <w:r>
        <w:t xml:space="preserve"> </w:t>
      </w:r>
      <w:r>
        <w:t xml:space="preserve">= 27 effect sizes where descriptive information about the PTSD measure was not available, the effect sizes from the point biserial formula are a reasonable approximation of the values that would have been obtained had enough information been available to use the formula to convert</w:t>
      </w:r>
      <w:r>
        <w:t xml:space="preserve"> </w:t>
      </w:r>
      <w:r>
        <w:rPr>
          <w:iCs/>
          <w:i/>
        </w:rPr>
        <w:t xml:space="preserve">r</w:t>
      </w:r>
      <w:r>
        <w:t xml:space="preserve"> </w:t>
      </w:r>
      <w:r>
        <w:t xml:space="preserve">based on a continuous measure.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CB8EA4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5335240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Headings CS)" w:eastAsiaTheme="minorHAnsi" w:hAnsi="Times New Roman"/>
        <w:bCs/>
        <w:kern w:val="24"/>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uiPriority="4"/>
    <w:lsdException w:name="heading 2" w:uiPriority="4"/>
    <w:lsdException w:name="heading 3" w:uiPriority="4"/>
    <w:lsdException w:name="heading 4" w:uiPriority="4"/>
    <w:lsdException w:name="heading 5" w:uiPriority="4"/>
    <w:lsdException w:name="footnote text" w:uiPriority="99"/>
    <w:lsdException w:name="caption" w:qFormat="1" w:uiPriority="35"/>
    <w:lsdException w:name="footnote reference" w:qFormat="1" w:uiPriority="99"/>
    <w:lsdException w:name="Title" w:uiPriority="1"/>
    <w:lsdException w:name="Body Text" w:uiPriority="99"/>
    <w:lsdException w:name="Date" w:uiPriority="99"/>
    <w:lsdException w:name="Block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uiPriority="37"/>
    <w:lsdException w:name="TOC Heading" w:uiPriority="3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4743D"/>
    <w:pPr>
      <w:spacing w:after="0" w:line="480" w:lineRule="auto"/>
      <w:ind w:firstLine="720"/>
    </w:pPr>
  </w:style>
  <w:style w:styleId="Heading1" w:type="paragraph">
    <w:name w:val="heading 1"/>
    <w:basedOn w:val="Normal"/>
    <w:next w:val="Normal"/>
    <w:link w:val="Heading1Char"/>
    <w:uiPriority w:val="4"/>
    <w:qFormat/>
    <w:rsid w:val="00D4743D"/>
    <w:pPr>
      <w:keepNext/>
      <w:keepLines/>
      <w:jc w:val="center"/>
      <w:outlineLvl w:val="0"/>
    </w:pPr>
    <w:rPr>
      <w:rFonts w:cstheme="majorBidi" w:eastAsiaTheme="majorEastAsia"/>
      <w:b/>
      <w:bCs w:val="0"/>
    </w:rPr>
  </w:style>
  <w:style w:styleId="Heading2" w:type="paragraph">
    <w:name w:val="heading 2"/>
    <w:basedOn w:val="Normal"/>
    <w:next w:val="Normal"/>
    <w:link w:val="Heading2Char"/>
    <w:uiPriority w:val="4"/>
    <w:unhideWhenUsed/>
    <w:qFormat/>
    <w:rsid w:val="00A570FC"/>
    <w:pPr>
      <w:keepNext/>
      <w:keepLines/>
      <w:outlineLvl w:val="1"/>
    </w:pPr>
    <w:rPr>
      <w:rFonts w:cstheme="majorBidi" w:eastAsiaTheme="majorEastAsia"/>
      <w:b/>
      <w:bCs w:val="0"/>
      <w:lang w:eastAsia="ja-JP"/>
    </w:rPr>
  </w:style>
  <w:style w:styleId="Heading3" w:type="paragraph">
    <w:name w:val="heading 3"/>
    <w:basedOn w:val="Normal"/>
    <w:next w:val="Normal"/>
    <w:link w:val="Heading3Char"/>
    <w:uiPriority w:val="4"/>
    <w:unhideWhenUsed/>
    <w:qFormat/>
    <w:rsid w:val="00A570FC"/>
    <w:pPr>
      <w:keepNext/>
      <w:keepLines/>
      <w:outlineLvl w:val="2"/>
    </w:pPr>
    <w:rPr>
      <w:rFonts w:cstheme="majorBidi" w:eastAsiaTheme="majorEastAsia"/>
      <w:b/>
      <w:bCs w:val="0"/>
      <w:lang w:eastAsia="ja-JP"/>
    </w:rPr>
  </w:style>
  <w:style w:styleId="Heading4" w:type="paragraph">
    <w:name w:val="heading 4"/>
    <w:basedOn w:val="Normal"/>
    <w:next w:val="Normal"/>
    <w:link w:val="Heading4Char"/>
    <w:uiPriority w:val="4"/>
    <w:unhideWhenUsed/>
    <w:qFormat/>
    <w:rsid w:val="00A570FC"/>
    <w:pPr>
      <w:keepNext/>
      <w:keepLines/>
      <w:outlineLvl w:val="3"/>
    </w:pPr>
    <w:rPr>
      <w:rFonts w:cstheme="majorBidi" w:eastAsiaTheme="majorEastAsia"/>
      <w:b/>
      <w:bCs w:val="0"/>
      <w:i/>
      <w:iCs/>
      <w:lang w:eastAsia="ja-JP"/>
    </w:rPr>
  </w:style>
  <w:style w:styleId="Heading5" w:type="paragraph">
    <w:name w:val="heading 5"/>
    <w:basedOn w:val="Normal"/>
    <w:next w:val="Normal"/>
    <w:link w:val="Heading5Char"/>
    <w:uiPriority w:val="4"/>
    <w:unhideWhenUsed/>
    <w:qFormat/>
    <w:rsid w:val="00A570FC"/>
    <w:pPr>
      <w:keepNext/>
      <w:keepLines/>
      <w:outlineLvl w:val="4"/>
    </w:pPr>
    <w:rPr>
      <w:rFonts w:cstheme="majorBidi" w:eastAsiaTheme="majorEastAsia"/>
      <w:i/>
      <w:iCs/>
      <w:lang w:eastAsia="ja-JP"/>
    </w:rPr>
  </w:style>
  <w:style w:styleId="Heading6" w:type="paragraph">
    <w:name w:val="heading 6"/>
    <w:basedOn w:val="Normal"/>
    <w:next w:val="Normal"/>
    <w:link w:val="Heading6Char"/>
    <w:uiPriority w:val="9"/>
    <w:qFormat/>
    <w:rsid w:val="00D4743D"/>
    <w:pPr>
      <w:keepNext/>
      <w:keepLines/>
      <w:spacing w:before="40"/>
      <w:outlineLvl w:val="5"/>
    </w:pPr>
    <w:rPr>
      <w:rFonts w:asciiTheme="majorHAnsi" w:cstheme="majorBidi" w:eastAsiaTheme="majorEastAsia" w:hAnsiTheme="majorHAnsi"/>
      <w:color w:themeColor="accent1" w:themeShade="7F" w:val="243F60"/>
      <w:lang w:eastAsia="ja-JP"/>
    </w:rPr>
  </w:style>
  <w:style w:styleId="Heading7" w:type="paragraph">
    <w:name w:val="heading 7"/>
    <w:basedOn w:val="Normal"/>
    <w:next w:val="Normal"/>
    <w:link w:val="Heading7Char"/>
    <w:uiPriority w:val="9"/>
    <w:qFormat/>
    <w:rsid w:val="00D4743D"/>
    <w:pPr>
      <w:keepNext/>
      <w:keepLines/>
      <w:spacing w:before="40"/>
      <w:outlineLvl w:val="6"/>
    </w:pPr>
    <w:rPr>
      <w:rFonts w:asciiTheme="majorHAnsi" w:cstheme="majorBidi" w:eastAsiaTheme="majorEastAsia" w:hAnsiTheme="majorHAnsi"/>
      <w:i/>
      <w:iCs/>
      <w:color w:themeColor="accent1" w:themeShade="7F" w:val="243F60"/>
      <w:lang w:eastAsia="ja-JP"/>
    </w:rPr>
  </w:style>
  <w:style w:styleId="Heading8" w:type="paragraph">
    <w:name w:val="heading 8"/>
    <w:basedOn w:val="Normal"/>
    <w:next w:val="Normal"/>
    <w:link w:val="Heading8Char"/>
    <w:uiPriority w:val="9"/>
    <w:qFormat/>
    <w:rsid w:val="00D4743D"/>
    <w:pPr>
      <w:keepNext/>
      <w:keepLines/>
      <w:spacing w:before="40"/>
      <w:outlineLvl w:val="7"/>
    </w:pPr>
    <w:rPr>
      <w:rFonts w:asciiTheme="majorHAnsi" w:cstheme="majorBidi" w:eastAsiaTheme="majorEastAsia" w:hAnsiTheme="majorHAnsi"/>
      <w:color w:themeColor="text1" w:themeTint="D8" w:val="272727"/>
      <w:sz w:val="21"/>
      <w:szCs w:val="21"/>
      <w:lang w:eastAsia="ja-JP"/>
    </w:rPr>
  </w:style>
  <w:style w:styleId="Heading9" w:type="paragraph">
    <w:name w:val="heading 9"/>
    <w:basedOn w:val="Normal"/>
    <w:next w:val="Normal"/>
    <w:link w:val="Heading9Char"/>
    <w:uiPriority w:val="9"/>
    <w:qFormat/>
    <w:rsid w:val="00D4743D"/>
    <w:pPr>
      <w:keepNext/>
      <w:keepLines/>
      <w:spacing w:before="40"/>
      <w:outlineLvl w:val="8"/>
    </w:pPr>
    <w:rPr>
      <w:rFonts w:asciiTheme="majorHAnsi" w:cstheme="majorBidi" w:eastAsiaTheme="majorEastAsia" w:hAnsiTheme="majorHAnsi"/>
      <w:i/>
      <w:iCs/>
      <w:color w:themeColor="text1" w:themeTint="D8" w:val="272727"/>
      <w:sz w:val="21"/>
      <w:szCs w:val="21"/>
      <w:lang w:eastAsia="ja-JP"/>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unhideWhenUsed/>
    <w:rsid w:val="00D4743D"/>
    <w:pPr>
      <w:spacing w:after="120"/>
    </w:pPr>
    <w:rPr>
      <w:rFonts w:eastAsiaTheme="minorEastAsia"/>
      <w:lang w:eastAsia="ja-JP"/>
    </w:rPr>
  </w:style>
  <w:style w:customStyle="1" w:styleId="FirstParagraph" w:type="paragraph">
    <w:name w:val="First Paragraph"/>
    <w:basedOn w:val="BodyText"/>
    <w:next w:val="BodyText"/>
    <w:qFormat/>
  </w:style>
  <w:style w:customStyle="1" w:styleId="Compact" w:type="paragraph">
    <w:name w:val="Compact"/>
    <w:basedOn w:val="BodyText"/>
    <w:qFormat/>
    <w:rsid w:val="005662D4"/>
    <w:pPr>
      <w:spacing w:after="36" w:before="36"/>
      <w:ind w:firstLine="0"/>
    </w:pPr>
    <w:rPr>
      <w:sz w:val="20"/>
    </w:rPr>
  </w:style>
  <w:style w:styleId="Title" w:type="paragraph">
    <w:name w:val="Title"/>
    <w:basedOn w:val="Normal"/>
    <w:next w:val="Normal"/>
    <w:link w:val="TitleChar"/>
    <w:uiPriority w:val="1"/>
    <w:qFormat/>
    <w:rsid w:val="00F65E37"/>
    <w:pPr>
      <w:spacing w:before="2400"/>
      <w:contextualSpacing/>
      <w:jc w:val="center"/>
    </w:pPr>
    <w:rPr>
      <w:rFonts w:cstheme="majorBidi" w:eastAsiaTheme="majorEastAsia"/>
    </w:rPr>
  </w:style>
  <w:style w:styleId="Subtitle" w:type="paragraph">
    <w:name w:val="Subtitle"/>
    <w:basedOn w:val="Title"/>
    <w:next w:val="BodyText"/>
    <w:qFormat/>
    <w:pPr>
      <w:keepNext/>
      <w:keepLines/>
      <w:spacing w:after="240" w:before="240"/>
    </w:pPr>
    <w:rPr>
      <w:sz w:val="30"/>
      <w:szCs w:val="30"/>
    </w:rPr>
  </w:style>
  <w:style w:customStyle="1" w:styleId="Author" w:type="paragraph">
    <w:name w:val="Author"/>
    <w:next w:val="BodyText"/>
    <w:qFormat/>
    <w:rsid w:val="00F65E37"/>
    <w:pPr>
      <w:keepNext/>
      <w:keepLines/>
      <w:jc w:val="center"/>
    </w:pPr>
  </w:style>
  <w:style w:styleId="Date" w:type="paragraph">
    <w:name w:val="Date"/>
    <w:basedOn w:val="Normal"/>
    <w:next w:val="Normal"/>
    <w:link w:val="DateChar"/>
    <w:uiPriority w:val="99"/>
    <w:unhideWhenUsed/>
    <w:rsid w:val="00D4743D"/>
    <w:rPr>
      <w:rFonts w:eastAsiaTheme="minorEastAsia"/>
      <w:lang w:eastAsia="ja-JP"/>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Normal"/>
    <w:uiPriority w:val="37"/>
    <w:unhideWhenUsed/>
    <w:qFormat/>
    <w:rsid w:val="00D4743D"/>
    <w:pPr>
      <w:ind w:hanging="720" w:left="720"/>
    </w:pPr>
    <w:rPr>
      <w:rFonts w:eastAsiaTheme="minorEastAsia"/>
      <w:lang w:eastAsia="ja-JP"/>
    </w:rPr>
  </w:style>
  <w:style w:styleId="BlockText" w:type="paragraph">
    <w:name w:val="Block Text"/>
    <w:basedOn w:val="Normal"/>
    <w:uiPriority w:val="99"/>
    <w:unhideWhenUsed/>
    <w:rsid w:val="00093108"/>
    <w:pPr>
      <w:pBdr>
        <w:top w:color="4F81BD" w:shadow="1" w:space="10" w:sz="2" w:themeColor="accent1" w:val="single"/>
        <w:left w:color="4F81BD" w:shadow="1" w:space="10" w:sz="2" w:themeColor="accent1" w:val="single"/>
        <w:bottom w:color="4F81BD" w:shadow="1" w:space="10" w:sz="2" w:themeColor="accent1" w:val="single"/>
        <w:right w:color="4F81BD" w:shadow="1" w:space="10" w:sz="2" w:themeColor="accent1" w:val="single"/>
      </w:pBdr>
      <w:ind w:left="1152" w:right="1152"/>
    </w:pPr>
    <w:rPr>
      <w:rFonts w:eastAsiaTheme="minorEastAsia"/>
      <w:i/>
      <w:iCs/>
      <w:lang w:eastAsia="ja-JP"/>
    </w:rPr>
  </w:style>
  <w:style w:styleId="FootnoteText" w:type="paragraph">
    <w:name w:val="footnote text"/>
    <w:basedOn w:val="Normal"/>
    <w:link w:val="FootnoteTextChar"/>
    <w:uiPriority w:val="99"/>
    <w:unhideWhenUsed/>
    <w:rsid w:val="00D4743D"/>
    <w:rPr>
      <w:rFonts w:eastAsiaTheme="minorEastAsia"/>
      <w:sz w:val="20"/>
      <w:szCs w:val="20"/>
      <w:lang w:eastAsia="ja-JP"/>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4C2E75"/>
    <w:rPr>
      <w:rFonts w:eastAsiaTheme="minorEastAsia"/>
      <w:i/>
      <w:iCs/>
      <w:szCs w:val="18"/>
      <w:lang w:eastAsia="ja-JP"/>
    </w:rPr>
  </w:style>
  <w:style w:customStyle="1" w:styleId="TableCaption" w:type="paragraph">
    <w:name w:val="Table Caption"/>
    <w:basedOn w:val="Normal"/>
    <w:rsid w:val="00093108"/>
    <w:pPr>
      <w:keepNext/>
    </w:pPr>
  </w:style>
  <w:style w:customStyle="1" w:styleId="ImageCaption" w:type="paragraph">
    <w:name w:val="Image Caption"/>
    <w:basedOn w:val="Table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4C2E75"/>
    <w:rPr>
      <w:rFonts w:eastAsiaTheme="minorEastAsia"/>
      <w:i/>
      <w:iCs/>
      <w:szCs w:val="18"/>
      <w:lang w:eastAsia="ja-JP"/>
    </w:rPr>
  </w:style>
  <w:style w:customStyle="1" w:styleId="VerbatimChar" w:type="character">
    <w:name w:val="Verbatim Char"/>
    <w:basedOn w:val="CaptionChar"/>
    <w:rPr>
      <w:rFonts w:ascii="Consolas" w:eastAsiaTheme="minorEastAsia" w:hAnsi="Consolas"/>
      <w:i/>
      <w:iCs/>
      <w:color w:themeColor="text2" w:val="1F497D"/>
      <w:kern w:val="24"/>
      <w:sz w:val="22"/>
      <w:szCs w:val="18"/>
      <w:lang w:eastAsia="ja-JP"/>
    </w:rPr>
  </w:style>
  <w:style w:styleId="FootnoteReference" w:type="character">
    <w:name w:val="footnote reference"/>
    <w:basedOn w:val="DefaultParagraphFont"/>
    <w:uiPriority w:val="99"/>
    <w:unhideWhenUsed/>
    <w:qFormat/>
    <w:rsid w:val="00D4743D"/>
    <w:rPr>
      <w:vertAlign w:val="superscript"/>
    </w:rPr>
  </w:style>
  <w:style w:styleId="Hyperlink" w:type="character">
    <w:name w:val="Hyperlink"/>
    <w:basedOn w:val="CaptionChar"/>
    <w:rsid w:val="004C2E75"/>
    <w:rPr>
      <w:rFonts w:eastAsiaTheme="minorEastAsia"/>
      <w:i w:val="0"/>
      <w:iCs/>
      <w:color w:val="auto"/>
      <w:kern w:val="24"/>
      <w:sz w:val="24"/>
      <w:szCs w:val="18"/>
      <w:lang w:eastAsia="ja-JP"/>
    </w:rPr>
  </w:style>
  <w:style w:styleId="TOCHeading" w:type="paragraph">
    <w:name w:val="TOC Heading"/>
    <w:basedOn w:val="Heading1"/>
    <w:next w:val="Normal"/>
    <w:uiPriority w:val="38"/>
    <w:unhideWhenUsed/>
    <w:qFormat/>
    <w:rsid w:val="00D4743D"/>
    <w:pPr>
      <w:keepNext w:val="0"/>
      <w:keepLines w:val="0"/>
      <w:pageBreakBefore/>
      <w:ind w:firstLine="0"/>
      <w:outlineLvl w:val="9"/>
    </w:pPr>
    <w:rPr>
      <w:b w:val="0"/>
      <w:bCs/>
      <w:kern w:val="0"/>
      <w:szCs w:val="32"/>
    </w:rPr>
  </w:style>
  <w:style w:customStyle="1" w:styleId="TitleChar" w:type="character">
    <w:name w:val="Title Char"/>
    <w:basedOn w:val="DefaultParagraphFont"/>
    <w:link w:val="Title"/>
    <w:uiPriority w:val="1"/>
    <w:rsid w:val="00F65E37"/>
    <w:rPr>
      <w:rFonts w:ascii="Times New Roman" w:cstheme="majorBidi" w:eastAsiaTheme="majorEastAsia" w:hAnsi="Times New Roman"/>
      <w:kern w:val="24"/>
      <w:lang w:eastAsia="ja-JP"/>
    </w:rPr>
  </w:style>
  <w:style w:customStyle="1" w:styleId="Heading1Char" w:type="character">
    <w:name w:val="Heading 1 Char"/>
    <w:basedOn w:val="DefaultParagraphFont"/>
    <w:link w:val="Heading1"/>
    <w:uiPriority w:val="4"/>
    <w:rsid w:val="00D4743D"/>
    <w:rPr>
      <w:rFonts w:ascii="Times New Roman" w:cstheme="majorBidi" w:eastAsiaTheme="majorEastAsia" w:hAnsi="Times New Roman"/>
      <w:b/>
      <w:bCs w:val="0"/>
      <w:kern w:val="24"/>
      <w:lang w:eastAsia="ja-JP"/>
    </w:rPr>
  </w:style>
  <w:style w:customStyle="1" w:styleId="Heading2Char" w:type="character">
    <w:name w:val="Heading 2 Char"/>
    <w:basedOn w:val="DefaultParagraphFont"/>
    <w:link w:val="Heading2"/>
    <w:uiPriority w:val="4"/>
    <w:rsid w:val="00A570FC"/>
    <w:rPr>
      <w:rFonts w:cstheme="majorBidi" w:eastAsiaTheme="majorEastAsia"/>
      <w:b/>
      <w:bCs w:val="0"/>
      <w:lang w:eastAsia="ja-JP"/>
    </w:rPr>
  </w:style>
  <w:style w:customStyle="1" w:styleId="Heading3Char" w:type="character">
    <w:name w:val="Heading 3 Char"/>
    <w:basedOn w:val="DefaultParagraphFont"/>
    <w:link w:val="Heading3"/>
    <w:uiPriority w:val="4"/>
    <w:rsid w:val="00A570FC"/>
    <w:rPr>
      <w:rFonts w:cstheme="majorBidi" w:eastAsiaTheme="majorEastAsia"/>
      <w:b/>
      <w:bCs w:val="0"/>
      <w:lang w:eastAsia="ja-JP"/>
    </w:rPr>
  </w:style>
  <w:style w:customStyle="1" w:styleId="Heading4Char" w:type="character">
    <w:name w:val="Heading 4 Char"/>
    <w:basedOn w:val="DefaultParagraphFont"/>
    <w:link w:val="Heading4"/>
    <w:uiPriority w:val="4"/>
    <w:rsid w:val="00A570FC"/>
    <w:rPr>
      <w:rFonts w:cstheme="majorBidi" w:eastAsiaTheme="majorEastAsia"/>
      <w:b/>
      <w:bCs w:val="0"/>
      <w:i/>
      <w:iCs/>
      <w:lang w:eastAsia="ja-JP"/>
    </w:rPr>
  </w:style>
  <w:style w:customStyle="1" w:styleId="Heading5Char" w:type="character">
    <w:name w:val="Heading 5 Char"/>
    <w:basedOn w:val="DefaultParagraphFont"/>
    <w:link w:val="Heading5"/>
    <w:uiPriority w:val="4"/>
    <w:rsid w:val="00A570FC"/>
    <w:rPr>
      <w:rFonts w:cstheme="majorBidi" w:eastAsiaTheme="majorEastAsia"/>
      <w:i/>
      <w:iCs/>
      <w:lang w:eastAsia="ja-JP"/>
    </w:rPr>
  </w:style>
  <w:style w:customStyle="1" w:styleId="Heading6Char" w:type="character">
    <w:name w:val="Heading 6 Char"/>
    <w:basedOn w:val="DefaultParagraphFont"/>
    <w:link w:val="Heading6"/>
    <w:uiPriority w:val="9"/>
    <w:rsid w:val="00D4743D"/>
    <w:rPr>
      <w:rFonts w:asciiTheme="majorHAnsi" w:cstheme="majorBidi" w:eastAsiaTheme="majorEastAsia" w:hAnsiTheme="majorHAnsi"/>
      <w:color w:themeColor="accent1" w:themeShade="7F" w:val="243F60"/>
      <w:kern w:val="24"/>
      <w:lang w:eastAsia="ja-JP"/>
    </w:rPr>
  </w:style>
  <w:style w:customStyle="1" w:styleId="Heading7Char" w:type="character">
    <w:name w:val="Heading 7 Char"/>
    <w:basedOn w:val="DefaultParagraphFont"/>
    <w:link w:val="Heading7"/>
    <w:uiPriority w:val="9"/>
    <w:rsid w:val="00D4743D"/>
    <w:rPr>
      <w:rFonts w:asciiTheme="majorHAnsi" w:cstheme="majorBidi" w:eastAsiaTheme="majorEastAsia" w:hAnsiTheme="majorHAnsi"/>
      <w:i/>
      <w:iCs/>
      <w:color w:themeColor="accent1" w:themeShade="7F" w:val="243F60"/>
      <w:kern w:val="24"/>
      <w:lang w:eastAsia="ja-JP"/>
    </w:rPr>
  </w:style>
  <w:style w:customStyle="1" w:styleId="Heading8Char" w:type="character">
    <w:name w:val="Heading 8 Char"/>
    <w:basedOn w:val="DefaultParagraphFont"/>
    <w:link w:val="Heading8"/>
    <w:uiPriority w:val="9"/>
    <w:rsid w:val="00D4743D"/>
    <w:rPr>
      <w:rFonts w:asciiTheme="majorHAnsi" w:cstheme="majorBidi" w:eastAsiaTheme="majorEastAsia" w:hAnsiTheme="majorHAnsi"/>
      <w:color w:themeColor="text1" w:themeTint="D8" w:val="272727"/>
      <w:kern w:val="24"/>
      <w:sz w:val="21"/>
      <w:szCs w:val="21"/>
      <w:lang w:eastAsia="ja-JP"/>
    </w:rPr>
  </w:style>
  <w:style w:customStyle="1" w:styleId="Heading9Char" w:type="character">
    <w:name w:val="Heading 9 Char"/>
    <w:basedOn w:val="DefaultParagraphFont"/>
    <w:link w:val="Heading9"/>
    <w:uiPriority w:val="9"/>
    <w:rsid w:val="00D4743D"/>
    <w:rPr>
      <w:rFonts w:asciiTheme="majorHAnsi" w:cstheme="majorBidi" w:eastAsiaTheme="majorEastAsia" w:hAnsiTheme="majorHAnsi"/>
      <w:i/>
      <w:iCs/>
      <w:color w:themeColor="text1" w:themeTint="D8" w:val="272727"/>
      <w:kern w:val="24"/>
      <w:sz w:val="21"/>
      <w:szCs w:val="21"/>
      <w:lang w:eastAsia="ja-JP"/>
    </w:rPr>
  </w:style>
  <w:style w:customStyle="1" w:styleId="BodyTextChar" w:type="character">
    <w:name w:val="Body Text Char"/>
    <w:basedOn w:val="DefaultParagraphFont"/>
    <w:link w:val="BodyText"/>
    <w:uiPriority w:val="99"/>
    <w:rsid w:val="00D4743D"/>
    <w:rPr>
      <w:rFonts w:eastAsiaTheme="minorEastAsia"/>
      <w:kern w:val="24"/>
      <w:lang w:eastAsia="ja-JP"/>
    </w:rPr>
  </w:style>
  <w:style w:customStyle="1" w:styleId="DateChar" w:type="character">
    <w:name w:val="Date Char"/>
    <w:basedOn w:val="DefaultParagraphFont"/>
    <w:link w:val="Date"/>
    <w:uiPriority w:val="99"/>
    <w:rsid w:val="00D4743D"/>
    <w:rPr>
      <w:rFonts w:eastAsiaTheme="minorEastAsia"/>
      <w:kern w:val="24"/>
      <w:lang w:eastAsia="ja-JP"/>
    </w:rPr>
  </w:style>
  <w:style w:customStyle="1" w:styleId="FootnoteTextChar" w:type="character">
    <w:name w:val="Footnote Text Char"/>
    <w:basedOn w:val="DefaultParagraphFont"/>
    <w:link w:val="FootnoteText"/>
    <w:uiPriority w:val="99"/>
    <w:rsid w:val="00D4743D"/>
    <w:rPr>
      <w:rFonts w:eastAsiaTheme="minorEastAsia"/>
      <w:kern w:val="24"/>
      <w:sz w:val="20"/>
      <w:szCs w:val="20"/>
      <w:lang w:eastAsia="ja-JP"/>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hyperlink" Id="rId46" Target="https://doi.org/10.1016/j.jbtep.2009.04.001" TargetMode="External" /><Relationship Type="http://schemas.openxmlformats.org/officeDocument/2006/relationships/hyperlink" Id="rId51" Target="https://doi.org/10.1080/00031305.2014.966589" TargetMode="External" /><Relationship Type="http://schemas.openxmlformats.org/officeDocument/2006/relationships/hyperlink" Id="rId49" Target="https://doi.org/10.1097/EDE.0000000000001111" TargetMode="External" /><Relationship Type="http://schemas.openxmlformats.org/officeDocument/2006/relationships/hyperlink" Id="rId56" Target="https://doi.org/10.18637/jss.v036.i03" TargetMode="External" /><Relationship Type="http://schemas.openxmlformats.org/officeDocument/2006/relationships/hyperlink" Id="rId58" Target="https://doi.org/10.21105/joss.01686" TargetMode="External" /><Relationship Type="http://schemas.openxmlformats.org/officeDocument/2006/relationships/hyperlink" Id="rId44" Target="https://doi.org/10.3368/jhr.50.2.317" TargetMode="External" /><Relationship Type="http://schemas.openxmlformats.org/officeDocument/2006/relationships/hyperlink" Id="rId5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j.jbtep.2009.04.001" TargetMode="External" /><Relationship Type="http://schemas.openxmlformats.org/officeDocument/2006/relationships/hyperlink" Id="rId51" Target="https://doi.org/10.1080/00031305.2014.966589" TargetMode="External" /><Relationship Type="http://schemas.openxmlformats.org/officeDocument/2006/relationships/hyperlink" Id="rId49" Target="https://doi.org/10.1097/EDE.0000000000001111" TargetMode="External" /><Relationship Type="http://schemas.openxmlformats.org/officeDocument/2006/relationships/hyperlink" Id="rId56" Target="https://doi.org/10.18637/jss.v036.i03" TargetMode="External" /><Relationship Type="http://schemas.openxmlformats.org/officeDocument/2006/relationships/hyperlink" Id="rId58" Target="https://doi.org/10.21105/joss.01686" TargetMode="External" /><Relationship Type="http://schemas.openxmlformats.org/officeDocument/2006/relationships/hyperlink" Id="rId44" Target="https://doi.org/10.3368/jhr.50.2.317" TargetMode="External" /><Relationship Type="http://schemas.openxmlformats.org/officeDocument/2006/relationships/hyperlink" Id="rId5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Manager/>
  <Company/>
  <LinksUpToDate>false</LinksUpToDate>
  <CharactersWithSpaces>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Brewin Meta Analysis</dc:title>
  <dc:creator>Andy P. Field</dc:creator>
  <cp:keywords/>
  <dcterms:created xsi:type="dcterms:W3CDTF">2023-12-15T23:37:09Z</dcterms:created>
  <dcterms:modified xsi:type="dcterms:W3CDTF">2023-12-15T23:37:09Z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date">
    <vt:lpwstr>2023-12-15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toc-title">
    <vt:lpwstr>Table of contents</vt:lpwstr>
  </property>
</Properties>
</file>