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29.png" ContentType="image/png"/>
  <Override PartName="/word/media/rId34.png" ContentType="image/png"/>
  <Override PartName="/word/media/rId55.png" ContentType="image/png"/>
  <Override PartName="/word/media/rId58.png" ContentType="image/png"/>
  <Override PartName="/word/media/rId71.png" ContentType="image/png"/>
  <Override PartName="/word/media/rId77.png" ContentType="image/png"/>
  <Override PartName="/word/media/rId83.png" ContentType="image/png"/>
  <Override PartName="/word/media/rId86.png" ContentType="image/png"/>
  <Override PartName="/word/media/rId92.png" ContentType="image/png"/>
  <Override PartName="/word/media/rId95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8.png" ContentType="image/png"/>
  <Override PartName="/word/media/rId24.png" ContentType="image/png"/>
  <Override PartName="/word/media/rId17.png" ContentType="image/png"/>
  <Override PartName="/word/media/rId20.png" ContentType="image/png"/>
  <Override PartName="/word/media/rId106.png" ContentType="image/png"/>
  <Override PartName="/word/media/rId66.png" ContentType="image/png"/>
  <Override PartName="/word/media/rId1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4" w:name="interpreting-models"/>
    <w:p>
      <w:pPr>
        <w:pStyle w:val="Heading1"/>
      </w:pPr>
      <w:r>
        <w:t xml:space="preserve">Interpreting Models</w:t>
      </w:r>
    </w:p>
    <w:p>
      <w:pPr>
        <w:pStyle w:val="FirstParagraph"/>
      </w:pPr>
      <w:r>
        <w:rPr>
          <w:b/>
          <w:bCs/>
        </w:rPr>
        <w:t xml:space="preserve">Parameter estimates, confidence intervals and p-values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black crown initiate great mistake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4">
        <w:r>
          <w:rPr>
            <w:rStyle w:val="Hyperlink"/>
          </w:rPr>
          <w:t xml:space="preserve">statisticsadventure.com</w:t>
        </w:r>
      </w:hyperlink>
    </w:p>
    <w:bookmarkStart w:id="15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5"/>
    <w:bookmarkStart w:id="16" w:name="slide-2-learning-outcomes"/>
    <w:p>
      <w:pPr>
        <w:pStyle w:val="Heading2"/>
      </w:pPr>
      <w:r>
        <w:t xml:space="preserve">Slide 2: Learning outcomes</w:t>
      </w:r>
    </w:p>
    <w:p>
      <w:pPr>
        <w:pStyle w:val="FirstParagraph"/>
      </w:pPr>
      <w:r>
        <w:t xml:space="preserve">Be able to interpret</w:t>
      </w:r>
    </w:p>
    <w:p>
      <w:pPr>
        <w:pStyle w:val="Compact"/>
        <w:numPr>
          <w:ilvl w:val="0"/>
          <w:numId w:val="1001"/>
        </w:numPr>
      </w:pPr>
      <w:r>
        <w:t xml:space="preserve">Parameter estimates</w:t>
      </w:r>
    </w:p>
    <w:p>
      <w:pPr>
        <w:pStyle w:val="Compact"/>
        <w:numPr>
          <w:ilvl w:val="0"/>
          <w:numId w:val="1001"/>
        </w:numPr>
      </w:pPr>
      <w:r>
        <w:t xml:space="preserve">Standardized parameter estimates</w:t>
      </w:r>
    </w:p>
    <w:p>
      <w:pPr>
        <w:pStyle w:val="Compact"/>
        <w:numPr>
          <w:ilvl w:val="0"/>
          <w:numId w:val="1001"/>
        </w:numPr>
      </w:pPr>
      <w:r>
        <w:t xml:space="preserve">Their confidence intervals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</w:t>
      </w:r>
      <w:r>
        <w:t xml:space="preserve">-values</w:t>
      </w:r>
    </w:p>
    <w:bookmarkEnd w:id="16"/>
    <w:bookmarkStart w:id="23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18" name="Picture"/>
            <a:graphic>
              <a:graphicData uri="http://schemas.openxmlformats.org/drawingml/2006/picture">
                <pic:pic>
                  <pic:nvPicPr>
                    <pic:cNvPr descr="images/spine_ma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21" name="Picture"/>
            <a:graphic>
              <a:graphicData uri="http://schemas.openxmlformats.org/drawingml/2006/picture">
                <pic:pic>
                  <pic:nvPicPr>
                    <pic:cNvPr descr="images/spine_map_lec_0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25" name="Picture"/>
            <a:graphic>
              <a:graphicData uri="http://schemas.openxmlformats.org/drawingml/2006/picture">
                <pic:pic>
                  <pic:nvPicPr>
                    <pic:cNvPr descr="images/dsr2_fig_04_39_work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35941a65764f3aa70c625dcd4144ecfbc59c458"/>
    <w:p>
      <w:pPr>
        <w:pStyle w:val="Heading2"/>
      </w:pPr>
      <w:r>
        <w:t xml:space="preserve">Slide 5 (new section): Interpreting parameter estimates</w:t>
      </w:r>
    </w:p>
    <w:bookmarkEnd w:id="28"/>
    <w:bookmarkStart w:id="33" w:name="slide-6-raw-effect-size-b"/>
    <w:p>
      <w:pPr>
        <w:pStyle w:val="Heading2"/>
      </w:pPr>
      <w:r>
        <w:t xml:space="preserve">Slide 6: Raw effect size (b)</w:t>
      </w:r>
    </w:p>
    <w:p>
      <w:pPr>
        <w:pStyle w:val="FirstParagraph"/>
      </w:pPr>
      <w:r>
        <w:drawing>
          <wp:inline>
            <wp:extent cx="5334000" cy="11545454"/>
            <wp:effectExtent b="0" l="0" r="0" t="0"/>
            <wp:docPr descr="Image: date night small (no description provided yet)" title="" id="30" name="Picture"/>
            <a:graphic>
              <a:graphicData uri="http://schemas.openxmlformats.org/drawingml/2006/picture">
                <pic:pic>
                  <pic:nvPicPr>
                    <pic:cNvPr descr="images/date_night_smal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Does playing hard to get work?</w:t>
      </w:r>
      <w:r>
        <w:rPr>
          <w:vertAlign w:val="superscript"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Heterosexual participants conversed with an opposite-sex confederate over Instant Messenger for 8 mins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Interest</w:t>
      </w:r>
      <w:r>
        <w:t xml:space="preserve">: Final message coded for the number of expressions of romantic interest (range 0 to 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 to get</w:t>
      </w:r>
      <w:r>
        <w:t xml:space="preserve">: 3 items rated 1 (not at all) and 5 (very much so)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The other participant is hard to get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 value</w:t>
      </w:r>
      <w:r>
        <w:t xml:space="preserve">: 4 items rated 1 (not at all) and 5 (very much so)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I perceive the other participant as a valued mate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Birnbaum et al. (2020).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Journal of Social and Personal Relationships</w:t>
        </w:r>
        <w:r>
          <w:rPr>
            <w:rStyle w:val="Hyperlink"/>
          </w:rPr>
          <w:t xml:space="preserve">. Study 3.</w:t>
        </w:r>
      </w:hyperlink>
    </w:p>
    <w:bookmarkEnd w:id="33"/>
    <w:bookmarkStart w:id="37" w:name="slide-7-the-model"/>
    <w:p>
      <w:pPr>
        <w:pStyle w:val="Heading2"/>
      </w:pPr>
      <w:r>
        <w:t xml:space="preserve">Slide 7: The model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35" name="Picture"/>
            <a:graphic>
              <a:graphicData uri="http://schemas.openxmlformats.org/drawingml/2006/picture">
                <pic:pic>
                  <pic:nvPicPr>
                    <pic:cNvPr descr="images/ds_interpretation_slide007_unnamed-chunk-9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(-0.73, 1.35)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get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(-0.04, 0.62)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As the perception that the other person was hard to get increased by 1 (on a scale from 1-5),</w:t>
      </w:r>
      <w:r>
        <w:t xml:space="preserve"> </w:t>
      </w:r>
      <w:r>
        <w:rPr>
          <w:b/>
          <w:bCs/>
        </w:rPr>
        <w:t xml:space="preserve">0.29</w:t>
      </w:r>
      <w:r>
        <w:t xml:space="preserve"> </w:t>
      </w:r>
      <w:r>
        <w:t xml:space="preserve">more expressions of interest were made.</w:t>
      </w:r>
    </w:p>
    <w:p>
      <w:pPr>
        <w:pStyle w:val="Compact"/>
        <w:numPr>
          <w:ilvl w:val="0"/>
          <w:numId w:val="1006"/>
        </w:numPr>
      </w:pPr>
      <w:r>
        <w:t xml:space="preserve">You’d need perceptions of ‘hard to get’ to increase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0.29</m:t>
            </m:r>
          </m:den>
        </m:f>
      </m:oMath>
      <w:r>
        <w:t xml:space="preserve"> </w:t>
      </w:r>
      <w:r>
        <w:t xml:space="preserve">= 3.40 on a 5-point scale to get 1 additional expression of interest.</w:t>
      </w:r>
    </w:p>
    <w:bookmarkEnd w:id="37"/>
    <w:bookmarkStart w:id="38" w:name="X6f0c47d3410aa6997d0cf6f2975bd7c511dc278"/>
    <w:p>
      <w:pPr>
        <w:pStyle w:val="Heading2"/>
      </w:pPr>
      <w:r>
        <w:t xml:space="preserve">Slide 8 (new section): Standardized parameter estimates</w:t>
      </w:r>
    </w:p>
    <w:bookmarkEnd w:id="38"/>
    <w:bookmarkStart w:id="40" w:name="slide-9-standardized-beta-beta"/>
    <w:p>
      <w:pPr>
        <w:pStyle w:val="Heading2"/>
      </w:pPr>
      <w:r>
        <w:t xml:space="preserve">Slide 9: Standardized beta (\(\beta\))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07"/>
        </w:numPr>
      </w:pPr>
      <w:r>
        <w:t xml:space="preserve">Standardized parameter estimates express effects in standard deviation units</w:t>
      </w:r>
    </w:p>
    <w:p>
      <w:pPr>
        <w:pStyle w:val="Compact"/>
        <w:numPr>
          <w:ilvl w:val="0"/>
          <w:numId w:val="1007"/>
        </w:numPr>
      </w:pPr>
      <w:r>
        <w:t xml:space="preserve">With one predictor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Pearson correlation coefficient.</w:t>
      </w:r>
    </w:p>
    <w:p>
      <w:pPr>
        <w:pStyle w:val="Compact"/>
        <w:numPr>
          <w:ilvl w:val="0"/>
          <w:numId w:val="1007"/>
        </w:numPr>
      </w:pPr>
      <w:r>
        <w:t xml:space="preserve">Can be compared across studies that used different measures of the same variables</w:t>
      </w:r>
    </w:p>
    <w:p>
      <w:pPr>
        <w:pStyle w:val="Compact"/>
        <w:numPr>
          <w:ilvl w:val="0"/>
          <w:numId w:val="1007"/>
        </w:numPr>
      </w:pPr>
      <w:r>
        <w:t xml:space="preserve">It is like estimating parameters from the data when they have been converted to</w:t>
      </w:r>
      <w:r>
        <w:t xml:space="preserve"> </w:t>
      </w:r>
      <w:r>
        <w:rPr>
          <w:i/>
          <w:iCs/>
        </w:rPr>
        <w:t xml:space="preserve">z</w:t>
      </w:r>
      <w:r>
        <w:t xml:space="preserve">-scores (i.e., Mean = 0, SD = 1)</w:t>
      </w:r>
    </w:p>
    <w:bookmarkStart w:id="39" w:name="the-model"/>
    <w:p>
      <w:pPr>
        <w:pStyle w:val="Heading3"/>
      </w:pPr>
      <w:r>
        <w:t xml:space="preserve">The model</w:t>
      </w:r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interest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t>z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hard to get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-1.64e-16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(-0.17, 0.17)</w:t>
            </w:r>
          </w:p>
        </w:tc>
        <w:tc>
          <w:tcPr/>
          <w:p>
            <w:pPr>
              <w:pStyle w:val="Compact"/>
            </w:pPr>
            <w:r>
              <w:t xml:space="preserve">-1.87e-15</w:t>
            </w:r>
          </w:p>
        </w:tc>
        <w:tc>
          <w:tcPr/>
          <w:p>
            <w:pPr>
              <w:pStyle w:val="Compact"/>
            </w:pPr>
            <w:r>
              <w:t xml:space="preserve">&gt; 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get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(-0.02, 0.33)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As the perception that the other person was hard to get increased by 1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, expressions of interest changed by 0.16</w:t>
      </w:r>
      <w:r>
        <w:t xml:space="preserve"> </w:t>
      </w:r>
      <w:r>
        <w:rPr>
          <w:b/>
          <w:bCs/>
        </w:rPr>
        <w:t xml:space="preserve">standard deviations</w:t>
      </w:r>
      <w:r>
        <w:t xml:space="preserve">.</w:t>
      </w:r>
    </w:p>
    <w:bookmarkEnd w:id="39"/>
    <w:bookmarkEnd w:id="40"/>
    <w:bookmarkStart w:id="41" w:name="slide-10-new-section-sampling-variation"/>
    <w:p>
      <w:pPr>
        <w:pStyle w:val="Heading2"/>
      </w:pPr>
      <w:r>
        <w:t xml:space="preserve">Slide 10 (new section): Sampling variation</w:t>
      </w:r>
    </w:p>
    <w:bookmarkEnd w:id="41"/>
    <w:bookmarkStart w:id="43" w:name="slide-11"/>
    <w:p>
      <w:pPr>
        <w:pStyle w:val="Heading2"/>
      </w:pPr>
      <w:r>
        <w:t xml:space="preserve">Slide 11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42">
        <w:r>
          <w:rPr>
            <w:rStyle w:val="Hyperlink"/>
          </w:rPr>
          <w:t xml:space="preserve">https://milton-the-cat.rocks/lm_sampling/</w:t>
        </w:r>
      </w:hyperlink>
    </w:p>
    <w:bookmarkEnd w:id="43"/>
    <w:bookmarkStart w:id="44" w:name="X08a074fdbeeb8bfed147607ee9481326088d070"/>
    <w:p>
      <w:pPr>
        <w:pStyle w:val="Heading2"/>
      </w:pPr>
      <w:r>
        <w:t xml:space="preserve">Slide 12 (new section): Confidence intervals</w:t>
      </w:r>
    </w:p>
    <w:bookmarkEnd w:id="44"/>
    <w:bookmarkStart w:id="45" w:name="slide-13"/>
    <w:p>
      <w:pPr>
        <w:pStyle w:val="Heading2"/>
      </w:pPr>
      <w:r>
        <w:t xml:space="preserve">Slide 13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42">
        <w:r>
          <w:rPr>
            <w:rStyle w:val="Hyperlink"/>
          </w:rPr>
          <w:t xml:space="preserve">https://milton-the-cat.rocks/lm_sampling/</w:t>
        </w:r>
      </w:hyperlink>
    </w:p>
    <w:bookmarkEnd w:id="45"/>
    <w:bookmarkStart w:id="47" w:name="slide-14"/>
    <w:p>
      <w:pPr>
        <w:pStyle w:val="Heading2"/>
      </w:pPr>
      <w:r>
        <w:t xml:space="preserve">Slide 14</w:t>
      </w:r>
    </w:p>
    <w:p>
      <w:pPr>
        <w:pStyle w:val="FirstParagraph"/>
      </w:pPr>
      <w:r>
        <w:t xml:space="preserve">Interactive content:</w:t>
      </w:r>
      <w:r>
        <w:t xml:space="preserve"> </w:t>
      </w:r>
      <w:hyperlink r:id="rId46">
        <w:r>
          <w:rPr>
            <w:rStyle w:val="Hyperlink"/>
          </w:rPr>
          <w:t xml:space="preserve">https://milton-the-cat.rocks/ci_explorer/</w:t>
        </w:r>
      </w:hyperlink>
    </w:p>
    <w:bookmarkEnd w:id="47"/>
    <w:bookmarkStart w:id="48" w:name="slide-15-confidence-intervals"/>
    <w:p>
      <w:pPr>
        <w:pStyle w:val="Heading2"/>
      </w:pPr>
      <w:r>
        <w:t xml:space="preserve">Slide 15: Confidence intervals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What confidence intervals are:</w:t>
      </w:r>
    </w:p>
    <w:p>
      <w:pPr>
        <w:pStyle w:val="Compact"/>
        <w:numPr>
          <w:ilvl w:val="0"/>
          <w:numId w:val="1009"/>
        </w:numPr>
      </w:pPr>
      <w:r>
        <w:t xml:space="preserve">Intervals that contain the ‘true’ population value of the parameter in 95% of samples</w:t>
      </w:r>
    </w:p>
    <w:p>
      <w:pPr>
        <w:pStyle w:val="Compact"/>
        <w:numPr>
          <w:ilvl w:val="0"/>
          <w:numId w:val="1009"/>
        </w:numPr>
      </w:pPr>
      <w:r>
        <w:t xml:space="preserve">They are related to the uncertainty in our parameter estimate</w:t>
      </w:r>
    </w:p>
    <w:p>
      <w:pPr>
        <w:pStyle w:val="Compact"/>
        <w:numPr>
          <w:ilvl w:val="1"/>
          <w:numId w:val="1010"/>
        </w:numPr>
      </w:pPr>
      <w:r>
        <w:t xml:space="preserve">Wide intervals (small sample) = lots of uncertainty</w:t>
      </w:r>
    </w:p>
    <w:p>
      <w:pPr>
        <w:pStyle w:val="Compact"/>
        <w:numPr>
          <w:ilvl w:val="1"/>
          <w:numId w:val="1010"/>
        </w:numPr>
      </w:pPr>
      <w:r>
        <w:t xml:space="preserve">Narrow intervals (large sample) = less uncertainty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t xml:space="preserve">What confidence intervals are NOT:</w:t>
      </w:r>
    </w:p>
    <w:p>
      <w:pPr>
        <w:pStyle w:val="Compact"/>
        <w:numPr>
          <w:ilvl w:val="0"/>
          <w:numId w:val="1011"/>
        </w:numPr>
      </w:pPr>
      <w:r>
        <w:t xml:space="preserve">There is NOT a 95% probability that a given interval contains the population value.</w:t>
      </w:r>
    </w:p>
    <w:p>
      <w:pPr>
        <w:pStyle w:val="Compact"/>
        <w:numPr>
          <w:ilvl w:val="1"/>
          <w:numId w:val="1012"/>
        </w:numPr>
      </w:pPr>
      <w:r>
        <w:t xml:space="preserve">It is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1, but you can’t know which!</w:t>
      </w:r>
    </w:p>
    <w:p>
      <w:pPr>
        <w:pStyle w:val="Compact"/>
        <w:numPr>
          <w:ilvl w:val="0"/>
          <w:numId w:val="1011"/>
        </w:numPr>
      </w:pPr>
      <w:r>
        <w:t xml:space="preserve">They do NOT reflect confidence in the value of the population parameter.</w:t>
      </w:r>
    </w:p>
    <w:bookmarkEnd w:id="48"/>
    <w:bookmarkStart w:id="50" w:name="slide-16-a-practical-solution"/>
    <w:p>
      <w:pPr>
        <w:pStyle w:val="Heading2"/>
      </w:pPr>
      <w:r>
        <w:t xml:space="preserve">Slide 16: A practical solution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We make an assumption (that could be wrong)</w:t>
      </w:r>
    </w:p>
    <w:p>
      <w:pPr>
        <w:pStyle w:val="Compact"/>
        <w:numPr>
          <w:ilvl w:val="0"/>
          <w:numId w:val="1013"/>
        </w:numPr>
      </w:pPr>
      <w:r>
        <w:t xml:space="preserve">We assume that our sample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one of the 95% that yields a confidence interval containing the true value of the parameter.</w:t>
      </w:r>
      <w:r>
        <w:rPr>
          <w:vertAlign w:val="superscript"/>
        </w:rPr>
        <w:t xml:space="preserve">1</w:t>
      </w:r>
    </w:p>
    <w:p>
      <w:pPr>
        <w:pStyle w:val="Compact"/>
        <w:numPr>
          <w:ilvl w:val="0"/>
          <w:numId w:val="1013"/>
        </w:numPr>
      </w:pPr>
      <w:r>
        <w:t xml:space="preserve">We acknowledge that this assumption will be incorrect 5% of the time.</w:t>
      </w:r>
      <w:r>
        <w:rPr>
          <w:vertAlign w:val="superscript"/>
        </w:rPr>
        <w:t xml:space="preserve">2</w:t>
      </w:r>
    </w:p>
    <w:bookmarkStart w:id="49" w:name="under-this-assumption"/>
    <w:p>
      <w:pPr>
        <w:pStyle w:val="Heading3"/>
      </w:pPr>
      <w:r>
        <w:t xml:space="preserve">Under this assumption …</w:t>
      </w:r>
    </w:p>
    <w:p>
      <w:pPr>
        <w:pStyle w:val="Compact"/>
        <w:numPr>
          <w:ilvl w:val="0"/>
          <w:numId w:val="1014"/>
        </w:numPr>
      </w:pPr>
      <w:r>
        <w:t xml:space="preserve">The confidence interval can be interpreted as containing the true (population) value of the parameter.</w:t>
      </w:r>
    </w:p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Assuming that this sample is one of the 95% that yields a confidence interval containing the true value of the parameter the effect could be as small as [</w:t>
      </w:r>
      <w:r>
        <w:rPr>
          <w:rStyle w:val="VerbatimChar"/>
        </w:rPr>
        <w:t xml:space="preserve">value of lower boundary</w:t>
      </w:r>
      <w:r>
        <w:t xml:space="preserve">] or as large as [</w:t>
      </w:r>
      <w:r>
        <w:rPr>
          <w:rStyle w:val="VerbatimChar"/>
        </w:rPr>
        <w:t xml:space="preserve">value of upper boundary</w:t>
      </w:r>
      <w:r>
        <w:t xml:space="preserve">]</w:t>
      </w:r>
    </w:p>
    <w:p>
      <w:pPr>
        <w:pStyle w:val="FirstParagraph"/>
      </w:pPr>
      <w:r>
        <w:rPr>
          <w:i/>
          <w:iCs/>
        </w:rPr>
        <w:t xml:space="preserve">Footnotes</w:t>
      </w:r>
    </w:p>
    <w:p>
      <w:pPr>
        <w:numPr>
          <w:ilvl w:val="0"/>
          <w:numId w:val="1015"/>
        </w:numPr>
      </w:pPr>
      <w:r>
        <w:t xml:space="preserve">For an</w:t>
      </w:r>
      <w:r>
        <w:t xml:space="preserve"> </w:t>
      </w:r>
      <w:r>
        <w:rPr>
          <w:i/>
          <w:iCs/>
        </w:rPr>
        <w:t xml:space="preserve">x</w:t>
      </w:r>
      <w:r>
        <w:t xml:space="preserve">% interval we assume our sample is one of the</w:t>
      </w:r>
      <w:r>
        <w:t xml:space="preserve"> </w:t>
      </w:r>
      <w:r>
        <w:rPr>
          <w:i/>
          <w:iCs/>
        </w:rPr>
        <w:t xml:space="preserve">x</w:t>
      </w:r>
      <w:r>
        <w:t xml:space="preserve">%</w:t>
      </w:r>
    </w:p>
    <w:p>
      <w:pPr>
        <w:numPr>
          <w:ilvl w:val="0"/>
          <w:numId w:val="1015"/>
        </w:numPr>
      </w:pPr>
      <w:r>
        <w:t xml:space="preserve">For an</w:t>
      </w:r>
      <w:r>
        <w:t xml:space="preserve"> </w:t>
      </w:r>
      <w:r>
        <w:rPr>
          <w:i/>
          <w:iCs/>
        </w:rPr>
        <w:t xml:space="preserve">x</w:t>
      </w:r>
      <w:r>
        <w:t xml:space="preserve">% interval we will be wrong (1-</w:t>
      </w:r>
      <w:r>
        <w:rPr>
          <w:i/>
          <w:iCs/>
        </w:rPr>
        <w:t xml:space="preserve">x</w:t>
      </w:r>
      <w:r>
        <w:t xml:space="preserve">)% of the time.</w:t>
      </w:r>
    </w:p>
    <w:bookmarkEnd w:id="49"/>
    <w:bookmarkEnd w:id="50"/>
    <w:bookmarkStart w:id="51" w:name="slide-17-back-to-birnbaum"/>
    <w:p>
      <w:pPr>
        <w:pStyle w:val="Heading2"/>
      </w:pPr>
      <w:r>
        <w:t xml:space="preserve">Slide 17: Back to Birnbaum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(-0.73, 1.35)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get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(-0.04, 0.62)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Assuming that this sample is one of the 95% that yields a confidence interval containing the true value of the parameter …</w:t>
      </w:r>
    </w:p>
    <w:p>
      <w:pPr>
        <w:pStyle w:val="Compact"/>
        <w:numPr>
          <w:ilvl w:val="0"/>
          <w:numId w:val="1016"/>
        </w:numPr>
      </w:pPr>
      <w:r>
        <w:t xml:space="preserve">As the perception that the other person was hard to get increases by 1, the corresponding change in the number of expressions made could be as small as</w:t>
      </w:r>
      <w:r>
        <w:t xml:space="preserve"> </w:t>
      </w:r>
      <w:r>
        <w:rPr>
          <w:b/>
          <w:bCs/>
        </w:rPr>
        <w:t xml:space="preserve">-0.04</w:t>
      </w:r>
      <w:r>
        <w:t xml:space="preserve">. In other words, there are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expressions of interest.</w:t>
      </w:r>
    </w:p>
    <w:p>
      <w:pPr>
        <w:pStyle w:val="Compact"/>
        <w:numPr>
          <w:ilvl w:val="0"/>
          <w:numId w:val="1016"/>
        </w:numPr>
      </w:pPr>
      <w:r>
        <w:t xml:space="preserve">As the perception that the other person was hard to get increases by 1, the corresponding change in the number of expressions made could be as large as</w:t>
      </w:r>
      <w:r>
        <w:t xml:space="preserve"> </w:t>
      </w:r>
      <w:r>
        <w:rPr>
          <w:b/>
          <w:bCs/>
        </w:rPr>
        <w:t xml:space="preserve">0.62</w:t>
      </w:r>
      <w:r>
        <w:t xml:space="preserve">. In other words, there are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expressions of interest.</w:t>
      </w:r>
    </w:p>
    <w:p>
      <w:pPr>
        <w:pStyle w:val="Compact"/>
        <w:numPr>
          <w:ilvl w:val="0"/>
          <w:numId w:val="1016"/>
        </w:numPr>
      </w:pPr>
      <w:r>
        <w:t xml:space="preserve">It’s plausible that as the perception that the other person was hard to get increases by 1, there is</w:t>
      </w:r>
      <w:r>
        <w:t xml:space="preserve"> </w:t>
      </w:r>
      <w:r>
        <w:rPr>
          <w:i/>
          <w:iCs/>
        </w:rPr>
        <w:t xml:space="preserve">no change</w:t>
      </w:r>
      <w:r>
        <w:t xml:space="preserve"> </w:t>
      </w:r>
      <w:r>
        <w:t xml:space="preserve">in expressions of interest (</w:t>
      </w:r>
      <w:r>
        <w:rPr>
          <w:i/>
          <w:iCs/>
        </w:rPr>
        <w:t xml:space="preserve">b</w:t>
      </w:r>
      <w:r>
        <w:t xml:space="preserve"> </w:t>
      </w:r>
      <w:r>
        <w:t xml:space="preserve">= 0).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assumption at the start might be false</w:t>
      </w:r>
    </w:p>
    <w:bookmarkEnd w:id="51"/>
    <w:bookmarkStart w:id="53" w:name="slide-18"/>
    <w:p>
      <w:pPr>
        <w:pStyle w:val="Heading2"/>
      </w:pPr>
      <w:r>
        <w:t xml:space="preserve">Slide 18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52">
        <w:r>
          <w:rPr>
            <w:rStyle w:val="Hyperlink"/>
          </w:rPr>
          <w:t xml:space="preserve">hippo burp</w:t>
        </w:r>
      </w:hyperlink>
    </w:p>
    <w:bookmarkEnd w:id="53"/>
    <w:bookmarkStart w:id="54" w:name="slide-19-new-section-testing-hypotheses"/>
    <w:p>
      <w:pPr>
        <w:pStyle w:val="Heading2"/>
      </w:pPr>
      <w:r>
        <w:t xml:space="preserve">Slide 19 (new section): Testing hypotheses</w:t>
      </w:r>
    </w:p>
    <w:bookmarkEnd w:id="54"/>
    <w:bookmarkStart w:id="61" w:name="X376b609f104a8b9eae66f985399afda64fdd326"/>
    <w:p>
      <w:pPr>
        <w:pStyle w:val="Heading2"/>
      </w:pPr>
      <w:r>
        <w:t xml:space="preserve">Slide 20: Using parameters to test hypotheses</w:t>
      </w:r>
    </w:p>
    <w:p>
      <w:pPr>
        <w:pStyle w:val="Compact"/>
        <w:numPr>
          <w:ilvl w:val="0"/>
          <w:numId w:val="1017"/>
        </w:numPr>
      </w:pPr>
      <w:r>
        <w:t xml:space="preserve">Parameters represent effects:</w:t>
      </w:r>
    </w:p>
    <w:p>
      <w:pPr>
        <w:pStyle w:val="Compact"/>
        <w:numPr>
          <w:ilvl w:val="1"/>
          <w:numId w:val="1018"/>
        </w:numPr>
      </w:pPr>
      <w:r>
        <w:t xml:space="preserve">Relationships between variables</w:t>
      </w:r>
    </w:p>
    <w:p>
      <w:pPr>
        <w:pStyle w:val="Compact"/>
        <w:numPr>
          <w:ilvl w:val="1"/>
          <w:numId w:val="1018"/>
        </w:numPr>
      </w:pPr>
      <w:r>
        <w:t xml:space="preserve">Differences between means</w:t>
      </w:r>
    </w:p>
    <w:p>
      <w:pPr>
        <w:pStyle w:val="Compact"/>
        <w:numPr>
          <w:ilvl w:val="0"/>
          <w:numId w:val="1017"/>
        </w:numPr>
      </w:pPr>
      <w:r>
        <w:t xml:space="preserve">Parameters reflect hypotheses:</w:t>
      </w:r>
    </w:p>
    <w:p>
      <w:pPr>
        <w:pStyle w:val="Compact"/>
        <w:numPr>
          <w:ilvl w:val="1"/>
          <w:numId w:val="1019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19"/>
        </w:numPr>
      </w:pP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17"/>
        </w:numPr>
      </w:pPr>
      <w:r>
        <w:t xml:space="preserve">All parameters have an associated sampling distribution</w:t>
      </w:r>
    </w:p>
    <w:p>
      <w:pPr>
        <w:pStyle w:val="Compact"/>
        <w:numPr>
          <w:ilvl w:val="1"/>
          <w:numId w:val="1020"/>
        </w:numPr>
      </w:pPr>
      <w:r>
        <w:t xml:space="preserve">For any parameter, we can work out the probability of getting at least the value we have if the null hypothesis is true (e.g.,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)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0.05 is typically used as a threshold for ‘significance’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S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6" name="Picture"/>
            <a:graphic>
              <a:graphicData uri="http://schemas.openxmlformats.org/drawingml/2006/picture">
                <pic:pic>
                  <pic:nvPicPr>
                    <pic:cNvPr descr="images/ds_interpretation_slide020_unnamed-chunk-24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Plot (no description provided yet)" title="" id="59" name="Picture"/>
            <a:graphic>
              <a:graphicData uri="http://schemas.openxmlformats.org/drawingml/2006/picture">
                <pic:pic>
                  <pic:nvPicPr>
                    <pic:cNvPr descr="images/ds_interpretation_slide020_unnamed-chunk-25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70" w:name="slide-21-what-is-a-p-value"/>
    <w:p>
      <w:pPr>
        <w:pStyle w:val="Heading2"/>
      </w:pPr>
      <w:r>
        <w:t xml:space="preserve">Slide 21: What is a p-value?</w:t>
      </w:r>
    </w:p>
    <w:bookmarkStart w:id="65" w:name="hypothesis"/>
    <w:p>
      <w:pPr>
        <w:pStyle w:val="Heading3"/>
      </w:pPr>
      <w:r>
        <w:t xml:space="preserve">Hypothesis</w:t>
      </w:r>
    </w:p>
    <w:p>
      <w:pPr>
        <w:pStyle w:val="FirstParagraph"/>
      </w:pPr>
      <w:r>
        <w:drawing>
          <wp:inline>
            <wp:extent cx="2532184" cy="2519395"/>
            <wp:effectExtent b="0" l="0" r="0" t="0"/>
            <wp:docPr descr="Image: alice nightingale (no description provided yet)" title="" id="63" name="Picture"/>
            <a:graphic>
              <a:graphicData uri="http://schemas.openxmlformats.org/drawingml/2006/picture">
                <pic:pic>
                  <pic:nvPicPr>
                    <pic:cNvPr descr="images/alice_nightingal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184" cy="251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1"/>
        </w:numPr>
      </w:pPr>
      <w:r>
        <w:t xml:space="preserve">H</w:t>
      </w:r>
      <w:r>
        <w:rPr>
          <w:vertAlign w:val="subscript"/>
        </w:rPr>
        <w:t xml:space="preserve">0</w:t>
      </w:r>
      <w:r>
        <w:t xml:space="preserve">: Alice does not want to date Zach</w:t>
      </w:r>
    </w:p>
    <w:p>
      <w:pPr>
        <w:pStyle w:val="Compact"/>
        <w:numPr>
          <w:ilvl w:val="0"/>
          <w:numId w:val="1021"/>
        </w:numPr>
      </w:pPr>
      <w:r>
        <w:t xml:space="preserve">H</w:t>
      </w:r>
      <w:r>
        <w:rPr>
          <w:vertAlign w:val="subscript"/>
        </w:rPr>
        <w:t xml:space="preserve">1</w:t>
      </w:r>
      <w:r>
        <w:t xml:space="preserve">: Alice wants to date Zach</w:t>
      </w:r>
    </w:p>
    <w:bookmarkEnd w:id="65"/>
    <w:bookmarkStart w:id="69" w:name="test-statistic"/>
    <w:p>
      <w:pPr>
        <w:pStyle w:val="Heading3"/>
      </w:pPr>
      <w:r>
        <w:t xml:space="preserve">Test statistic</w:t>
      </w:r>
    </w:p>
    <w:p>
      <w:pPr>
        <w:pStyle w:val="FirstParagraph"/>
      </w:pPr>
      <w:r>
        <w:drawing>
          <wp:inline>
            <wp:extent cx="2544973" cy="2544973"/>
            <wp:effectExtent b="0" l="0" r="0" t="0"/>
            <wp:docPr descr="Image: zach slade (no description provided yet)" title="" id="67" name="Picture"/>
            <a:graphic>
              <a:graphicData uri="http://schemas.openxmlformats.org/drawingml/2006/picture">
                <pic:pic>
                  <pic:nvPicPr>
                    <pic:cNvPr descr="images/zach_slad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973" cy="254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Humour rating = 5</w:t>
      </w:r>
    </w:p>
    <w:bookmarkEnd w:id="69"/>
    <w:bookmarkEnd w:id="70"/>
    <w:bookmarkStart w:id="76" w:name="slide-22-what-is-a-p-value"/>
    <w:p>
      <w:pPr>
        <w:pStyle w:val="Heading2"/>
      </w:pPr>
      <w:r>
        <w:t xml:space="preserve">Slide 22: What is a p-value?</w:t>
      </w:r>
    </w:p>
    <w:p>
      <w:pPr>
        <w:pStyle w:val="FirstParagraph"/>
      </w:pPr>
      <w:r>
        <w:t xml:space="preserve">Humour rating = 5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72" name="Picture"/>
            <a:graphic>
              <a:graphicData uri="http://schemas.openxmlformats.org/drawingml/2006/picture">
                <pic:pic>
                  <pic:nvPicPr>
                    <pic:cNvPr descr="images/ds_interpretation_slide022_unnamed-chunk-26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532184" cy="2519395"/>
            <wp:effectExtent b="0" l="0" r="0" t="0"/>
            <wp:docPr descr="Image: alice nightingale (no description provided yet)" title="" id="74" name="Picture"/>
            <a:graphic>
              <a:graphicData uri="http://schemas.openxmlformats.org/drawingml/2006/picture">
                <pic:pic>
                  <pic:nvPicPr>
                    <pic:cNvPr descr="images/alice_nightingal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184" cy="251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2" w:name="slide-23-what-is-a-p-value"/>
    <w:p>
      <w:pPr>
        <w:pStyle w:val="Heading2"/>
      </w:pPr>
      <w:r>
        <w:t xml:space="preserve">Slide 23: What is a p-value?</w:t>
      </w:r>
    </w:p>
    <w:p>
      <w:pPr>
        <w:pStyle w:val="FirstParagraph"/>
      </w:pPr>
      <w:r>
        <w:t xml:space="preserve">Humour rating = 5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78" name="Picture"/>
            <a:graphic>
              <a:graphicData uri="http://schemas.openxmlformats.org/drawingml/2006/picture">
                <pic:pic>
                  <pic:nvPicPr>
                    <pic:cNvPr descr="images/ds_interpretation_slide023_unnamed-chunk-27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532184" cy="2519395"/>
            <wp:effectExtent b="0" l="0" r="0" t="0"/>
            <wp:docPr descr="Image: alice nightingale (no description provided yet)" title="" id="80" name="Picture"/>
            <a:graphic>
              <a:graphicData uri="http://schemas.openxmlformats.org/drawingml/2006/picture">
                <pic:pic>
                  <pic:nvPicPr>
                    <pic:cNvPr descr="images/alice_nightingal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184" cy="251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91" w:name="slide-24-what-is-a-p-value"/>
    <w:p>
      <w:pPr>
        <w:pStyle w:val="Heading2"/>
      </w:pPr>
      <w:r>
        <w:t xml:space="preserve">Slide 24: What is a p-value?</w:t>
      </w:r>
    </w:p>
    <w:p>
      <w:pPr>
        <w:pStyle w:val="FirstParagraph"/>
      </w:pPr>
      <w:r>
        <w:t xml:space="preserve">Humour rating = 5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84" name="Picture"/>
            <a:graphic>
              <a:graphicData uri="http://schemas.openxmlformats.org/drawingml/2006/picture">
                <pic:pic>
                  <pic:nvPicPr>
                    <pic:cNvPr descr="images/ds_interpretation_slide024_unnamed-chunk-28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87" name="Picture"/>
            <a:graphic>
              <a:graphicData uri="http://schemas.openxmlformats.org/drawingml/2006/picture">
                <pic:pic>
                  <pic:nvPicPr>
                    <pic:cNvPr descr="images/ds_interpretation_slide024_unnamed-chunk-29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532184" cy="2519395"/>
            <wp:effectExtent b="0" l="0" r="0" t="0"/>
            <wp:docPr descr="Image: alice nightingale (no description provided yet)" title="" id="89" name="Picture"/>
            <a:graphic>
              <a:graphicData uri="http://schemas.openxmlformats.org/drawingml/2006/picture">
                <pic:pic>
                  <pic:nvPicPr>
                    <pic:cNvPr descr="images/alice_nightingale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184" cy="251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100" w:name="slide-25-what-is-a-p-value"/>
    <w:p>
      <w:pPr>
        <w:pStyle w:val="Heading2"/>
      </w:pPr>
      <w:r>
        <w:t xml:space="preserve">Slide 25: What is a p-value?</w:t>
      </w:r>
    </w:p>
    <w:p>
      <w:pPr>
        <w:pStyle w:val="FirstParagraph"/>
      </w:pPr>
      <w:r>
        <w:t xml:space="preserve">Humour rating = 5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93" name="Picture"/>
            <a:graphic>
              <a:graphicData uri="http://schemas.openxmlformats.org/drawingml/2006/picture">
                <pic:pic>
                  <pic:nvPicPr>
                    <pic:cNvPr descr="images/ds_interpretation_slide025_unnamed-chunk-30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96" name="Picture"/>
            <a:graphic>
              <a:graphicData uri="http://schemas.openxmlformats.org/drawingml/2006/picture">
                <pic:pic>
                  <pic:nvPicPr>
                    <pic:cNvPr descr="images/ds_interpretation_slide025_unnamed-chunk-31-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532184" cy="2519395"/>
            <wp:effectExtent b="0" l="0" r="0" t="0"/>
            <wp:docPr descr="Image: alice nightingale (no description provided yet)" title="" id="98" name="Picture"/>
            <a:graphic>
              <a:graphicData uri="http://schemas.openxmlformats.org/drawingml/2006/picture">
                <pic:pic>
                  <pic:nvPicPr>
                    <pic:cNvPr descr="images/alice_nightingal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184" cy="251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slide-26-the-p-value"/>
    <w:p>
      <w:pPr>
        <w:pStyle w:val="Heading2"/>
      </w:pPr>
      <w:r>
        <w:t xml:space="preserve">Slide 26: The p-value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-value IS:</w:t>
      </w:r>
    </w:p>
    <w:p>
      <w:pPr>
        <w:pStyle w:val="Compact"/>
        <w:numPr>
          <w:ilvl w:val="0"/>
          <w:numId w:val="1022"/>
        </w:numPr>
      </w:pPr>
      <w:r>
        <w:t xml:space="preserve">The probability of getting a test statistic at least as big as the one you have observed given that the null hypothesis is true.</w:t>
      </w:r>
    </w:p>
    <w:p>
      <w:pPr>
        <w:pStyle w:val="BlockText"/>
      </w:pPr>
      <w:r>
        <w:rPr>
          <w:b/>
          <w:bCs/>
        </w:rPr>
        <w:t xml:space="preserve">Warning: The danger zone!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-value is NOT:</w:t>
      </w:r>
    </w:p>
    <w:p>
      <w:pPr>
        <w:pStyle w:val="Compact"/>
        <w:numPr>
          <w:ilvl w:val="0"/>
          <w:numId w:val="1023"/>
        </w:numPr>
      </w:pPr>
      <w:r>
        <w:t xml:space="preserve">The probability of a chance result</w:t>
      </w:r>
    </w:p>
    <w:p>
      <w:pPr>
        <w:pStyle w:val="Compact"/>
        <w:numPr>
          <w:ilvl w:val="0"/>
          <w:numId w:val="1023"/>
        </w:numPr>
      </w:pPr>
      <w:r>
        <w:t xml:space="preserve">The probability that H</w:t>
      </w:r>
      <w:r>
        <w:rPr>
          <w:vertAlign w:val="subscript"/>
        </w:rPr>
        <w:t xml:space="preserve">1</w:t>
      </w:r>
      <w:r>
        <w:t xml:space="preserve"> </w:t>
      </w:r>
      <w:r>
        <w:t xml:space="preserve">is true</w:t>
      </w:r>
    </w:p>
    <w:p>
      <w:pPr>
        <w:pStyle w:val="Compact"/>
        <w:numPr>
          <w:ilvl w:val="0"/>
          <w:numId w:val="1023"/>
        </w:numPr>
      </w:pPr>
      <w:r>
        <w:t xml:space="preserve">The probability that H</w:t>
      </w:r>
      <w:r>
        <w:rPr>
          <w:vertAlign w:val="subscript"/>
        </w:rPr>
        <w:t xml:space="preserve">0</w:t>
      </w:r>
      <w:r>
        <w:t xml:space="preserve"> </w:t>
      </w:r>
      <w:r>
        <w:t xml:space="preserve">is true</w:t>
      </w:r>
    </w:p>
    <w:bookmarkEnd w:id="101"/>
    <w:bookmarkStart w:id="110" w:name="slide-27-problems-with-p"/>
    <w:p>
      <w:pPr>
        <w:pStyle w:val="Heading2"/>
      </w:pPr>
      <w:r>
        <w:t xml:space="preserve">Slide 27: Problems with p</w:t>
      </w:r>
    </w:p>
    <w:bookmarkStart w:id="105" w:name="teddy-bear-therapy"/>
    <w:p>
      <w:pPr>
        <w:pStyle w:val="Heading3"/>
      </w:pPr>
      <w:r>
        <w:t xml:space="preserve">Teddy bear therapy</w:t>
      </w:r>
    </w:p>
    <w:p>
      <w:pPr>
        <w:pStyle w:val="FirstParagraph"/>
      </w:pPr>
      <w:r>
        <w:drawing>
          <wp:inline>
            <wp:extent cx="4002897" cy="5448033"/>
            <wp:effectExtent b="0" l="0" r="0" t="0"/>
            <wp:docPr descr="Image: zach teddy (no description provided yet)" title="" id="103" name="Picture"/>
            <a:graphic>
              <a:graphicData uri="http://schemas.openxmlformats.org/drawingml/2006/picture">
                <pic:pic>
                  <pic:nvPicPr>
                    <pic:cNvPr descr="images/zach_teddy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897" cy="544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control-group"/>
    <w:p>
      <w:pPr>
        <w:pStyle w:val="Heading3"/>
      </w:pPr>
      <w:r>
        <w:t xml:space="preserve">Control group</w:t>
      </w:r>
    </w:p>
    <w:p>
      <w:pPr>
        <w:pStyle w:val="FirstParagraph"/>
      </w:pPr>
      <w:r>
        <w:drawing>
          <wp:inline>
            <wp:extent cx="4002897" cy="5448033"/>
            <wp:effectExtent b="0" l="0" r="0" t="0"/>
            <wp:docPr descr="Image: zach ais (no description provided yet)" title="" id="107" name="Picture"/>
            <a:graphic>
              <a:graphicData uri="http://schemas.openxmlformats.org/drawingml/2006/picture">
                <pic:pic>
                  <pic:nvPicPr>
                    <pic:cNvPr descr="images/zach_ai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897" cy="544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End w:id="110"/>
    <w:bookmarkStart w:id="116" w:name="slide-28-p-depends-upon-sample-size"/>
    <w:p>
      <w:pPr>
        <w:pStyle w:val="Heading2"/>
      </w:pPr>
      <w:r>
        <w:t xml:space="preserve">Slide 28: p depends upon sample size</w:t>
      </w:r>
    </w:p>
    <w:bookmarkStart w:id="113" w:name="same-effects-different-ps"/>
    <w:p>
      <w:pPr>
        <w:pStyle w:val="Heading3"/>
      </w:pPr>
      <w:r>
        <w:t xml:space="preserve">Same effects, different</w:t>
      </w:r>
      <w:r>
        <w:t xml:space="preserve"> </w:t>
      </w:r>
      <w:r>
        <w:rPr>
          <w:i/>
          <w:iCs/>
        </w:rPr>
        <w:t xml:space="preserve">p</w:t>
      </w:r>
      <w:r>
        <w:t xml:space="preserve">s</w:t>
      </w:r>
    </w:p>
    <w:bookmarkStart w:id="111" w:name="study-1"/>
    <w:p>
      <w:pPr>
        <w:pStyle w:val="Heading4"/>
      </w:pPr>
      <w:r>
        <w:t xml:space="preserve">Study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12.89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24.565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-5.00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-6.738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11"/>
    <w:bookmarkStart w:id="112" w:name="study-2"/>
    <w:p>
      <w:pPr>
        <w:pStyle w:val="Heading4"/>
      </w:pPr>
      <w:r>
        <w:t xml:space="preserve">Study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2.054</w:t>
            </w:r>
          </w:p>
        </w:tc>
        <w:tc>
          <w:tcPr/>
          <w:p>
            <w:pPr>
              <w:pStyle w:val="Compact"/>
            </w:pPr>
            <w:r>
              <w:t xml:space="preserve">6.233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-5.0</w:t>
            </w:r>
          </w:p>
        </w:tc>
        <w:tc>
          <w:tcPr/>
          <w:p>
            <w:pPr>
              <w:pStyle w:val="Compact"/>
            </w:pPr>
            <w:r>
              <w:t xml:space="preserve">2.904</w:t>
            </w:r>
          </w:p>
        </w:tc>
        <w:tc>
          <w:tcPr/>
          <w:p>
            <w:pPr>
              <w:pStyle w:val="Compact"/>
            </w:pPr>
            <w:r>
              <w:t xml:space="preserve">-1.722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</w:tbl>
    <w:bookmarkEnd w:id="112"/>
    <w:bookmarkEnd w:id="113"/>
    <w:bookmarkStart w:id="115" w:name="zero-effect-approx-significant-p"/>
    <w:p>
      <w:pPr>
        <w:pStyle w:val="Heading3"/>
      </w:pPr>
      <w:r>
        <w:t xml:space="preserve">Zero effect (approx), significant</w:t>
      </w:r>
      <w:r>
        <w:t xml:space="preserve"> </w:t>
      </w:r>
      <w:r>
        <w:rPr>
          <w:i/>
          <w:iCs/>
        </w:rPr>
        <w:t xml:space="preserve">p</w:t>
      </w:r>
    </w:p>
    <w:bookmarkStart w:id="114" w:name="study-3"/>
    <w:p>
      <w:pPr>
        <w:pStyle w:val="Heading4"/>
      </w:pPr>
      <w:r>
        <w:t xml:space="preserve">Study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12.113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660.082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1.997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Caution: Think about it!</w:t>
      </w:r>
    </w:p>
    <w:p>
      <w:pPr>
        <w:pStyle w:val="Compact"/>
        <w:numPr>
          <w:ilvl w:val="0"/>
          <w:numId w:val="1024"/>
        </w:numPr>
      </w:pPr>
      <w:r>
        <w:t xml:space="preserve">Why?</w:t>
      </w:r>
    </w:p>
    <w:bookmarkEnd w:id="114"/>
    <w:bookmarkEnd w:id="115"/>
    <w:bookmarkEnd w:id="116"/>
    <w:bookmarkStart w:id="122" w:name="slide-29-p-depends-upon-sample-size"/>
    <w:p>
      <w:pPr>
        <w:pStyle w:val="Heading2"/>
      </w:pPr>
      <w:r>
        <w:t xml:space="preserve">Slide 29: p depends upon sample size</w:t>
      </w:r>
    </w:p>
    <w:bookmarkStart w:id="119" w:name="same-effects-different-ps-1"/>
    <w:p>
      <w:pPr>
        <w:pStyle w:val="Heading3"/>
      </w:pPr>
      <w:r>
        <w:t xml:space="preserve">Same effects, different</w:t>
      </w:r>
      <w:r>
        <w:t xml:space="preserve"> </w:t>
      </w:r>
      <w:r>
        <w:rPr>
          <w:i/>
          <w:iCs/>
        </w:rPr>
        <w:t xml:space="preserve">p</w:t>
      </w:r>
      <w:r>
        <w:t xml:space="preserve">s</w:t>
      </w:r>
    </w:p>
    <w:bookmarkStart w:id="117" w:name="study-1-n-200"/>
    <w:p>
      <w:pPr>
        <w:pStyle w:val="Heading4"/>
      </w:pPr>
      <w:r>
        <w:t xml:space="preserve">Study 1: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12.89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24.565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-5.00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-6.738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17"/>
    <w:bookmarkStart w:id="118" w:name="study-2-n-20"/>
    <w:p>
      <w:pPr>
        <w:pStyle w:val="Heading4"/>
      </w:pPr>
      <w:r>
        <w:t xml:space="preserve">Study 2: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2.054</w:t>
            </w:r>
          </w:p>
        </w:tc>
        <w:tc>
          <w:tcPr/>
          <w:p>
            <w:pPr>
              <w:pStyle w:val="Compact"/>
            </w:pPr>
            <w:r>
              <w:t xml:space="preserve">6.233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-5.0</w:t>
            </w:r>
          </w:p>
        </w:tc>
        <w:tc>
          <w:tcPr/>
          <w:p>
            <w:pPr>
              <w:pStyle w:val="Compact"/>
            </w:pPr>
            <w:r>
              <w:t xml:space="preserve">2.904</w:t>
            </w:r>
          </w:p>
        </w:tc>
        <w:tc>
          <w:tcPr/>
          <w:p>
            <w:pPr>
              <w:pStyle w:val="Compact"/>
            </w:pPr>
            <w:r>
              <w:t xml:space="preserve">-1.722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</w:tbl>
    <w:bookmarkEnd w:id="118"/>
    <w:bookmarkEnd w:id="119"/>
    <w:bookmarkStart w:id="121" w:name="zero-effect-approx-significant-p-1"/>
    <w:p>
      <w:pPr>
        <w:pStyle w:val="Heading3"/>
      </w:pPr>
      <w:r>
        <w:t xml:space="preserve">Zero effect (approx), significant</w:t>
      </w:r>
      <w:r>
        <w:t xml:space="preserve"> </w:t>
      </w:r>
      <w:r>
        <w:rPr>
          <w:i/>
          <w:iCs/>
        </w:rPr>
        <w:t xml:space="preserve">p</w:t>
      </w:r>
    </w:p>
    <w:bookmarkStart w:id="120" w:name="study-3-n-200000"/>
    <w:p>
      <w:pPr>
        <w:pStyle w:val="Heading4"/>
      </w:pPr>
      <w:r>
        <w:t xml:space="preserve">Study 3: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200,000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12.113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660.082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1.997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</w:tbl>
    <w:bookmarkEnd w:id="120"/>
    <w:bookmarkEnd w:id="121"/>
    <w:bookmarkEnd w:id="122"/>
    <w:bookmarkStart w:id="123" w:name="slide-30-problems-with-nhst"/>
    <w:p>
      <w:pPr>
        <w:pStyle w:val="Heading2"/>
      </w:pPr>
      <w:r>
        <w:t xml:space="preserve">Slide 30: Problems with NHST</w:t>
      </w:r>
    </w:p>
    <w:p>
      <w:pPr>
        <w:pStyle w:val="Compact"/>
        <w:numPr>
          <w:ilvl w:val="0"/>
          <w:numId w:val="1025"/>
        </w:numPr>
      </w:pPr>
      <w:r>
        <w:t xml:space="preserve">Tells us nothing about importance because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depends upon sample size</w:t>
      </w:r>
    </w:p>
    <w:p>
      <w:pPr>
        <w:pStyle w:val="Compact"/>
        <w:numPr>
          <w:ilvl w:val="0"/>
          <w:numId w:val="1025"/>
        </w:numPr>
      </w:pPr>
      <w:r>
        <w:t xml:space="preserve">Provides little evidence about the null (or alternative) hypothesis</w:t>
      </w:r>
    </w:p>
    <w:p>
      <w:pPr>
        <w:pStyle w:val="Compact"/>
        <w:numPr>
          <w:ilvl w:val="1"/>
          <w:numId w:val="1026"/>
        </w:numPr>
      </w:pPr>
      <w:r>
        <w:t xml:space="preserve">Assumes the null is true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&gt; .05 simply means the effect is not big enough to be found, not that it is 0</w:t>
      </w:r>
    </w:p>
    <w:p>
      <w:pPr>
        <w:pStyle w:val="Compact"/>
        <w:numPr>
          <w:ilvl w:val="1"/>
          <w:numId w:val="1026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&lt; .05 means that the observed test statistic is unlikely given the null is true</w:t>
      </w:r>
    </w:p>
    <w:p>
      <w:pPr>
        <w:pStyle w:val="Compact"/>
        <w:numPr>
          <w:ilvl w:val="0"/>
          <w:numId w:val="1025"/>
        </w:numPr>
      </w:pPr>
      <w:r>
        <w:t xml:space="preserve">All or nothing thinking</w:t>
      </w:r>
    </w:p>
    <w:bookmarkEnd w:id="123"/>
    <w:bookmarkStart w:id="124" w:name="X2beab98b9055b689590ee0f2143adcc763ec41a"/>
    <w:p>
      <w:pPr>
        <w:pStyle w:val="Heading2"/>
      </w:pPr>
      <w:r>
        <w:t xml:space="preserve">Slide 31 (new section): When p &gt; .05 (not significant)</w:t>
      </w:r>
    </w:p>
    <w:bookmarkEnd w:id="124"/>
    <w:bookmarkStart w:id="126" w:name="slide-32"/>
    <w:p>
      <w:pPr>
        <w:pStyle w:val="Heading2"/>
      </w:pPr>
      <w:r>
        <w:t xml:space="preserve">Slide 32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25">
        <w:r>
          <w:rPr>
            <w:rStyle w:val="Hyperlink"/>
          </w:rPr>
          <w:t xml:space="preserve">animal screams</w:t>
        </w:r>
      </w:hyperlink>
    </w:p>
    <w:bookmarkEnd w:id="126"/>
    <w:bookmarkStart w:id="127" w:name="Xa2c56afcc2e04e28963e69f0a2cb9858f3bc94b"/>
    <w:p>
      <w:pPr>
        <w:pStyle w:val="Heading2"/>
      </w:pPr>
      <w:r>
        <w:t xml:space="preserve">Slide 33 (new section): When p &lt; .05 (significant)</w:t>
      </w:r>
    </w:p>
    <w:bookmarkEnd w:id="127"/>
    <w:bookmarkStart w:id="129" w:name="slide-34"/>
    <w:p>
      <w:pPr>
        <w:pStyle w:val="Heading2"/>
      </w:pPr>
      <w:r>
        <w:t xml:space="preserve">Slide 34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28">
        <w:r>
          <w:rPr>
            <w:rStyle w:val="Hyperlink"/>
          </w:rPr>
          <w:t xml:space="preserve">dancing cat</w:t>
        </w:r>
      </w:hyperlink>
    </w:p>
    <w:bookmarkEnd w:id="129"/>
    <w:bookmarkStart w:id="133" w:name="slide-35-all-or-nothing-thinking"/>
    <w:p>
      <w:pPr>
        <w:pStyle w:val="Heading2"/>
      </w:pPr>
      <w:r>
        <w:t xml:space="preserve">Slide 35: All or nothing thinking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Plot (no description provided yet)" title="" id="131" name="Picture"/>
            <a:graphic>
              <a:graphicData uri="http://schemas.openxmlformats.org/drawingml/2006/picture">
                <pic:pic>
                  <pic:nvPicPr>
                    <pic:cNvPr descr="images/ds_interpretation_slide035_unnamed-chunk-39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slide-36-all-or-nothing-thinking"/>
    <w:p>
      <w:pPr>
        <w:pStyle w:val="Heading2"/>
      </w:pPr>
      <w:r>
        <w:t xml:space="preserve">Slide 36: All or nothing thinking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Plot (no description provided yet)" title="" id="135" name="Picture"/>
            <a:graphic>
              <a:graphicData uri="http://schemas.openxmlformats.org/drawingml/2006/picture">
                <pic:pic>
                  <pic:nvPicPr>
                    <pic:cNvPr descr="images/ds_interpretation_slide036_unnamed-chunk-40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slide-37-all-or-nothing-thinking"/>
    <w:p>
      <w:pPr>
        <w:pStyle w:val="Heading2"/>
      </w:pPr>
      <w:r>
        <w:t xml:space="preserve">Slide 37: All or nothing thinking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Plot (no description provided yet)" title="" id="139" name="Picture"/>
            <a:graphic>
              <a:graphicData uri="http://schemas.openxmlformats.org/drawingml/2006/picture">
                <pic:pic>
                  <pic:nvPicPr>
                    <pic:cNvPr descr="images/ds_interpretation_slide037_unnamed-chunk-41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slide-38-all-or-nothing-thinking"/>
    <w:p>
      <w:pPr>
        <w:pStyle w:val="Heading2"/>
      </w:pPr>
      <w:r>
        <w:t xml:space="preserve">Slide 38: All or nothing thinking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Plot (no description provided yet)" title="" id="143" name="Picture"/>
            <a:graphic>
              <a:graphicData uri="http://schemas.openxmlformats.org/drawingml/2006/picture">
                <pic:pic>
                  <pic:nvPicPr>
                    <pic:cNvPr descr="images/ds_interpretation_slide038_unnamed-chunk-42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slide-39-all-or-nothing-thinking"/>
    <w:p>
      <w:pPr>
        <w:pStyle w:val="Heading2"/>
      </w:pPr>
      <w:r>
        <w:t xml:space="preserve">Slide 39: All or nothing thinking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Plot (no description provided yet)" title="" id="147" name="Picture"/>
            <a:graphic>
              <a:graphicData uri="http://schemas.openxmlformats.org/drawingml/2006/picture">
                <pic:pic>
                  <pic:nvPicPr>
                    <pic:cNvPr descr="images/ds_interpretation_slide039_unnamed-chunk-43-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0" w:name="slide-40-problems-with-nhst"/>
    <w:p>
      <w:pPr>
        <w:pStyle w:val="Heading2"/>
      </w:pPr>
      <w:r>
        <w:t xml:space="preserve">Slide 40: Problems with NHST</w:t>
      </w:r>
    </w:p>
    <w:p>
      <w:pPr>
        <w:pStyle w:val="Compact"/>
        <w:numPr>
          <w:ilvl w:val="0"/>
          <w:numId w:val="1027"/>
        </w:numPr>
      </w:pPr>
      <w:r>
        <w:t xml:space="preserve">Tells us nothing about importance because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depends upon sample size</w:t>
      </w:r>
    </w:p>
    <w:p>
      <w:pPr>
        <w:pStyle w:val="Compact"/>
        <w:numPr>
          <w:ilvl w:val="0"/>
          <w:numId w:val="1027"/>
        </w:numPr>
      </w:pPr>
      <w:r>
        <w:t xml:space="preserve">Provides little evidence about the null (or alternative) hypothesis</w:t>
      </w:r>
    </w:p>
    <w:p>
      <w:pPr>
        <w:pStyle w:val="Compact"/>
        <w:numPr>
          <w:ilvl w:val="0"/>
          <w:numId w:val="1027"/>
        </w:numPr>
      </w:pPr>
      <w:r>
        <w:t xml:space="preserve">Encourages all-or-nothing thinking</w:t>
      </w:r>
    </w:p>
    <w:p>
      <w:pPr>
        <w:pStyle w:val="Compact"/>
        <w:numPr>
          <w:ilvl w:val="0"/>
          <w:numId w:val="1027"/>
        </w:numPr>
      </w:pPr>
      <w:r>
        <w:t xml:space="preserve">Based on long-run probabilities</w:t>
      </w:r>
    </w:p>
    <w:p>
      <w:pPr>
        <w:pStyle w:val="Compact"/>
        <w:numPr>
          <w:ilvl w:val="1"/>
          <w:numId w:val="1028"/>
        </w:numPr>
      </w:pPr>
      <w:r>
        <w:rPr>
          <w:i/>
          <w:iCs/>
        </w:rPr>
        <w:t xml:space="preserve">p</w:t>
      </w:r>
      <w:r>
        <w:t xml:space="preserve"> </w:t>
      </w:r>
      <w:r>
        <w:t xml:space="preserve">is the relative frequency of the observed test statistic relative to all test statistics from an infinite number of identical experiments with the exact same a priori sample size</w:t>
      </w:r>
    </w:p>
    <w:p>
      <w:pPr>
        <w:pStyle w:val="Compact"/>
        <w:numPr>
          <w:ilvl w:val="1"/>
          <w:numId w:val="1028"/>
        </w:numPr>
      </w:pPr>
      <w:r>
        <w:t xml:space="preserve">The type I error rate is in a given study is either 0 or 1, but we don’t know which</w:t>
      </w:r>
    </w:p>
    <w:bookmarkEnd w:id="150"/>
    <w:bookmarkStart w:id="151" w:name="slide-41-effect-sizes"/>
    <w:p>
      <w:pPr>
        <w:pStyle w:val="Heading2"/>
      </w:pPr>
      <w:r>
        <w:t xml:space="preserve">Slide 41: Effect sizes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-value is just one source of information</w:t>
      </w:r>
    </w:p>
    <w:p>
      <w:pPr>
        <w:pStyle w:val="Compact"/>
        <w:numPr>
          <w:ilvl w:val="0"/>
          <w:numId w:val="1029"/>
        </w:numPr>
      </w:pPr>
      <w:r>
        <w:t xml:space="preserve">It must be placed within the context of the effect size</w:t>
      </w:r>
    </w:p>
    <w:p>
      <w:pPr>
        <w:pStyle w:val="Compact"/>
        <w:numPr>
          <w:ilvl w:val="0"/>
          <w:numId w:val="1030"/>
        </w:numPr>
      </w:pPr>
      <w:r>
        <w:t xml:space="preserve">Raw effect sizes (</w:t>
      </w:r>
      <w:r>
        <w:rPr>
          <w:i/>
          <w:iCs/>
        </w:rPr>
        <w:t xml:space="preserve">b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t xml:space="preserve">Standardized effect sizes</w:t>
      </w:r>
    </w:p>
    <w:p>
      <w:pPr>
        <w:pStyle w:val="Compact"/>
        <w:numPr>
          <w:ilvl w:val="1"/>
          <w:numId w:val="1031"/>
        </w:numPr>
      </w:pPr>
      <w:r>
        <w:t xml:space="preserve">Standardized</w:t>
      </w:r>
      <w:r>
        <w:t xml:space="preserve"> </w:t>
      </w:r>
      <m:oMath>
        <m:r>
          <m:t>β</m:t>
        </m:r>
      </m:oMath>
    </w:p>
    <w:p>
      <w:pPr>
        <w:pStyle w:val="Compact"/>
        <w:numPr>
          <w:ilvl w:val="1"/>
          <w:numId w:val="1031"/>
        </w:numPr>
      </w:pPr>
      <w:r>
        <w:t xml:space="preserve">Cohen’s</w:t>
      </w:r>
      <w:r>
        <w:t xml:space="preserve"> </w:t>
      </w:r>
      <w:r>
        <w:rPr>
          <w:i/>
          <w:iCs/>
        </w:rPr>
        <w:t xml:space="preserve">d</w:t>
      </w:r>
    </w:p>
    <w:p>
      <w:pPr>
        <w:pStyle w:val="Compact"/>
        <w:numPr>
          <w:ilvl w:val="1"/>
          <w:numId w:val="1031"/>
        </w:numPr>
      </w:pPr>
      <w:r>
        <w:t xml:space="preserve">Pearson’s</w:t>
      </w:r>
      <w:r>
        <w:t xml:space="preserve"> </w:t>
      </w:r>
      <w:r>
        <w:rPr>
          <w:i/>
          <w:iCs/>
        </w:rPr>
        <w:t xml:space="preserve">r</w:t>
      </w:r>
    </w:p>
    <w:p>
      <w:pPr>
        <w:pStyle w:val="Compact"/>
        <w:numPr>
          <w:ilvl w:val="1"/>
          <w:numId w:val="1031"/>
        </w:numPr>
      </w:pPr>
      <w:r>
        <w:t xml:space="preserve">Odds ratio</w:t>
      </w:r>
    </w:p>
    <w:bookmarkEnd w:id="151"/>
    <w:bookmarkStart w:id="157" w:name="slide-42-p-depends-upon-sample-size"/>
    <w:p>
      <w:pPr>
        <w:pStyle w:val="Heading2"/>
      </w:pPr>
      <w:r>
        <w:t xml:space="preserve">Slide 42: p depends upon sample size</w:t>
      </w:r>
    </w:p>
    <w:bookmarkStart w:id="154" w:name="same-effects-different-ps-2"/>
    <w:p>
      <w:pPr>
        <w:pStyle w:val="Heading3"/>
      </w:pPr>
      <w:r>
        <w:t xml:space="preserve">Same effects, different</w:t>
      </w:r>
      <w:r>
        <w:t xml:space="preserve"> </w:t>
      </w:r>
      <w:r>
        <w:rPr>
          <w:i/>
          <w:iCs/>
        </w:rPr>
        <w:t xml:space="preserve">p</w:t>
      </w:r>
      <w:r>
        <w:t xml:space="preserve">s</w:t>
      </w:r>
    </w:p>
    <w:bookmarkStart w:id="152" w:name="study-1-beta--0.86"/>
    <w:p>
      <w:pPr>
        <w:pStyle w:val="Heading4"/>
      </w:pPr>
      <w:r>
        <w:t xml:space="preserve">Study 1: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-0.86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12.89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24.565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-5.00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-6.738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52"/>
    <w:bookmarkStart w:id="153" w:name="study-2-beta--0.73"/>
    <w:p>
      <w:pPr>
        <w:pStyle w:val="Heading4"/>
      </w:pPr>
      <w:r>
        <w:t xml:space="preserve">Study 2: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-0.73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2.054</w:t>
            </w:r>
          </w:p>
        </w:tc>
        <w:tc>
          <w:tcPr/>
          <w:p>
            <w:pPr>
              <w:pStyle w:val="Compact"/>
            </w:pPr>
            <w:r>
              <w:t xml:space="preserve">6.233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-5.0</w:t>
            </w:r>
          </w:p>
        </w:tc>
        <w:tc>
          <w:tcPr/>
          <w:p>
            <w:pPr>
              <w:pStyle w:val="Compact"/>
            </w:pPr>
            <w:r>
              <w:t xml:space="preserve">2.904</w:t>
            </w:r>
          </w:p>
        </w:tc>
        <w:tc>
          <w:tcPr/>
          <w:p>
            <w:pPr>
              <w:pStyle w:val="Compact"/>
            </w:pPr>
            <w:r>
              <w:t xml:space="preserve">-1.722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</w:tbl>
    <w:bookmarkEnd w:id="153"/>
    <w:bookmarkEnd w:id="154"/>
    <w:bookmarkStart w:id="156" w:name="zero-effect-approx-significant-p-2"/>
    <w:p>
      <w:pPr>
        <w:pStyle w:val="Heading3"/>
      </w:pPr>
      <w:r>
        <w:t xml:space="preserve">Zero effect (approx), significant</w:t>
      </w:r>
      <w:r>
        <w:t xml:space="preserve"> </w:t>
      </w:r>
      <w:r>
        <w:rPr>
          <w:i/>
          <w:iCs/>
        </w:rPr>
        <w:t xml:space="preserve">p</w:t>
      </w:r>
    </w:p>
    <w:bookmarkStart w:id="155" w:name="study-3-beta-0.01"/>
    <w:p>
      <w:pPr>
        <w:pStyle w:val="Heading4"/>
      </w:pPr>
      <w:r>
        <w:t xml:space="preserve">Study 3: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0.01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std.error</w:t>
            </w:r>
          </w:p>
        </w:tc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12.113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660.082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groupBook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  <w:tc>
          <w:tcPr/>
          <w:p>
            <w:pPr>
              <w:pStyle w:val="Compact"/>
            </w:pPr>
            <w:r>
              <w:t xml:space="preserve">1.997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</w:tbl>
    <w:bookmarkEnd w:id="155"/>
    <w:bookmarkEnd w:id="156"/>
    <w:bookmarkEnd w:id="157"/>
    <w:bookmarkStart w:id="161" w:name="slide-43-all-or-nothing-thinking"/>
    <w:p>
      <w:pPr>
        <w:pStyle w:val="Heading2"/>
      </w:pPr>
      <w:r>
        <w:t xml:space="preserve">Slide 43: All or nothing thinking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Plot (no description provided yet)" title="" id="159" name="Picture"/>
            <a:graphic>
              <a:graphicData uri="http://schemas.openxmlformats.org/drawingml/2006/picture">
                <pic:pic>
                  <pic:nvPicPr>
                    <pic:cNvPr descr="images/ds_interpretation_slide043_unnamed-chunk-47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Start w:id="162" w:name="slide-44-back-to-birnbaum"/>
    <w:p>
      <w:pPr>
        <w:pStyle w:val="Heading2"/>
      </w:pPr>
      <w:r>
        <w:t xml:space="preserve">Slide 44: Back to Birnbaum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interest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hard to get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t(126)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(-0.73, 1.35)</w:t>
            </w:r>
          </w:p>
        </w:tc>
        <w:tc>
          <w:tcPr/>
          <w:p>
            <w:pPr>
              <w:pStyle w:val="Compact"/>
            </w:pPr>
            <w:r>
              <w:t xml:space="preserve">0.59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to get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(-0.04, 0.62)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t xml:space="preserve">0.080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3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-value suggests a non-significant effect</w:t>
      </w:r>
    </w:p>
    <w:p>
      <w:pPr>
        <w:pStyle w:val="Compact"/>
        <w:numPr>
          <w:ilvl w:val="1"/>
          <w:numId w:val="1033"/>
        </w:numPr>
      </w:pPr>
      <w:r>
        <w:t xml:space="preserve">Context: what’s the sample size? (</w:t>
      </w:r>
      <w:r>
        <w:rPr>
          <w:b/>
          <w:bCs/>
          <w:i/>
          <w:i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= 128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t xml:space="preserve">The raw effect (</w:t>
      </w:r>
      <w:r>
        <w:rPr>
          <w:i/>
          <w:iCs/>
        </w:rPr>
        <w:t xml:space="preserve">b</w:t>
      </w:r>
      <w:r>
        <w:t xml:space="preserve">) tells us as the perception that the other person was hard to get increased by 1 (on a scale from 1-5),</w:t>
      </w:r>
      <w:r>
        <w:t xml:space="preserve"> </w:t>
      </w:r>
      <w:r>
        <w:rPr>
          <w:b/>
          <w:bCs/>
        </w:rPr>
        <w:t xml:space="preserve">0.29</w:t>
      </w:r>
      <w:r>
        <w:t xml:space="preserve"> </w:t>
      </w:r>
      <w:r>
        <w:t xml:space="preserve">more expressions of interest were made. (A small practical effect)</w:t>
      </w:r>
    </w:p>
    <w:p>
      <w:pPr>
        <w:pStyle w:val="Compact"/>
        <w:numPr>
          <w:ilvl w:val="0"/>
          <w:numId w:val="1032"/>
        </w:numPr>
      </w:pPr>
      <w:r>
        <w:t xml:space="preserve">The 95% CI tells us (</w:t>
      </w:r>
      <w:r>
        <w:rPr>
          <w:b/>
          <w:bCs/>
        </w:rPr>
        <w:t xml:space="preserve">under certain assumptions</w:t>
      </w:r>
      <w:r>
        <w:t xml:space="preserve">) that the change in expressions of interest could be</w:t>
      </w:r>
    </w:p>
    <w:p>
      <w:pPr>
        <w:pStyle w:val="Compact"/>
        <w:numPr>
          <w:ilvl w:val="1"/>
          <w:numId w:val="1034"/>
        </w:numPr>
      </w:pPr>
      <w:r>
        <w:t xml:space="preserve">As small as</w:t>
      </w:r>
      <w:r>
        <w:t xml:space="preserve"> </w:t>
      </w:r>
      <w:r>
        <w:rPr>
          <w:b/>
          <w:bCs/>
        </w:rPr>
        <w:t xml:space="preserve">-0.04</w:t>
      </w:r>
    </w:p>
    <w:p>
      <w:pPr>
        <w:pStyle w:val="Compact"/>
        <w:numPr>
          <w:ilvl w:val="1"/>
          <w:numId w:val="1034"/>
        </w:numPr>
      </w:pPr>
      <w:r>
        <w:t xml:space="preserve">As large as</w:t>
      </w:r>
      <w:r>
        <w:t xml:space="preserve"> </w:t>
      </w:r>
      <w:r>
        <w:rPr>
          <w:b/>
          <w:bCs/>
        </w:rPr>
        <w:t xml:space="preserve">0.62</w:t>
      </w:r>
    </w:p>
    <w:p>
      <w:pPr>
        <w:pStyle w:val="Compact"/>
        <w:numPr>
          <w:ilvl w:val="1"/>
          <w:numId w:val="1034"/>
        </w:numPr>
      </w:pPr>
      <w:r>
        <w:t xml:space="preserve">Zero (no effect)</w:t>
      </w:r>
    </w:p>
    <w:p>
      <w:pPr>
        <w:pStyle w:val="Compact"/>
        <w:numPr>
          <w:ilvl w:val="0"/>
          <w:numId w:val="1032"/>
        </w:numPr>
      </w:pPr>
      <w:r>
        <w:t xml:space="preserve">The standardized effect (</w:t>
      </w:r>
      <m:oMath>
        <m:r>
          <m:t>β</m:t>
        </m:r>
      </m:oMath>
      <w:r>
        <w:t xml:space="preserve">) tells us that as the perception that the other person was hard to get increased by 1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, expressions of interest changed by 0.16</w:t>
      </w:r>
      <w:r>
        <w:t xml:space="preserve"> </w:t>
      </w:r>
      <w:r>
        <w:rPr>
          <w:b/>
          <w:bCs/>
        </w:rPr>
        <w:t xml:space="preserve">standard deviations</w:t>
      </w:r>
      <w:r>
        <w:t xml:space="preserve">. (A small practical effect)</w:t>
      </w:r>
    </w:p>
    <w:bookmarkEnd w:id="162"/>
    <w:bookmarkStart w:id="163" w:name="slide-45-summary"/>
    <w:p>
      <w:pPr>
        <w:pStyle w:val="Heading2"/>
      </w:pPr>
      <w:r>
        <w:t xml:space="preserve">Slide 45: Summary</w:t>
      </w:r>
    </w:p>
    <w:p>
      <w:pPr>
        <w:pStyle w:val="Compact"/>
        <w:numPr>
          <w:ilvl w:val="0"/>
          <w:numId w:val="1035"/>
        </w:numPr>
      </w:pPr>
      <w:r>
        <w:t xml:space="preserve">To interpret models we need to look at a range of information</w:t>
      </w:r>
    </w:p>
    <w:p>
      <w:pPr>
        <w:pStyle w:val="Compact"/>
        <w:numPr>
          <w:ilvl w:val="0"/>
          <w:numId w:val="1035"/>
        </w:numPr>
      </w:pPr>
      <w:r>
        <w:t xml:space="preserve">The raw parameter estimate tells us the effect in units we measured</w:t>
      </w:r>
    </w:p>
    <w:p>
      <w:pPr>
        <w:pStyle w:val="Compact"/>
        <w:numPr>
          <w:ilvl w:val="0"/>
          <w:numId w:val="1035"/>
        </w:numPr>
      </w:pPr>
      <w:r>
        <w:t xml:space="preserve">The standardized parameter estimate tells us the effect in standard deviation units</w:t>
      </w:r>
    </w:p>
    <w:p>
      <w:pPr>
        <w:pStyle w:val="Compact"/>
        <w:numPr>
          <w:ilvl w:val="1"/>
          <w:numId w:val="1036"/>
        </w:numPr>
      </w:pPr>
      <w:r>
        <w:t xml:space="preserve">Can be compared across studies that use different measures</w:t>
      </w:r>
    </w:p>
    <w:p>
      <w:pPr>
        <w:pStyle w:val="Compact"/>
        <w:numPr>
          <w:ilvl w:val="0"/>
          <w:numId w:val="1035"/>
        </w:numPr>
      </w:pPr>
      <w:r>
        <w:t xml:space="preserve">The confidence interval tells us about the uncertainty of our estimates</w:t>
      </w:r>
    </w:p>
    <w:p>
      <w:pPr>
        <w:pStyle w:val="Compact"/>
        <w:numPr>
          <w:ilvl w:val="0"/>
          <w:numId w:val="103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</w:t>
      </w:r>
      <w:r>
        <w:t xml:space="preserve">-value tells us about statistical ‘significance’</w:t>
      </w:r>
    </w:p>
    <w:p>
      <w:pPr>
        <w:pStyle w:val="Compact"/>
        <w:numPr>
          <w:ilvl w:val="1"/>
          <w:numId w:val="1037"/>
        </w:numPr>
      </w:pPr>
      <w:r>
        <w:t xml:space="preserve">It must be interpretted within the context of the sample size and other information</w:t>
      </w:r>
    </w:p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8" Target="media/rId158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106" Target="media/rId106.png" /><Relationship Type="http://schemas.openxmlformats.org/officeDocument/2006/relationships/image" Id="rId66" Target="media/rId66.png" /><Relationship Type="http://schemas.openxmlformats.org/officeDocument/2006/relationships/image" Id="rId102" Target="media/rId102.png" /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32" Target="https://doi.org/10.1177/0265407520927469" TargetMode="External" /><Relationship Type="http://schemas.openxmlformats.org/officeDocument/2006/relationships/hyperlink" Id="rId46" Target="https://milton-the-cat.rocks/ci_explorer/" TargetMode="External" /><Relationship Type="http://schemas.openxmlformats.org/officeDocument/2006/relationships/hyperlink" Id="rId42" Target="https://milton-the-cat.rocks/lm_sampling/" TargetMode="External" /><Relationship Type="http://schemas.openxmlformats.org/officeDocument/2006/relationships/hyperlink" Id="rId125" Target="https://profandyfield.github.io/statistics_lectures/ds_02_interpretation/media/animal_screams.mp4" TargetMode="External" /><Relationship Type="http://schemas.openxmlformats.org/officeDocument/2006/relationships/hyperlink" Id="rId9" Target="https://profandyfield.github.io/statistics_lectures/ds_02_interpretation/media/black_crown_initiate_great_mistake.mp3" TargetMode="External" /><Relationship Type="http://schemas.openxmlformats.org/officeDocument/2006/relationships/hyperlink" Id="rId128" Target="https://profandyfield.github.io/statistics_lectures/ds_02_interpretation/media/dancing_cat.mp4" TargetMode="External" /><Relationship Type="http://schemas.openxmlformats.org/officeDocument/2006/relationships/hyperlink" Id="rId52" Target="https://profandyfield.github.io/statistics_lectures/shared_media/video/hippo_burp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bsky.app/profile/profandyfield.bsky.social" TargetMode="External" /><Relationship Type="http://schemas.openxmlformats.org/officeDocument/2006/relationships/hyperlink" Id="rId32" Target="https://doi.org/10.1177/0265407520927469" TargetMode="External" /><Relationship Type="http://schemas.openxmlformats.org/officeDocument/2006/relationships/hyperlink" Id="rId46" Target="https://milton-the-cat.rocks/ci_explorer/" TargetMode="External" /><Relationship Type="http://schemas.openxmlformats.org/officeDocument/2006/relationships/hyperlink" Id="rId42" Target="https://milton-the-cat.rocks/lm_sampling/" TargetMode="External" /><Relationship Type="http://schemas.openxmlformats.org/officeDocument/2006/relationships/hyperlink" Id="rId125" Target="https://profandyfield.github.io/statistics_lectures/ds_02_interpretation/media/animal_screams.mp4" TargetMode="External" /><Relationship Type="http://schemas.openxmlformats.org/officeDocument/2006/relationships/hyperlink" Id="rId9" Target="https://profandyfield.github.io/statistics_lectures/ds_02_interpretation/media/black_crown_initiate_great_mistake.mp3" TargetMode="External" /><Relationship Type="http://schemas.openxmlformats.org/officeDocument/2006/relationships/hyperlink" Id="rId128" Target="https://profandyfield.github.io/statistics_lectures/ds_02_interpretation/media/dancing_cat.mp4" TargetMode="External" /><Relationship Type="http://schemas.openxmlformats.org/officeDocument/2006/relationships/hyperlink" Id="rId52" Target="https://profandyfield.github.io/statistics_lectures/shared_media/video/hippo_burp.mp4" TargetMode="External" /><Relationship Type="http://schemas.openxmlformats.org/officeDocument/2006/relationships/hyperlink" Id="rId12" Target="https://www.discoveringstatistics.com" TargetMode="External" /><Relationship Type="http://schemas.openxmlformats.org/officeDocument/2006/relationships/hyperlink" Id="rId13" Target="https://www.discovr.rocks" TargetMode="External" /><Relationship Type="http://schemas.openxmlformats.org/officeDocument/2006/relationships/hyperlink" Id="rId14" Target="https://www.statisticsadventure.com" TargetMode="External" /><Relationship Type="http://schemas.openxmlformats.org/officeDocument/2006/relationships/hyperlink" Id="rId11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2026-10-06T18:47:31Z</dcterms:created>
  <dcterms:modified xsi:type="dcterms:W3CDTF">2026-10-06T18:47:31Z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