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rPr>
      </w:pPr>
      <w:bookmarkStart w:id="0" w:name="_Toc485644652"/>
      <w:bookmarkEnd w:id="0"/>
      <w:r>
        <w:rPr>
          <w:rFonts w:ascii="Calibri" w:hAnsi="Calibri"/>
        </w:rPr>
        <w:t>Chapter 2: Organic Petrology</w:t>
      </w:r>
    </w:p>
    <w:p>
      <w:pPr>
        <w:pStyle w:val="Contents2"/>
        <w:tabs>
          <w:tab w:val="left" w:pos="880" w:leader="none"/>
          <w:tab w:val="right" w:pos="9016" w:leader="dot"/>
        </w:tabs>
        <w:rPr/>
      </w:pPr>
      <w:r>
        <w:rPr/>
      </w:r>
    </w:p>
    <w:p>
      <w:pPr>
        <w:pStyle w:val="Contents1"/>
        <w:tabs>
          <w:tab w:val="right" w:pos="9016" w:leader="dot"/>
        </w:tabs>
        <w:rPr>
          <w:rFonts w:eastAsia="" w:eastAsiaTheme="minorEastAsia"/>
          <w:lang w:eastAsia="en-ZA"/>
        </w:rPr>
      </w:pPr>
      <w:r>
        <w:fldChar w:fldCharType="begin"/>
      </w:r>
      <w:r>
        <w:instrText> TOC \z \o "1-4" \u \h</w:instrText>
      </w:r>
      <w:r>
        <w:fldChar w:fldCharType="separate"/>
      </w:r>
      <w:hyperlink w:anchor="_Toc485644652">
        <w:r>
          <w:rPr>
            <w:webHidden/>
            <w:rStyle w:val="IndexLink"/>
            <w:rFonts w:ascii="Calibri" w:hAnsi="Calibri"/>
          </w:rPr>
          <w:t>Chapter 2: Organic Petrology</w:t>
        </w:r>
        <w:r>
          <w:rPr>
            <w:webHidden/>
          </w:rPr>
          <w:fldChar w:fldCharType="begin"/>
        </w:r>
        <w:r>
          <w:rPr>
            <w:webHidden/>
          </w:rPr>
          <w:instrText>PAGEREF _Toc485644652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rFonts w:eastAsia="" w:eastAsiaTheme="minorEastAsia"/>
          <w:lang w:eastAsia="en-ZA"/>
        </w:rPr>
      </w:pPr>
      <w:hyperlink w:anchor="_Toc485644653">
        <w:r>
          <w:rPr>
            <w:webHidden/>
            <w:rStyle w:val="IndexLink"/>
            <w:rFonts w:ascii="Calibri" w:hAnsi="Calibri"/>
          </w:rPr>
          <w:t>2.1</w:t>
        </w:r>
        <w:r>
          <w:rPr>
            <w:rStyle w:val="IndexLink"/>
            <w:rFonts w:eastAsia="" w:eastAsiaTheme="minorEastAsia"/>
            <w:lang w:eastAsia="en-ZA"/>
          </w:rPr>
          <w:tab/>
        </w:r>
        <w:r>
          <w:rPr>
            <w:rStyle w:val="IndexLink"/>
            <w:rFonts w:ascii="Calibri" w:hAnsi="Calibri"/>
          </w:rPr>
          <w:t>INTRODUCTION TO ORGANIC PETROLOGY</w:t>
        </w:r>
        <w:r>
          <w:rPr>
            <w:webHidden/>
          </w:rPr>
          <w:fldChar w:fldCharType="begin"/>
        </w:r>
        <w:r>
          <w:rPr>
            <w:webHidden/>
          </w:rPr>
          <w:instrText>PAGEREF _Toc485644653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016" w:leader="dot"/>
        </w:tabs>
        <w:rPr>
          <w:rFonts w:eastAsia="" w:eastAsiaTheme="minorEastAsia"/>
          <w:lang w:eastAsia="en-ZA"/>
        </w:rPr>
      </w:pPr>
      <w:hyperlink w:anchor="_Toc485644654">
        <w:r>
          <w:rPr>
            <w:webHidden/>
            <w:rStyle w:val="IndexLink"/>
            <w:rFonts w:ascii="Calibri" w:hAnsi="Calibri"/>
          </w:rPr>
          <w:t>2.2</w:t>
        </w:r>
        <w:r>
          <w:rPr>
            <w:rStyle w:val="IndexLink"/>
            <w:rFonts w:eastAsia="" w:eastAsiaTheme="minorEastAsia"/>
            <w:lang w:eastAsia="en-ZA"/>
          </w:rPr>
          <w:tab/>
        </w:r>
        <w:r>
          <w:rPr>
            <w:rStyle w:val="IndexLink"/>
            <w:rFonts w:ascii="Calibri" w:hAnsi="Calibri"/>
          </w:rPr>
          <w:t>HISTORICAL DEVELOPMENT OF COAL PETROGRAPHY</w:t>
        </w:r>
        <w:r>
          <w:rPr>
            <w:webHidden/>
          </w:rPr>
          <w:fldChar w:fldCharType="begin"/>
        </w:r>
        <w:r>
          <w:rPr>
            <w:webHidden/>
          </w:rPr>
          <w:instrText>PAGEREF _Toc485644654 \h</w:instrText>
        </w:r>
        <w:r>
          <w:rPr>
            <w:webHidden/>
          </w:rPr>
          <w:fldChar w:fldCharType="separate"/>
        </w:r>
        <w:r>
          <w:rPr>
            <w:rStyle w:val="IndexLink"/>
            <w:vanish w:val="false"/>
          </w:rPr>
          <w:tab/>
          <w:t>2</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55">
        <w:r>
          <w:rPr>
            <w:webHidden/>
            <w:rStyle w:val="IndexLink"/>
            <w:rFonts w:ascii="Calibri" w:hAnsi="Calibri"/>
          </w:rPr>
          <w:t>2.2.1</w:t>
        </w:r>
        <w:r>
          <w:rPr>
            <w:rStyle w:val="IndexLink"/>
            <w:rFonts w:eastAsia="" w:eastAsiaTheme="minorEastAsia"/>
            <w:lang w:eastAsia="en-ZA"/>
          </w:rPr>
          <w:tab/>
        </w:r>
        <w:r>
          <w:rPr>
            <w:rStyle w:val="IndexLink"/>
            <w:rFonts w:ascii="Calibri" w:hAnsi="Calibri"/>
          </w:rPr>
          <w:t>Development of Techniques in Coal Petrology</w:t>
        </w:r>
        <w:r>
          <w:rPr>
            <w:webHidden/>
          </w:rPr>
          <w:fldChar w:fldCharType="begin"/>
        </w:r>
        <w:r>
          <w:rPr>
            <w:webHidden/>
          </w:rPr>
          <w:instrText>PAGEREF _Toc485644655 \h</w:instrText>
        </w:r>
        <w:r>
          <w:rPr>
            <w:webHidden/>
          </w:rPr>
          <w:fldChar w:fldCharType="separate"/>
        </w:r>
        <w:r>
          <w:rPr>
            <w:rStyle w:val="IndexLink"/>
            <w:vanish w:val="false"/>
          </w:rPr>
          <w:tab/>
          <w:t>2</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56">
        <w:r>
          <w:rPr>
            <w:webHidden/>
            <w:rStyle w:val="IndexLink"/>
          </w:rPr>
          <w:t>2.2.2</w:t>
        </w:r>
        <w:r>
          <w:rPr>
            <w:rStyle w:val="IndexLink"/>
            <w:rFonts w:eastAsia="" w:eastAsiaTheme="minorEastAsia"/>
            <w:lang w:eastAsia="en-ZA"/>
          </w:rPr>
          <w:tab/>
        </w:r>
        <w:r>
          <w:rPr>
            <w:rStyle w:val="IndexLink"/>
          </w:rPr>
          <w:t>Development of Petrographic Nomenclature and Classification</w:t>
        </w:r>
        <w:r>
          <w:rPr>
            <w:webHidden/>
          </w:rPr>
          <w:fldChar w:fldCharType="begin"/>
        </w:r>
        <w:r>
          <w:rPr>
            <w:webHidden/>
          </w:rPr>
          <w:instrText>PAGEREF _Toc485644656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rFonts w:eastAsia="" w:eastAsiaTheme="minorEastAsia"/>
          <w:lang w:eastAsia="en-ZA"/>
        </w:rPr>
      </w:pPr>
      <w:hyperlink w:anchor="_Toc485644657">
        <w:r>
          <w:rPr>
            <w:webHidden/>
            <w:rStyle w:val="IndexLink"/>
            <w:rFonts w:ascii="Calibri" w:hAnsi="Calibri"/>
          </w:rPr>
          <w:t>2.3</w:t>
        </w:r>
        <w:r>
          <w:rPr>
            <w:rStyle w:val="IndexLink"/>
            <w:rFonts w:eastAsia="" w:eastAsiaTheme="minorEastAsia"/>
            <w:lang w:eastAsia="en-ZA"/>
          </w:rPr>
          <w:tab/>
        </w:r>
        <w:r>
          <w:rPr>
            <w:rStyle w:val="IndexLink"/>
            <w:rFonts w:ascii="Calibri" w:hAnsi="Calibri"/>
          </w:rPr>
          <w:t>PETROGRAPHIC CONSTITUENTS OF COAL</w:t>
        </w:r>
        <w:r>
          <w:rPr>
            <w:webHidden/>
          </w:rPr>
          <w:fldChar w:fldCharType="begin"/>
        </w:r>
        <w:r>
          <w:rPr>
            <w:webHidden/>
          </w:rPr>
          <w:instrText>PAGEREF _Toc485644657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58">
        <w:r>
          <w:rPr>
            <w:webHidden/>
            <w:rStyle w:val="IndexLink"/>
          </w:rPr>
          <w:t>2.3.1</w:t>
        </w:r>
        <w:r>
          <w:rPr>
            <w:rStyle w:val="IndexLink"/>
            <w:rFonts w:eastAsia="" w:eastAsiaTheme="minorEastAsia"/>
            <w:lang w:eastAsia="en-ZA"/>
          </w:rPr>
          <w:tab/>
        </w:r>
        <w:r>
          <w:rPr>
            <w:rStyle w:val="IndexLink"/>
            <w:rFonts w:ascii="Calibri" w:hAnsi="Calibri"/>
          </w:rPr>
          <w:t>Macroscopic</w:t>
        </w:r>
        <w:r>
          <w:rPr>
            <w:rStyle w:val="IndexLink"/>
          </w:rPr>
          <w:t xml:space="preserve"> Constituents of Coal</w:t>
        </w:r>
        <w:r>
          <w:rPr>
            <w:webHidden/>
          </w:rPr>
          <w:fldChar w:fldCharType="begin"/>
        </w:r>
        <w:r>
          <w:rPr>
            <w:webHidden/>
          </w:rPr>
          <w:instrText>PAGEREF _Toc485644658 \h</w:instrText>
        </w:r>
        <w:r>
          <w:rPr>
            <w:webHidden/>
          </w:rPr>
          <w:fldChar w:fldCharType="separate"/>
        </w:r>
        <w:r>
          <w:rPr>
            <w:rStyle w:val="IndexLink"/>
            <w:vanish w:val="false"/>
          </w:rPr>
          <w:tab/>
          <w:t>9</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59">
        <w:r>
          <w:rPr>
            <w:webHidden/>
            <w:rStyle w:val="IndexLink"/>
            <w:rFonts w:ascii="Calibri" w:hAnsi="Calibri"/>
          </w:rPr>
          <w:t>2.3.1.1</w:t>
        </w:r>
        <w:r>
          <w:rPr>
            <w:rStyle w:val="IndexLink"/>
            <w:rFonts w:eastAsia="" w:eastAsiaTheme="minorEastAsia"/>
            <w:lang w:eastAsia="en-ZA"/>
          </w:rPr>
          <w:tab/>
        </w:r>
        <w:r>
          <w:rPr>
            <w:rStyle w:val="IndexLink"/>
            <w:rFonts w:ascii="Calibri" w:hAnsi="Calibri"/>
          </w:rPr>
          <w:t>Non-banded / Sapropelic Coals</w:t>
        </w:r>
        <w:r>
          <w:rPr>
            <w:webHidden/>
          </w:rPr>
          <w:fldChar w:fldCharType="begin"/>
        </w:r>
        <w:r>
          <w:rPr>
            <w:webHidden/>
          </w:rPr>
          <w:instrText>PAGEREF _Toc485644659 \h</w:instrText>
        </w:r>
        <w:r>
          <w:rPr>
            <w:webHidden/>
          </w:rPr>
          <w:fldChar w:fldCharType="separate"/>
        </w:r>
        <w:r>
          <w:rPr>
            <w:rStyle w:val="IndexLink"/>
            <w:vanish w:val="false"/>
          </w:rPr>
          <w:tab/>
          <w:t>9</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60">
        <w:r>
          <w:rPr>
            <w:webHidden/>
            <w:rStyle w:val="IndexLink"/>
            <w:rFonts w:ascii="Calibri" w:hAnsi="Calibri"/>
          </w:rPr>
          <w:t>2.3.1.2</w:t>
        </w:r>
        <w:r>
          <w:rPr>
            <w:rStyle w:val="IndexLink"/>
            <w:rFonts w:eastAsia="" w:eastAsiaTheme="minorEastAsia"/>
            <w:lang w:eastAsia="en-ZA"/>
          </w:rPr>
          <w:tab/>
        </w:r>
        <w:r>
          <w:rPr>
            <w:rStyle w:val="IndexLink"/>
            <w:rFonts w:ascii="Calibri" w:hAnsi="Calibri"/>
          </w:rPr>
          <w:t>Banded / Humic Coals</w:t>
        </w:r>
        <w:r>
          <w:rPr>
            <w:webHidden/>
          </w:rPr>
          <w:fldChar w:fldCharType="begin"/>
        </w:r>
        <w:r>
          <w:rPr>
            <w:webHidden/>
          </w:rPr>
          <w:instrText>PAGEREF _Toc485644660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61">
        <w:r>
          <w:rPr>
            <w:webHidden/>
            <w:rStyle w:val="IndexLink"/>
            <w:rFonts w:ascii="Calibri" w:hAnsi="Calibri"/>
          </w:rPr>
          <w:t>2.3.2</w:t>
        </w:r>
        <w:r>
          <w:rPr>
            <w:rStyle w:val="IndexLink"/>
            <w:rFonts w:eastAsia="" w:eastAsiaTheme="minorEastAsia"/>
            <w:lang w:eastAsia="en-ZA"/>
          </w:rPr>
          <w:tab/>
        </w:r>
        <w:r>
          <w:rPr>
            <w:rStyle w:val="IndexLink"/>
            <w:rFonts w:ascii="Calibri" w:hAnsi="Calibri"/>
          </w:rPr>
          <w:t>Microscopic Constituents of Coal</w:t>
        </w:r>
        <w:r>
          <w:rPr>
            <w:webHidden/>
          </w:rPr>
          <w:fldChar w:fldCharType="begin"/>
        </w:r>
        <w:r>
          <w:rPr>
            <w:webHidden/>
          </w:rPr>
          <w:instrText>PAGEREF _Toc485644661 \h</w:instrText>
        </w:r>
        <w:r>
          <w:rPr>
            <w:webHidden/>
          </w:rPr>
          <w:fldChar w:fldCharType="separate"/>
        </w:r>
        <w:r>
          <w:rPr>
            <w:rStyle w:val="IndexLink"/>
            <w:vanish w:val="false"/>
          </w:rPr>
          <w:tab/>
          <w:t>11</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62">
        <w:r>
          <w:rPr>
            <w:webHidden/>
            <w:rStyle w:val="IndexLink"/>
            <w:rFonts w:ascii="Calibri" w:hAnsi="Calibri"/>
          </w:rPr>
          <w:t>2.3.2.1</w:t>
        </w:r>
        <w:r>
          <w:rPr>
            <w:rStyle w:val="IndexLink"/>
            <w:rFonts w:eastAsia="" w:eastAsiaTheme="minorEastAsia"/>
            <w:lang w:eastAsia="en-ZA"/>
          </w:rPr>
          <w:tab/>
        </w:r>
        <w:r>
          <w:rPr>
            <w:rStyle w:val="IndexLink"/>
            <w:rFonts w:ascii="Calibri" w:hAnsi="Calibri"/>
          </w:rPr>
          <w:t>Maceral formation (type)</w:t>
        </w:r>
        <w:r>
          <w:rPr>
            <w:webHidden/>
          </w:rPr>
          <w:fldChar w:fldCharType="begin"/>
        </w:r>
        <w:r>
          <w:rPr>
            <w:webHidden/>
          </w:rPr>
          <w:instrText>PAGEREF _Toc485644662 \h</w:instrText>
        </w:r>
        <w:r>
          <w:rPr>
            <w:webHidden/>
          </w:rPr>
          <w:fldChar w:fldCharType="separate"/>
        </w:r>
        <w:r>
          <w:rPr>
            <w:rStyle w:val="IndexLink"/>
            <w:vanish w:val="false"/>
          </w:rPr>
          <w:tab/>
          <w:t>11</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63">
        <w:r>
          <w:rPr>
            <w:webHidden/>
            <w:rStyle w:val="IndexLink"/>
            <w:rFonts w:ascii="Calibri" w:hAnsi="Calibri"/>
          </w:rPr>
          <w:t>2.3.2.2</w:t>
        </w:r>
        <w:r>
          <w:rPr>
            <w:rStyle w:val="IndexLink"/>
            <w:rFonts w:eastAsia="" w:eastAsiaTheme="minorEastAsia"/>
            <w:lang w:eastAsia="en-ZA"/>
          </w:rPr>
          <w:tab/>
        </w:r>
        <w:r>
          <w:rPr>
            <w:rStyle w:val="IndexLink"/>
            <w:rFonts w:ascii="Calibri" w:hAnsi="Calibri"/>
          </w:rPr>
          <w:t>Coalification</w:t>
        </w:r>
        <w:r>
          <w:rPr>
            <w:rStyle w:val="IndexLink"/>
          </w:rPr>
          <w:t xml:space="preserve"> (rank)</w:t>
        </w:r>
        <w:r>
          <w:rPr>
            <w:webHidden/>
          </w:rPr>
          <w:fldChar w:fldCharType="begin"/>
        </w:r>
        <w:r>
          <w:rPr>
            <w:webHidden/>
          </w:rPr>
          <w:instrText>PAGEREF _Toc485644663 \h</w:instrText>
        </w:r>
        <w:r>
          <w:rPr>
            <w:webHidden/>
          </w:rPr>
          <w:fldChar w:fldCharType="separate"/>
        </w:r>
        <w:r>
          <w:rPr>
            <w:rStyle w:val="IndexLink"/>
            <w:vanish w:val="false"/>
          </w:rPr>
          <w:tab/>
          <w:t>12</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64">
        <w:r>
          <w:rPr>
            <w:webHidden/>
            <w:rStyle w:val="IndexLink"/>
            <w:rFonts w:ascii="Calibri" w:hAnsi="Calibri"/>
          </w:rPr>
          <w:t>2.3.2.3</w:t>
        </w:r>
        <w:r>
          <w:rPr>
            <w:rStyle w:val="IndexLink"/>
            <w:rFonts w:eastAsia="" w:eastAsiaTheme="minorEastAsia"/>
            <w:lang w:eastAsia="en-ZA"/>
          </w:rPr>
          <w:tab/>
        </w:r>
        <w:r>
          <w:rPr>
            <w:rStyle w:val="IndexLink"/>
          </w:rPr>
          <w:t xml:space="preserve">Maceral </w:t>
        </w:r>
        <w:r>
          <w:rPr>
            <w:rStyle w:val="IndexLink"/>
            <w:rFonts w:cs="Arial" w:ascii="Calibri" w:hAnsi="Calibri" w:cstheme="minorHAnsi"/>
          </w:rPr>
          <w:t>Groups</w:t>
        </w:r>
        <w:r>
          <w:rPr>
            <w:webHidden/>
          </w:rPr>
          <w:fldChar w:fldCharType="begin"/>
        </w:r>
        <w:r>
          <w:rPr>
            <w:webHidden/>
          </w:rPr>
          <w:instrText>PAGEREF _Toc485644664 \h</w:instrText>
        </w:r>
        <w:r>
          <w:rPr>
            <w:webHidden/>
          </w:rPr>
          <w:fldChar w:fldCharType="separate"/>
        </w:r>
        <w:r>
          <w:rPr>
            <w:rStyle w:val="IndexLink"/>
            <w:vanish w:val="false"/>
          </w:rPr>
          <w:tab/>
          <w:t>13</w:t>
        </w:r>
        <w:r>
          <w:rPr>
            <w:webHidden/>
          </w:rPr>
          <w:fldChar w:fldCharType="end"/>
        </w:r>
      </w:hyperlink>
    </w:p>
    <w:p>
      <w:pPr>
        <w:pStyle w:val="Contents4"/>
        <w:tabs>
          <w:tab w:val="right" w:pos="9016" w:leader="dot"/>
        </w:tabs>
        <w:rPr>
          <w:rFonts w:eastAsia="" w:eastAsiaTheme="minorEastAsia"/>
          <w:lang w:eastAsia="en-ZA"/>
        </w:rPr>
      </w:pPr>
      <w:hyperlink w:anchor="_Toc485644665">
        <w:r>
          <w:rPr>
            <w:webHidden/>
            <w:rStyle w:val="IndexLink"/>
          </w:rPr>
          <w:t>Vitrinite Maceral Group</w:t>
        </w:r>
        <w:r>
          <w:rPr>
            <w:webHidden/>
          </w:rPr>
          <w:fldChar w:fldCharType="begin"/>
        </w:r>
        <w:r>
          <w:rPr>
            <w:webHidden/>
          </w:rPr>
          <w:instrText>PAGEREF _Toc485644665 \h</w:instrText>
        </w:r>
        <w:r>
          <w:rPr>
            <w:webHidden/>
          </w:rPr>
          <w:fldChar w:fldCharType="separate"/>
        </w:r>
        <w:r>
          <w:rPr>
            <w:rStyle w:val="IndexLink"/>
            <w:vanish w:val="false"/>
          </w:rPr>
          <w:tab/>
          <w:t>13</w:t>
        </w:r>
        <w:r>
          <w:rPr>
            <w:webHidden/>
          </w:rPr>
          <w:fldChar w:fldCharType="end"/>
        </w:r>
      </w:hyperlink>
    </w:p>
    <w:p>
      <w:pPr>
        <w:pStyle w:val="Contents4"/>
        <w:tabs>
          <w:tab w:val="right" w:pos="9016" w:leader="dot"/>
        </w:tabs>
        <w:rPr>
          <w:rFonts w:eastAsia="" w:eastAsiaTheme="minorEastAsia"/>
          <w:lang w:eastAsia="en-ZA"/>
        </w:rPr>
      </w:pPr>
      <w:hyperlink w:anchor="_Toc485644666">
        <w:r>
          <w:rPr>
            <w:webHidden/>
            <w:rStyle w:val="IndexLink"/>
          </w:rPr>
          <w:t>Inertinite Maceral Group</w:t>
        </w:r>
        <w:r>
          <w:rPr>
            <w:webHidden/>
          </w:rPr>
          <w:fldChar w:fldCharType="begin"/>
        </w:r>
        <w:r>
          <w:rPr>
            <w:webHidden/>
          </w:rPr>
          <w:instrText>PAGEREF _Toc485644666 \h</w:instrText>
        </w:r>
        <w:r>
          <w:rPr>
            <w:webHidden/>
          </w:rPr>
          <w:fldChar w:fldCharType="separate"/>
        </w:r>
        <w:r>
          <w:rPr>
            <w:rStyle w:val="IndexLink"/>
            <w:vanish w:val="false"/>
          </w:rPr>
          <w:tab/>
          <w:t>15</w:t>
        </w:r>
        <w:r>
          <w:rPr>
            <w:webHidden/>
          </w:rPr>
          <w:fldChar w:fldCharType="end"/>
        </w:r>
      </w:hyperlink>
    </w:p>
    <w:p>
      <w:pPr>
        <w:pStyle w:val="Contents4"/>
        <w:tabs>
          <w:tab w:val="right" w:pos="9016" w:leader="dot"/>
        </w:tabs>
        <w:rPr>
          <w:rFonts w:eastAsia="" w:eastAsiaTheme="minorEastAsia"/>
          <w:lang w:eastAsia="en-ZA"/>
        </w:rPr>
      </w:pPr>
      <w:hyperlink w:anchor="_Toc485644667">
        <w:r>
          <w:rPr>
            <w:webHidden/>
            <w:rStyle w:val="IndexLink"/>
          </w:rPr>
          <w:t>Liptinite Maceral Group</w:t>
        </w:r>
        <w:r>
          <w:rPr>
            <w:webHidden/>
          </w:rPr>
          <w:fldChar w:fldCharType="begin"/>
        </w:r>
        <w:r>
          <w:rPr>
            <w:webHidden/>
          </w:rPr>
          <w:instrText>PAGEREF _Toc485644667 \h</w:instrText>
        </w:r>
        <w:r>
          <w:rPr>
            <w:webHidden/>
          </w:rPr>
          <w:fldChar w:fldCharType="separate"/>
        </w:r>
        <w:r>
          <w:rPr>
            <w:rStyle w:val="IndexLink"/>
            <w:vanish w:val="false"/>
          </w:rPr>
          <w:tab/>
          <w:t>16</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68">
        <w:r>
          <w:rPr>
            <w:webHidden/>
            <w:rStyle w:val="IndexLink"/>
            <w:rFonts w:ascii="Calibri" w:hAnsi="Calibri"/>
          </w:rPr>
          <w:t>2.3.2.4</w:t>
        </w:r>
        <w:r>
          <w:rPr>
            <w:rStyle w:val="IndexLink"/>
            <w:rFonts w:eastAsia="" w:eastAsiaTheme="minorEastAsia"/>
            <w:lang w:eastAsia="en-ZA"/>
          </w:rPr>
          <w:tab/>
        </w:r>
        <w:r>
          <w:rPr>
            <w:rStyle w:val="IndexLink"/>
            <w:rFonts w:ascii="Calibri" w:hAnsi="Calibri"/>
          </w:rPr>
          <w:t>Minerals in coal (grade)</w:t>
        </w:r>
        <w:r>
          <w:rPr>
            <w:webHidden/>
          </w:rPr>
          <w:fldChar w:fldCharType="begin"/>
        </w:r>
        <w:r>
          <w:rPr>
            <w:webHidden/>
          </w:rPr>
          <w:instrText>PAGEREF _Toc485644668 \h</w:instrText>
        </w:r>
        <w:r>
          <w:rPr>
            <w:webHidden/>
          </w:rPr>
          <w:fldChar w:fldCharType="separate"/>
        </w:r>
        <w:r>
          <w:rPr>
            <w:rStyle w:val="IndexLink"/>
            <w:vanish w:val="false"/>
          </w:rPr>
          <w:tab/>
          <w:t>18</w:t>
        </w:r>
        <w:r>
          <w:rPr>
            <w:webHidden/>
          </w:rPr>
          <w:fldChar w:fldCharType="end"/>
        </w:r>
      </w:hyperlink>
    </w:p>
    <w:p>
      <w:pPr>
        <w:pStyle w:val="Contents4"/>
        <w:tabs>
          <w:tab w:val="right" w:pos="9016" w:leader="dot"/>
        </w:tabs>
        <w:rPr>
          <w:rFonts w:eastAsia="" w:eastAsiaTheme="minorEastAsia"/>
          <w:lang w:eastAsia="en-ZA"/>
        </w:rPr>
      </w:pPr>
      <w:hyperlink w:anchor="_Toc485644669">
        <w:r>
          <w:rPr>
            <w:webHidden/>
            <w:rStyle w:val="IndexLink"/>
          </w:rPr>
          <w:t>Clay</w:t>
        </w:r>
        <w:r>
          <w:rPr>
            <w:webHidden/>
          </w:rPr>
          <w:fldChar w:fldCharType="begin"/>
        </w:r>
        <w:r>
          <w:rPr>
            <w:webHidden/>
          </w:rPr>
          <w:instrText>PAGEREF _Toc485644669 \h</w:instrText>
        </w:r>
        <w:r>
          <w:rPr>
            <w:webHidden/>
          </w:rPr>
          <w:fldChar w:fldCharType="separate"/>
        </w:r>
        <w:r>
          <w:rPr>
            <w:rStyle w:val="IndexLink"/>
            <w:vanish w:val="false"/>
          </w:rPr>
          <w:tab/>
          <w:t>20</w:t>
        </w:r>
        <w:r>
          <w:rPr>
            <w:webHidden/>
          </w:rPr>
          <w:fldChar w:fldCharType="end"/>
        </w:r>
      </w:hyperlink>
    </w:p>
    <w:p>
      <w:pPr>
        <w:pStyle w:val="Contents4"/>
        <w:tabs>
          <w:tab w:val="right" w:pos="9016" w:leader="dot"/>
        </w:tabs>
        <w:rPr>
          <w:rFonts w:eastAsia="" w:eastAsiaTheme="minorEastAsia"/>
          <w:lang w:eastAsia="en-ZA"/>
        </w:rPr>
      </w:pPr>
      <w:hyperlink w:anchor="_Toc485644670">
        <w:r>
          <w:rPr>
            <w:webHidden/>
            <w:rStyle w:val="IndexLink"/>
          </w:rPr>
          <w:t>Quartz</w:t>
        </w:r>
        <w:r>
          <w:rPr>
            <w:webHidden/>
          </w:rPr>
          <w:fldChar w:fldCharType="begin"/>
        </w:r>
        <w:r>
          <w:rPr>
            <w:webHidden/>
          </w:rPr>
          <w:instrText>PAGEREF _Toc485644670 \h</w:instrText>
        </w:r>
        <w:r>
          <w:rPr>
            <w:webHidden/>
          </w:rPr>
          <w:fldChar w:fldCharType="separate"/>
        </w:r>
        <w:r>
          <w:rPr>
            <w:rStyle w:val="IndexLink"/>
            <w:vanish w:val="false"/>
          </w:rPr>
          <w:tab/>
          <w:t>20</w:t>
        </w:r>
        <w:r>
          <w:rPr>
            <w:webHidden/>
          </w:rPr>
          <w:fldChar w:fldCharType="end"/>
        </w:r>
      </w:hyperlink>
    </w:p>
    <w:p>
      <w:pPr>
        <w:pStyle w:val="Contents4"/>
        <w:tabs>
          <w:tab w:val="right" w:pos="9016" w:leader="dot"/>
        </w:tabs>
        <w:rPr>
          <w:rFonts w:eastAsia="" w:eastAsiaTheme="minorEastAsia"/>
          <w:lang w:eastAsia="en-ZA"/>
        </w:rPr>
      </w:pPr>
      <w:hyperlink w:anchor="_Toc485644671">
        <w:r>
          <w:rPr>
            <w:webHidden/>
            <w:rStyle w:val="IndexLink"/>
          </w:rPr>
          <w:t>Carbonates</w:t>
        </w:r>
        <w:r>
          <w:rPr>
            <w:webHidden/>
          </w:rPr>
          <w:fldChar w:fldCharType="begin"/>
        </w:r>
        <w:r>
          <w:rPr>
            <w:webHidden/>
          </w:rPr>
          <w:instrText>PAGEREF _Toc485644671 \h</w:instrText>
        </w:r>
        <w:r>
          <w:rPr>
            <w:webHidden/>
          </w:rPr>
          <w:fldChar w:fldCharType="separate"/>
        </w:r>
        <w:r>
          <w:rPr>
            <w:rStyle w:val="IndexLink"/>
            <w:vanish w:val="false"/>
          </w:rPr>
          <w:tab/>
          <w:t>20</w:t>
        </w:r>
        <w:r>
          <w:rPr>
            <w:webHidden/>
          </w:rPr>
          <w:fldChar w:fldCharType="end"/>
        </w:r>
      </w:hyperlink>
    </w:p>
    <w:p>
      <w:pPr>
        <w:pStyle w:val="Contents4"/>
        <w:tabs>
          <w:tab w:val="right" w:pos="9016" w:leader="dot"/>
        </w:tabs>
        <w:rPr>
          <w:rFonts w:eastAsia="" w:eastAsiaTheme="minorEastAsia"/>
          <w:lang w:eastAsia="en-ZA"/>
        </w:rPr>
      </w:pPr>
      <w:hyperlink w:anchor="_Toc485644672">
        <w:r>
          <w:rPr>
            <w:webHidden/>
            <w:rStyle w:val="IndexLink"/>
          </w:rPr>
          <w:t>Iron sulphides</w:t>
        </w:r>
        <w:r>
          <w:rPr>
            <w:webHidden/>
          </w:rPr>
          <w:fldChar w:fldCharType="begin"/>
        </w:r>
        <w:r>
          <w:rPr>
            <w:webHidden/>
          </w:rPr>
          <w:instrText>PAGEREF _Toc485644672 \h</w:instrText>
        </w:r>
        <w:r>
          <w:rPr>
            <w:webHidden/>
          </w:rPr>
          <w:fldChar w:fldCharType="separate"/>
        </w:r>
        <w:r>
          <w:rPr>
            <w:rStyle w:val="IndexLink"/>
            <w:vanish w:val="false"/>
          </w:rPr>
          <w:tab/>
          <w:t>21</w:t>
        </w:r>
        <w:r>
          <w:rPr>
            <w:webHidden/>
          </w:rPr>
          <w:fldChar w:fldCharType="end"/>
        </w:r>
      </w:hyperlink>
    </w:p>
    <w:p>
      <w:pPr>
        <w:pStyle w:val="Contents4"/>
        <w:tabs>
          <w:tab w:val="right" w:pos="9016" w:leader="dot"/>
        </w:tabs>
        <w:rPr>
          <w:rFonts w:eastAsia="" w:eastAsiaTheme="minorEastAsia"/>
          <w:lang w:eastAsia="en-ZA"/>
        </w:rPr>
      </w:pPr>
      <w:hyperlink w:anchor="_Toc485644673">
        <w:r>
          <w:rPr>
            <w:webHidden/>
            <w:rStyle w:val="IndexLink"/>
          </w:rPr>
          <w:t>Other minerals</w:t>
        </w:r>
        <w:r>
          <w:rPr>
            <w:webHidden/>
          </w:rPr>
          <w:fldChar w:fldCharType="begin"/>
        </w:r>
        <w:r>
          <w:rPr>
            <w:webHidden/>
          </w:rPr>
          <w:instrText>PAGEREF _Toc485644673 \h</w:instrText>
        </w:r>
        <w:r>
          <w:rPr>
            <w:webHidden/>
          </w:rPr>
          <w:fldChar w:fldCharType="separate"/>
        </w:r>
        <w:r>
          <w:rPr>
            <w:rStyle w:val="IndexLink"/>
            <w:vanish w:val="false"/>
          </w:rPr>
          <w:tab/>
          <w:t>22</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74">
        <w:r>
          <w:rPr>
            <w:webHidden/>
            <w:rStyle w:val="IndexLink"/>
            <w:rFonts w:ascii="Calibri" w:hAnsi="Calibri"/>
          </w:rPr>
          <w:t>2.3.2.5</w:t>
        </w:r>
        <w:r>
          <w:rPr>
            <w:rStyle w:val="IndexLink"/>
            <w:rFonts w:eastAsia="" w:eastAsiaTheme="minorEastAsia"/>
            <w:lang w:eastAsia="en-ZA"/>
          </w:rPr>
          <w:tab/>
        </w:r>
        <w:r>
          <w:rPr>
            <w:rStyle w:val="IndexLink"/>
            <w:rFonts w:ascii="Calibri" w:hAnsi="Calibri"/>
          </w:rPr>
          <w:t>Microlithotypes</w:t>
        </w:r>
        <w:r>
          <w:rPr>
            <w:webHidden/>
          </w:rPr>
          <w:fldChar w:fldCharType="begin"/>
        </w:r>
        <w:r>
          <w:rPr>
            <w:webHidden/>
          </w:rPr>
          <w:instrText>PAGEREF _Toc485644674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016" w:leader="dot"/>
        </w:tabs>
        <w:rPr>
          <w:rFonts w:eastAsia="" w:eastAsiaTheme="minorEastAsia"/>
          <w:lang w:eastAsia="en-ZA"/>
        </w:rPr>
      </w:pPr>
      <w:hyperlink w:anchor="_Toc485644675">
        <w:r>
          <w:rPr>
            <w:webHidden/>
            <w:rStyle w:val="IndexLink"/>
            <w:rFonts w:ascii="Calibri" w:hAnsi="Calibri"/>
          </w:rPr>
          <w:t>2.4</w:t>
        </w:r>
        <w:r>
          <w:rPr>
            <w:rStyle w:val="IndexLink"/>
            <w:rFonts w:eastAsia="" w:eastAsiaTheme="minorEastAsia"/>
            <w:lang w:eastAsia="en-ZA"/>
          </w:rPr>
          <w:tab/>
        </w:r>
        <w:r>
          <w:rPr>
            <w:rStyle w:val="IndexLink"/>
            <w:rFonts w:ascii="Calibri" w:hAnsi="Calibri"/>
          </w:rPr>
          <w:t>SAMPLING, PREPARATION AND ANALYTICAL TECHNIQUES FOR PETROGRAPHIC ANALYSIS</w:t>
        </w:r>
        <w:r>
          <w:rPr>
            <w:rStyle w:val="IndexLink"/>
            <w:vanish w:val="false"/>
          </w:rPr>
          <w:tab/>
          <w:t>2</w:t>
        </w:r>
      </w:hyperlink>
      <w:r>
        <w:rPr/>
        <w:t>4</w:t>
      </w:r>
    </w:p>
    <w:p>
      <w:pPr>
        <w:pStyle w:val="Contents3"/>
        <w:tabs>
          <w:tab w:val="left" w:pos="1320" w:leader="none"/>
          <w:tab w:val="right" w:pos="9016" w:leader="dot"/>
        </w:tabs>
        <w:rPr>
          <w:rFonts w:eastAsia="" w:eastAsiaTheme="minorEastAsia"/>
          <w:lang w:eastAsia="en-ZA"/>
        </w:rPr>
      </w:pPr>
      <w:hyperlink w:anchor="_Toc485644676">
        <w:r>
          <w:rPr>
            <w:webHidden/>
            <w:rStyle w:val="IndexLink"/>
            <w:rFonts w:ascii="Calibri" w:hAnsi="Calibri"/>
          </w:rPr>
          <w:t>2.4.1</w:t>
        </w:r>
        <w:r>
          <w:rPr>
            <w:rStyle w:val="IndexLink"/>
            <w:rFonts w:eastAsia="" w:eastAsiaTheme="minorEastAsia"/>
            <w:lang w:eastAsia="en-ZA"/>
          </w:rPr>
          <w:tab/>
        </w:r>
        <w:r>
          <w:rPr>
            <w:rStyle w:val="IndexLink"/>
            <w:rFonts w:ascii="Calibri" w:hAnsi="Calibri"/>
          </w:rPr>
          <w:t>Sampling</w:t>
        </w:r>
        <w:r>
          <w:rPr>
            <w:webHidden/>
          </w:rPr>
          <w:fldChar w:fldCharType="begin"/>
        </w:r>
        <w:r>
          <w:rPr>
            <w:webHidden/>
          </w:rPr>
          <w:instrText>PAGEREF _Toc485644676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77">
        <w:r>
          <w:rPr>
            <w:webHidden/>
            <w:rStyle w:val="IndexLink"/>
            <w:rFonts w:ascii="Calibri" w:hAnsi="Calibri"/>
          </w:rPr>
          <w:t>2.4.2</w:t>
        </w:r>
        <w:r>
          <w:rPr>
            <w:rStyle w:val="IndexLink"/>
            <w:rFonts w:eastAsia="" w:eastAsiaTheme="minorEastAsia"/>
            <w:lang w:eastAsia="en-ZA"/>
          </w:rPr>
          <w:tab/>
        </w:r>
        <w:r>
          <w:rPr>
            <w:rStyle w:val="IndexLink"/>
            <w:rFonts w:ascii="Calibri" w:hAnsi="Calibri"/>
          </w:rPr>
          <w:t>Preparation</w:t>
        </w:r>
        <w:r>
          <w:rPr>
            <w:webHidden/>
          </w:rPr>
          <w:fldChar w:fldCharType="begin"/>
        </w:r>
        <w:r>
          <w:rPr>
            <w:webHidden/>
          </w:rPr>
          <w:instrText>PAGEREF _Toc485644677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9016" w:leader="dot"/>
        </w:tabs>
        <w:rPr>
          <w:rFonts w:eastAsia="" w:eastAsiaTheme="minorEastAsia"/>
          <w:lang w:eastAsia="en-ZA"/>
        </w:rPr>
      </w:pPr>
      <w:hyperlink w:anchor="_Toc485644678">
        <w:r>
          <w:rPr>
            <w:webHidden/>
            <w:rStyle w:val="IndexLink"/>
            <w:rFonts w:ascii="Calibri" w:hAnsi="Calibri"/>
          </w:rPr>
          <w:t>2.4.3</w:t>
        </w:r>
        <w:r>
          <w:rPr>
            <w:rStyle w:val="IndexLink"/>
            <w:rFonts w:eastAsia="" w:eastAsiaTheme="minorEastAsia"/>
            <w:lang w:eastAsia="en-ZA"/>
          </w:rPr>
          <w:tab/>
        </w:r>
        <w:r>
          <w:rPr>
            <w:rStyle w:val="IndexLink"/>
            <w:rFonts w:ascii="Calibri" w:hAnsi="Calibri"/>
          </w:rPr>
          <w:t>Analytical Techniques</w:t>
        </w:r>
        <w:r>
          <w:rPr>
            <w:webHidden/>
          </w:rPr>
          <w:fldChar w:fldCharType="begin"/>
        </w:r>
        <w:r>
          <w:rPr>
            <w:webHidden/>
          </w:rPr>
          <w:instrText>PAGEREF _Toc485644678 \h</w:instrText>
        </w:r>
        <w:r>
          <w:rPr>
            <w:webHidden/>
          </w:rPr>
          <w:fldChar w:fldCharType="separate"/>
        </w:r>
        <w:r>
          <w:rPr>
            <w:rStyle w:val="IndexLink"/>
            <w:vanish w:val="false"/>
          </w:rPr>
          <w:tab/>
          <w:t>26</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79">
        <w:r>
          <w:rPr>
            <w:webHidden/>
            <w:rStyle w:val="IndexLink"/>
            <w:rFonts w:ascii="Calibri" w:hAnsi="Calibri"/>
          </w:rPr>
          <w:t>2.4.3.1</w:t>
        </w:r>
        <w:r>
          <w:rPr>
            <w:rStyle w:val="IndexLink"/>
            <w:rFonts w:eastAsia="" w:eastAsiaTheme="minorEastAsia"/>
            <w:lang w:eastAsia="en-ZA"/>
          </w:rPr>
          <w:tab/>
        </w:r>
        <w:r>
          <w:rPr>
            <w:rStyle w:val="IndexLink"/>
            <w:rFonts w:ascii="Calibri" w:hAnsi="Calibri"/>
          </w:rPr>
          <w:t>Maceral Analyses</w:t>
        </w:r>
        <w:r>
          <w:rPr>
            <w:webHidden/>
          </w:rPr>
          <w:fldChar w:fldCharType="begin"/>
        </w:r>
        <w:r>
          <w:rPr>
            <w:webHidden/>
          </w:rPr>
          <w:instrText>PAGEREF _Toc485644679 \h</w:instrText>
        </w:r>
        <w:r>
          <w:rPr>
            <w:webHidden/>
          </w:rPr>
          <w:fldChar w:fldCharType="separate"/>
        </w:r>
        <w:r>
          <w:rPr>
            <w:rStyle w:val="IndexLink"/>
            <w:vanish w:val="false"/>
          </w:rPr>
          <w:tab/>
          <w:t>26</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80">
        <w:r>
          <w:rPr>
            <w:webHidden/>
            <w:rStyle w:val="IndexLink"/>
            <w:rFonts w:ascii="Calibri" w:hAnsi="Calibri"/>
          </w:rPr>
          <w:t>2.4.3.2</w:t>
        </w:r>
        <w:r>
          <w:rPr>
            <w:rStyle w:val="IndexLink"/>
            <w:rFonts w:eastAsia="" w:eastAsiaTheme="minorEastAsia"/>
            <w:lang w:eastAsia="en-ZA"/>
          </w:rPr>
          <w:tab/>
        </w:r>
        <w:r>
          <w:rPr>
            <w:rStyle w:val="IndexLink"/>
            <w:rFonts w:ascii="Calibri" w:hAnsi="Calibri"/>
          </w:rPr>
          <w:t>Microlithotype Analyses</w:t>
        </w:r>
        <w:r>
          <w:rPr>
            <w:webHidden/>
          </w:rPr>
          <w:fldChar w:fldCharType="begin"/>
        </w:r>
        <w:r>
          <w:rPr>
            <w:webHidden/>
          </w:rPr>
          <w:instrText>PAGEREF _Toc485644680 \h</w:instrText>
        </w:r>
        <w:r>
          <w:rPr>
            <w:webHidden/>
          </w:rPr>
          <w:fldChar w:fldCharType="separate"/>
        </w:r>
        <w:r>
          <w:rPr>
            <w:rStyle w:val="IndexLink"/>
            <w:vanish w:val="false"/>
          </w:rPr>
          <w:tab/>
          <w:t>27</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81">
        <w:r>
          <w:rPr>
            <w:webHidden/>
            <w:rStyle w:val="IndexLink"/>
            <w:rFonts w:ascii="Calibri" w:hAnsi="Calibri"/>
          </w:rPr>
          <w:t>2.4.3.3</w:t>
        </w:r>
        <w:r>
          <w:rPr>
            <w:rStyle w:val="IndexLink"/>
            <w:rFonts w:eastAsia="" w:eastAsiaTheme="minorEastAsia"/>
            <w:lang w:eastAsia="en-ZA"/>
          </w:rPr>
          <w:tab/>
        </w:r>
        <w:r>
          <w:rPr>
            <w:rStyle w:val="IndexLink"/>
            <w:rFonts w:ascii="Calibri" w:hAnsi="Calibri"/>
          </w:rPr>
          <w:t>Reflectance Measurements</w:t>
        </w:r>
        <w:r>
          <w:rPr>
            <w:webHidden/>
          </w:rPr>
          <w:fldChar w:fldCharType="begin"/>
        </w:r>
        <w:r>
          <w:rPr>
            <w:webHidden/>
          </w:rPr>
          <w:instrText>PAGEREF _Toc485644681 \h</w:instrText>
        </w:r>
        <w:r>
          <w:rPr>
            <w:webHidden/>
          </w:rPr>
          <w:fldChar w:fldCharType="separate"/>
        </w:r>
        <w:r>
          <w:rPr>
            <w:rStyle w:val="IndexLink"/>
            <w:vanish w:val="false"/>
          </w:rPr>
          <w:tab/>
          <w:t>28</w:t>
        </w:r>
        <w:r>
          <w:rPr>
            <w:webHidden/>
          </w:rPr>
          <w:fldChar w:fldCharType="end"/>
        </w:r>
      </w:hyperlink>
    </w:p>
    <w:p>
      <w:pPr>
        <w:pStyle w:val="Contents4"/>
        <w:tabs>
          <w:tab w:val="left" w:pos="1540" w:leader="none"/>
          <w:tab w:val="right" w:pos="9016" w:leader="dot"/>
        </w:tabs>
        <w:rPr>
          <w:rFonts w:eastAsia="" w:eastAsiaTheme="minorEastAsia"/>
          <w:lang w:eastAsia="en-ZA"/>
        </w:rPr>
      </w:pPr>
      <w:hyperlink w:anchor="_Toc485644682">
        <w:r>
          <w:rPr>
            <w:webHidden/>
            <w:rStyle w:val="IndexLink"/>
            <w:rFonts w:ascii="Calibri" w:hAnsi="Calibri"/>
          </w:rPr>
          <w:t>2.4.3.4</w:t>
        </w:r>
        <w:r>
          <w:rPr>
            <w:rStyle w:val="IndexLink"/>
            <w:rFonts w:eastAsia="" w:eastAsiaTheme="minorEastAsia"/>
            <w:lang w:eastAsia="en-ZA"/>
          </w:rPr>
          <w:tab/>
        </w:r>
        <w:r>
          <w:rPr>
            <w:rStyle w:val="IndexLink"/>
            <w:rFonts w:ascii="Calibri" w:hAnsi="Calibri"/>
          </w:rPr>
          <w:t>Non standardised petrographic techniques</w:t>
        </w:r>
        <w:r>
          <w:rPr>
            <w:webHidden/>
          </w:rPr>
          <w:fldChar w:fldCharType="begin"/>
        </w:r>
        <w:r>
          <w:rPr>
            <w:webHidden/>
          </w:rPr>
          <w:instrText>PAGEREF _Toc485644682 \h</w:instrText>
        </w:r>
        <w:r>
          <w:rPr>
            <w:webHidden/>
          </w:rPr>
          <w:fldChar w:fldCharType="separate"/>
        </w:r>
        <w:r>
          <w:rPr>
            <w:rStyle w:val="IndexLink"/>
            <w:vanish w:val="false"/>
          </w:rPr>
          <w:tab/>
          <w:t>31</w:t>
        </w:r>
        <w:r>
          <w:rPr>
            <w:webHidden/>
          </w:rPr>
          <w:fldChar w:fldCharType="end"/>
        </w:r>
      </w:hyperlink>
    </w:p>
    <w:p>
      <w:pPr>
        <w:pStyle w:val="Normal"/>
        <w:rPr/>
      </w:pPr>
      <w:r>
        <w:rPr/>
      </w:r>
      <w:r>
        <w:fldChar w:fldCharType="end"/>
      </w:r>
    </w:p>
    <w:p>
      <w:pPr>
        <w:pStyle w:val="Normal"/>
        <w:rPr>
          <w:rFonts w:ascii="Calibri" w:hAnsi="Calibri"/>
        </w:rPr>
      </w:pPr>
      <w:r>
        <w:rPr>
          <w:rFonts w:ascii="Calibri" w:hAnsi="Calibri"/>
        </w:rPr>
      </w:r>
    </w:p>
    <w:p>
      <w:pPr>
        <w:pStyle w:val="Heading2"/>
        <w:numPr>
          <w:ilvl w:val="1"/>
          <w:numId w:val="11"/>
        </w:numPr>
        <w:rPr>
          <w:rFonts w:ascii="Calibri" w:hAnsi="Calibri"/>
        </w:rPr>
      </w:pPr>
      <w:bookmarkStart w:id="1" w:name="_Toc485644653"/>
      <w:bookmarkEnd w:id="1"/>
      <w:r>
        <w:rPr>
          <w:rFonts w:ascii="Calibri" w:hAnsi="Calibri"/>
        </w:rPr>
        <w:t>INTRODUCTION TO ORGANIC PETROLOGY</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constituents found in coal, carbon, and other rocks. It is also applied to study or assess origin and formation of coal, the thermal/burial histories of sedimentary basins and petroleum exploration, and the technical performance of coal in beneficiation, combustion, coke making for metallurgical processes, pyrolysis and char conversion, coal ash utilization, and related purposes. </w:t>
      </w:r>
    </w:p>
    <w:p>
      <w:pPr>
        <w:pStyle w:val="Normal"/>
        <w:jc w:val="both"/>
        <w:rPr>
          <w:rFonts w:ascii="Calibri" w:hAnsi="Calibri" w:cs="Arial"/>
        </w:rPr>
      </w:pPr>
      <w:r>
        <w:rPr>
          <w:rFonts w:cs="Arial" w:ascii="Calibri" w:hAnsi="Calibri"/>
        </w:rPr>
      </w:r>
    </w:p>
    <w:p>
      <w:pPr>
        <w:pStyle w:val="Normal"/>
        <w:jc w:val="both"/>
        <w:rPr/>
      </w:pPr>
      <w:r>
        <w:rPr>
          <w:rFonts w:cs="Arial" w:ascii="Calibri" w:hAnsi="Calibri"/>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sdt>
        <w:sdtPr>
          <w:citation/>
        </w:sdtPr>
        <w:sdtContent>
          <w:r>
            <w:rPr>
              <w:rFonts w:cs="Arial" w:ascii="Calibri" w:hAnsi="Calibri"/>
            </w:rPr>
            <w:fldChar w:fldCharType="begin"/>
          </w:r>
          <w:r>
            <w:instrText> CITATION ICCP \l 1033 </w:instrText>
          </w:r>
          <w:r>
            <w:fldChar w:fldCharType="separate"/>
          </w:r>
          <w:r>
            <w:t>(ICCP, 2015)</w:t>
          </w:r>
          <w:r>
            <w:fldChar w:fldCharType="end"/>
          </w:r>
        </w:sdtContent>
      </w:sdt>
      <w:r>
        <w:rPr>
          <w:rFonts w:cs="Arial" w:ascii="Calibri" w:hAnsi="Calibri"/>
        </w:rPr>
        <w:t>. In addition, visual observation and quantification enables the assessment of the inter</w:t>
      </w:r>
      <w:r>
        <w:rPr>
          <w:rFonts w:cs="Arial" w:ascii="Calibri" w:hAnsi="Calibri"/>
        </w:rPr>
        <w:t>-relationship between coal macerals and the inorganic matter, via the assessment of the microlithotypes. Furthermore, the degree of weathering or abnormal features resulting in anomalous behaviour during beneficiation and or utilization can be quantified.  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Normal"/>
        <w:jc w:val="both"/>
        <w:rPr>
          <w:rFonts w:ascii="Calibri" w:hAnsi="Calibri" w:cs="Arial"/>
          <w:b/>
          <w:b/>
        </w:rPr>
      </w:pPr>
      <w:r>
        <w:rPr>
          <w:rFonts w:cs="Arial" w:ascii="Calibri" w:hAnsi="Calibri"/>
          <w:b/>
        </w:rPr>
      </w:r>
    </w:p>
    <w:p>
      <w:pPr>
        <w:pStyle w:val="Normal"/>
        <w:jc w:val="both"/>
        <w:rPr>
          <w:rFonts w:ascii="Calibri" w:hAnsi="Calibri" w:cs="Arial"/>
        </w:rPr>
      </w:pPr>
      <w:r>
        <w:rPr>
          <w:rFonts w:cs="Arial" w:ascii="Calibri" w:hAnsi="Calibri"/>
        </w:rPr>
        <w:t>Thus, coal and carbon petrographic studies enable (Francis, 1965; Schapiro and Gray, 1964; Taylor</w:t>
      </w:r>
      <w:r>
        <w:rPr>
          <w:rFonts w:cs="Arial" w:ascii="Calibri" w:hAnsi="Calibri"/>
          <w:i/>
        </w:rPr>
        <w:t xml:space="preserve"> et al., </w:t>
      </w:r>
      <w:r>
        <w:rPr>
          <w:rFonts w:cs="Arial" w:ascii="Calibri" w:hAnsi="Calibri"/>
        </w:rPr>
        <w:t xml:space="preserve">1967; Brown </w:t>
      </w:r>
      <w:r>
        <w:rPr>
          <w:rFonts w:cs="Arial" w:ascii="Calibri" w:hAnsi="Calibri"/>
          <w:i/>
        </w:rPr>
        <w:t>et al.</w:t>
      </w:r>
      <w:r>
        <w:rPr>
          <w:rFonts w:cs="Arial" w:ascii="Calibri" w:hAnsi="Calibri"/>
        </w:rPr>
        <w:t>, 1971; Smith, 1972</w:t>
      </w:r>
      <w:r>
        <w:rPr>
          <w:rFonts w:cs="Arial" w:ascii="Calibri" w:hAnsi="Calibri"/>
          <w:vertAlign w:val="superscript"/>
        </w:rPr>
        <w:t>a</w:t>
      </w:r>
      <w:r>
        <w:rPr>
          <w:rFonts w:cs="Arial" w:ascii="Calibri" w:hAnsi="Calibri"/>
        </w:rPr>
        <w:t>, 1972</w:t>
      </w:r>
      <w:r>
        <w:rPr>
          <w:rFonts w:cs="Arial" w:ascii="Calibri" w:hAnsi="Calibri"/>
          <w:vertAlign w:val="superscript"/>
        </w:rPr>
        <w:t>b</w:t>
      </w:r>
      <w:r>
        <w:rPr>
          <w:rFonts w:cs="Arial" w:ascii="Calibri" w:hAnsi="Calibri"/>
        </w:rPr>
        <w:t xml:space="preserve">; Steyn and Smith, 1977; Zimmerman, 1979; Berry, 1981; Stach </w:t>
      </w:r>
      <w:r>
        <w:rPr>
          <w:rFonts w:cs="Arial" w:ascii="Calibri" w:hAnsi="Calibri"/>
          <w:i/>
        </w:rPr>
        <w:t>et al.,</w:t>
      </w:r>
      <w:r>
        <w:rPr>
          <w:rFonts w:cs="Arial" w:ascii="Calibri" w:hAnsi="Calibri"/>
        </w:rPr>
        <w:t xml:space="preserve"> 1982; Bustin </w:t>
      </w:r>
      <w:r>
        <w:rPr>
          <w:rFonts w:cs="Arial" w:ascii="Calibri" w:hAnsi="Calibri"/>
          <w:i/>
        </w:rPr>
        <w:t>et al</w:t>
      </w:r>
      <w:r>
        <w:rPr>
          <w:rFonts w:cs="Arial" w:ascii="Calibri" w:hAnsi="Calibri"/>
        </w:rPr>
        <w:t xml:space="preserve">., 1983; Falcon and Snyman, 1986; Scott, 1989; Bailey </w:t>
      </w:r>
      <w:r>
        <w:rPr>
          <w:rFonts w:cs="Arial" w:ascii="Calibri" w:hAnsi="Calibri"/>
          <w:i/>
        </w:rPr>
        <w:t>et al</w:t>
      </w:r>
      <w:r>
        <w:rPr>
          <w:rFonts w:cs="Arial" w:ascii="Calibri" w:hAnsi="Calibri"/>
        </w:rPr>
        <w:t xml:space="preserve">., 1990; </w:t>
      </w:r>
      <w:r>
        <w:rPr>
          <w:rFonts w:cs="Arial"/>
          <w:sz w:val="20"/>
          <w:szCs w:val="20"/>
        </w:rPr>
        <w:t xml:space="preserve">Gray, 1991; </w:t>
      </w:r>
      <w:r>
        <w:rPr>
          <w:rFonts w:cs="Arial" w:ascii="Calibri" w:hAnsi="Calibri"/>
        </w:rPr>
        <w:t xml:space="preserve">ICCP, 1993; Hower </w:t>
      </w:r>
      <w:r>
        <w:rPr>
          <w:rFonts w:cs="Arial" w:ascii="Calibri" w:hAnsi="Calibri"/>
          <w:i/>
        </w:rPr>
        <w:t>et al</w:t>
      </w:r>
      <w:r>
        <w:rPr>
          <w:rFonts w:cs="Arial" w:ascii="Calibri" w:hAnsi="Calibri"/>
        </w:rPr>
        <w:t xml:space="preserve">., 1998; Taylor </w:t>
      </w:r>
      <w:r>
        <w:rPr>
          <w:rFonts w:cs="Arial" w:ascii="Calibri" w:hAnsi="Calibri"/>
          <w:i/>
        </w:rPr>
        <w:t>et al.</w:t>
      </w:r>
      <w:r>
        <w:rPr>
          <w:rFonts w:cs="Arial" w:ascii="Calibri" w:hAnsi="Calibri"/>
        </w:rPr>
        <w:t>, 1998; Wagner, 2007; Su</w:t>
      </w:r>
      <w:r>
        <w:rPr>
          <w:rFonts w:cs="Arial"/>
        </w:rPr>
        <w:t>á</w:t>
      </w:r>
      <w:r>
        <w:rPr>
          <w:rFonts w:cs="Arial" w:ascii="Calibri" w:hAnsi="Calibri"/>
        </w:rPr>
        <w:t xml:space="preserve">rez-Ruiz and Crelling, 2008; Suárez-Ruiz </w:t>
      </w:r>
      <w:r>
        <w:rPr>
          <w:rFonts w:cs="Arial" w:ascii="Calibri" w:hAnsi="Calibri"/>
          <w:i/>
        </w:rPr>
        <w:t>et al.</w:t>
      </w:r>
      <w:r>
        <w:rPr>
          <w:rFonts w:cs="Arial" w:ascii="Calibri" w:hAnsi="Calibri"/>
        </w:rPr>
        <w:t xml:space="preserve">, 2012; O’Keefe </w:t>
      </w:r>
      <w:r>
        <w:rPr>
          <w:rFonts w:cs="Arial" w:ascii="Calibri" w:hAnsi="Calibri"/>
          <w:i/>
        </w:rPr>
        <w:t>et al.</w:t>
      </w:r>
      <w:r>
        <w:rPr>
          <w:rFonts w:cs="Arial" w:ascii="Calibri" w:hAnsi="Calibri"/>
        </w:rPr>
        <w:t xml:space="preserve">, 2013; ICCP, 2015; </w:t>
      </w:r>
      <w:r>
        <w:rPr>
          <w:rFonts w:eastAsia="Times New Roman" w:cs="Arial" w:ascii="Calibri" w:hAnsi="Calibri"/>
          <w:lang w:eastAsia="en-ZA"/>
        </w:rPr>
        <w:t>Hackley and Cardott, 2016</w:t>
      </w:r>
      <w:r>
        <w:rPr>
          <w:rFonts w:cs="Arial" w:ascii="Calibri" w:hAnsi="Calibri"/>
        </w:rPr>
        <w:t>):</w:t>
      </w:r>
    </w:p>
    <w:p>
      <w:pPr>
        <w:pStyle w:val="Normal"/>
        <w:jc w:val="both"/>
        <w:rPr>
          <w:rFonts w:ascii="Calibri" w:hAnsi="Calibri" w:cs="Arial"/>
        </w:rPr>
      </w:pPr>
      <w:r>
        <w:rPr>
          <w:rFonts w:cs="Arial" w:ascii="Calibri" w:hAnsi="Calibri"/>
        </w:rPr>
      </w:r>
    </w:p>
    <w:p>
      <w:pPr>
        <w:pStyle w:val="ListParagraph"/>
        <w:numPr>
          <w:ilvl w:val="0"/>
          <w:numId w:val="1"/>
        </w:numPr>
        <w:ind w:left="0" w:hanging="0"/>
        <w:jc w:val="both"/>
        <w:rPr>
          <w:rFonts w:ascii="Calibri" w:hAnsi="Calibri" w:cs="Arial"/>
        </w:rPr>
      </w:pPr>
      <w:r>
        <w:rPr>
          <w:rFonts w:cs="Arial" w:ascii="Calibri" w:hAnsi="Calibri"/>
        </w:rPr>
        <w:t xml:space="preserve">the assessment of the physical, chemical (by inference), and (predicted) technological properties of coal constituents which, combined, contribute to the properties of the seam as a whole; </w:t>
      </w:r>
    </w:p>
    <w:p>
      <w:pPr>
        <w:pStyle w:val="ListParagraph"/>
        <w:numPr>
          <w:ilvl w:val="0"/>
          <w:numId w:val="1"/>
        </w:numPr>
        <w:ind w:left="0" w:hanging="0"/>
        <w:jc w:val="both"/>
        <w:rPr>
          <w:rFonts w:ascii="Calibri" w:hAnsi="Calibri" w:cs="Arial"/>
        </w:rPr>
      </w:pPr>
      <w:r>
        <w:rPr>
          <w:rFonts w:cs="Arial" w:ascii="Calibri" w:hAnsi="Calibri"/>
        </w:rPr>
        <w:t xml:space="preserve"> </w:t>
      </w:r>
      <w:r>
        <w:rPr>
          <w:rFonts w:cs="Arial" w:ascii="Calibri" w:hAnsi="Calibri"/>
        </w:rPr>
        <w:t xml:space="preserve">diagenetic interpretations which may be derived from coal constituents (their types, forms, and associations) regarding the original conditions of coal formation and the subsequent history of the seams and basin; </w:t>
      </w:r>
    </w:p>
    <w:p>
      <w:pPr>
        <w:pStyle w:val="ListParagraph"/>
        <w:numPr>
          <w:ilvl w:val="0"/>
          <w:numId w:val="1"/>
        </w:numPr>
        <w:ind w:left="0" w:hanging="0"/>
        <w:jc w:val="both"/>
        <w:rPr>
          <w:rFonts w:ascii="Calibri" w:hAnsi="Calibri" w:cs="Arial"/>
        </w:rPr>
      </w:pPr>
      <w:r>
        <w:rPr>
          <w:rFonts w:cs="Arial" w:ascii="Calibri" w:hAnsi="Calibri"/>
        </w:rPr>
        <w:t xml:space="preserve">the evaluation and assessment of coal as an integral part of analyses during the exploration, mining, beneficiation, marketing, and utilisation phases in the coal industry; </w:t>
      </w:r>
    </w:p>
    <w:p>
      <w:pPr>
        <w:pStyle w:val="ListParagraph"/>
        <w:numPr>
          <w:ilvl w:val="0"/>
          <w:numId w:val="1"/>
        </w:numPr>
        <w:ind w:left="0" w:hanging="0"/>
        <w:jc w:val="both"/>
        <w:rPr>
          <w:rFonts w:ascii="Calibri" w:hAnsi="Calibri" w:cs="Arial"/>
        </w:rPr>
      </w:pPr>
      <w:r>
        <w:rPr>
          <w:rFonts w:cs="Arial" w:ascii="Calibri" w:hAnsi="Calibri"/>
        </w:rPr>
        <w:t xml:space="preserve">the consideration of weathering, oxidation, and other anomalous effects either in- or –ex situ; </w:t>
      </w:r>
    </w:p>
    <w:p>
      <w:pPr>
        <w:pStyle w:val="ListParagraph"/>
        <w:numPr>
          <w:ilvl w:val="0"/>
          <w:numId w:val="1"/>
        </w:numPr>
        <w:ind w:left="0" w:hanging="0"/>
        <w:jc w:val="both"/>
        <w:rPr>
          <w:rFonts w:ascii="Calibri" w:hAnsi="Calibri" w:cs="Arial"/>
        </w:rPr>
      </w:pPr>
      <w:r>
        <w:rPr>
          <w:rFonts w:cs="Arial" w:ascii="Calibri" w:hAnsi="Calibri"/>
        </w:rPr>
        <w:t>the assessment of combustion, gasification, coking, and residue products to gain in depth understanding of conversion processes; and</w:t>
      </w:r>
    </w:p>
    <w:p>
      <w:pPr>
        <w:pStyle w:val="ListParagraph"/>
        <w:numPr>
          <w:ilvl w:val="0"/>
          <w:numId w:val="1"/>
        </w:numPr>
        <w:ind w:left="0" w:hanging="0"/>
        <w:jc w:val="both"/>
        <w:rPr>
          <w:rFonts w:ascii="Calibri" w:hAnsi="Calibri" w:cs="Arial"/>
        </w:rPr>
      </w:pPr>
      <w:r>
        <w:rPr>
          <w:rFonts w:cs="Arial" w:ascii="Calibri" w:hAnsi="Calibri"/>
        </w:rPr>
        <w:t>the thermal maturity assessment of sedimentary basins targeted for shale gas exploration via vitrinite reflectance analysis, in conjunction with other petrological techniques.</w:t>
      </w:r>
    </w:p>
    <w:p>
      <w:pPr>
        <w:pStyle w:val="ListParagraph"/>
        <w:ind w:left="218" w:hanging="0"/>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text 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Normal"/>
        <w:ind w:left="-142" w:hanging="0"/>
        <w:rPr>
          <w:rFonts w:ascii="Calibri" w:hAnsi="Calibri"/>
        </w:rPr>
      </w:pPr>
      <w:r>
        <w:rPr>
          <w:rFonts w:ascii="Calibri" w:hAnsi="Calibri"/>
        </w:rPr>
      </w:r>
    </w:p>
    <w:p>
      <w:pPr>
        <w:pStyle w:val="Normal"/>
        <w:ind w:left="-142" w:hanging="0"/>
        <w:rPr>
          <w:rFonts w:ascii="Calibri" w:hAnsi="Calibri"/>
        </w:rPr>
      </w:pPr>
      <w:r>
        <w:rPr>
          <w:rFonts w:ascii="Calibri" w:hAnsi="Calibri"/>
        </w:rPr>
      </w:r>
    </w:p>
    <w:p>
      <w:pPr>
        <w:pStyle w:val="Heading2"/>
        <w:numPr>
          <w:ilvl w:val="1"/>
          <w:numId w:val="11"/>
        </w:numPr>
        <w:rPr>
          <w:rFonts w:ascii="Calibri" w:hAnsi="Calibri"/>
        </w:rPr>
      </w:pPr>
      <w:bookmarkStart w:id="2" w:name="_Toc485644654"/>
      <w:bookmarkEnd w:id="2"/>
      <w:r>
        <w:rPr>
          <w:rFonts w:ascii="Calibri" w:hAnsi="Calibri"/>
        </w:rPr>
        <w:t>HISTORICAL DEVELOPMENT OF COAL PETROGRAPHY</w:t>
      </w:r>
    </w:p>
    <w:p>
      <w:pPr>
        <w:pStyle w:val="Normal"/>
        <w:rPr>
          <w:rFonts w:ascii="Calibri" w:hAnsi="Calibri" w:cs="Arial"/>
          <w:b/>
          <w:b/>
        </w:rPr>
      </w:pPr>
      <w:r>
        <w:rPr>
          <w:rFonts w:cs="Arial" w:ascii="Calibri" w:hAnsi="Calibri"/>
          <w:b/>
        </w:rPr>
      </w:r>
    </w:p>
    <w:p>
      <w:pPr>
        <w:pStyle w:val="Heading3"/>
        <w:numPr>
          <w:ilvl w:val="2"/>
          <w:numId w:val="11"/>
        </w:numPr>
        <w:rPr>
          <w:rFonts w:ascii="Calibri" w:hAnsi="Calibri"/>
        </w:rPr>
      </w:pPr>
      <w:bookmarkStart w:id="3" w:name="_Toc485644655"/>
      <w:bookmarkEnd w:id="3"/>
      <w:r>
        <w:rPr>
          <w:rFonts w:ascii="Calibri" w:hAnsi="Calibri"/>
        </w:rPr>
        <w:t>Development of Techniques in Coal Petrology</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first and most significant introduction to coal petrology was published in 1913 by Thiessen and White who, in discussing the origin of coal, stressed the importance of microscopic coal petrology (Ward and Suarez-Ruiz, 2008). Transmitted light</w:t>
      </w:r>
      <w:r>
        <w:rPr>
          <w:rFonts w:cs="Arial" w:ascii="Calibri" w:hAnsi="Calibri"/>
          <w:i/>
        </w:rPr>
        <w:t xml:space="preserve"> </w:t>
      </w:r>
      <w:r>
        <w:rPr>
          <w:rFonts w:cs="Arial" w:ascii="Calibri" w:hAnsi="Calibri"/>
        </w:rPr>
        <w:t>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From 1940 onwards, quantitative investigations 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 and others developed the identification of rank even further by measuring fluorescence intensity using ultraviolet light reflections from the surfaces of liptinite particles (Taylor </w:t>
      </w:r>
      <w:r>
        <w:rPr>
          <w:rFonts w:cs="Arial" w:ascii="Calibri" w:hAnsi="Calibri"/>
          <w:i/>
        </w:rPr>
        <w:t>et al.</w:t>
      </w:r>
      <w:r>
        <w:rPr>
          <w:rFonts w:cs="Arial" w:ascii="Calibri" w:hAnsi="Calibri"/>
        </w:rPr>
        <w:t xml:space="preserve">, 1998). These methods have been correlated with the production of hydrocarbons from source rocks, and are extensively used in the exploration for oil and gas in many parts of the world (Taylor </w:t>
      </w:r>
      <w:r>
        <w:rPr>
          <w:rFonts w:cs="Arial" w:ascii="Calibri" w:hAnsi="Calibri"/>
          <w:i/>
        </w:rPr>
        <w:t>et al.,</w:t>
      </w:r>
      <w:r>
        <w:rPr>
          <w:rFonts w:cs="Arial" w:ascii="Calibri" w:hAnsi="Calibri"/>
        </w:rPr>
        <w:t xml:space="preserve"> 1998; </w:t>
      </w:r>
      <w:r>
        <w:rPr>
          <w:rFonts w:eastAsia="Times New Roman" w:cs="Arial"/>
          <w:sz w:val="20"/>
          <w:szCs w:val="20"/>
          <w:lang w:eastAsia="en-ZA"/>
        </w:rPr>
        <w:t>Hackley and Cardott, 2016</w:t>
      </w:r>
      <w:r>
        <w:rPr>
          <w:rFonts w:cs="Arial" w:ascii="Calibri" w:hAnsi="Calibri"/>
        </w:rPr>
        <w:t xml:space="preserve">).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Hence, it was in these circumstances that coal petrography provided a general understanding of the problems involved, and the differences in coal types in particular, in regions where little or no understanding of these facts existed before (Plumstead, 1957, 1966; Kemezys and Taylor, 1964; Cook, 1975; Mackowsky, 1968, 1975; Chandra and Taylor, 1982,; Falcon and Snyman, 1986; Falcon, 1989; Taylor </w:t>
      </w:r>
      <w:r>
        <w:rPr>
          <w:rFonts w:cs="Arial" w:ascii="Calibri" w:hAnsi="Calibri"/>
          <w:i/>
        </w:rPr>
        <w:t>et al</w:t>
      </w:r>
      <w:r>
        <w:rPr>
          <w:rFonts w:cs="Arial" w:ascii="Calibri" w:hAnsi="Calibri"/>
        </w:rPr>
        <w:t xml:space="preserve">, 1998; Cairncross, 2001; Glasspool, 2003; Hower </w:t>
      </w:r>
      <w:r>
        <w:rPr>
          <w:rFonts w:cs="Arial" w:ascii="Calibri" w:hAnsi="Calibri"/>
          <w:i/>
        </w:rPr>
        <w:t>et al</w:t>
      </w:r>
      <w:r>
        <w:rPr>
          <w:rFonts w:cs="Arial" w:ascii="Calibri" w:hAnsi="Calibri"/>
        </w:rPr>
        <w:t>., 2012), to name a few.</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Table 2.1 provides a typical example where the chemical specifications between two coals from different hemispheres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In 1975 “Stach’s Textbook of Coal Petrology” was produced, detailing all the approaches and techniques used in coal petrology at that time. This book was updated in 1982 dealing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r>
        <w:rPr>
          <w:rFonts w:cs="Arial" w:ascii="Calibri" w:hAnsi="Calibri"/>
          <w:i/>
        </w:rPr>
        <w:t>et al.</w:t>
      </w:r>
      <w:r>
        <w:rPr>
          <w:rFonts w:cs="Arial" w:ascii="Calibri" w:hAnsi="Calibri"/>
        </w:rPr>
        <w:t xml:space="preserve"> (1998)  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Normal"/>
        <w:jc w:val="both"/>
        <w:rPr>
          <w:rFonts w:ascii="Calibri" w:hAnsi="Calibri" w:cs="Arial"/>
        </w:rPr>
      </w:pPr>
      <w:r>
        <w:rPr>
          <w:rFonts w:cs="Arial" w:ascii="Calibri" w:hAnsi="Calibri"/>
        </w:rPr>
      </w:r>
    </w:p>
    <w:p>
      <w:pPr>
        <w:pStyle w:val="Normal"/>
        <w:spacing w:lineRule="auto" w:line="360"/>
        <w:jc w:val="both"/>
        <w:rPr>
          <w:rFonts w:ascii="Calibri" w:hAnsi="Calibri" w:cs="Arial"/>
          <w:b/>
          <w:b/>
          <w:sz w:val="20"/>
        </w:rPr>
      </w:pPr>
      <w:r>
        <w:rPr>
          <w:rFonts w:cs="Arial" w:ascii="Calibri" w:hAnsi="Calibri"/>
          <w:b/>
          <w:sz w:val="20"/>
        </w:rPr>
        <w:t>Table 2.1: Coal petrography can provide data not apparent from the bulk chemical analyses.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389"/>
        <w:gridCol w:w="2269"/>
        <w:gridCol w:w="2358"/>
      </w:tblGrid>
      <w:tr>
        <w:trPr/>
        <w:tc>
          <w:tcPr>
            <w:tcW w:w="4389" w:type="dxa"/>
            <w:tcBorders/>
            <w:shd w:fill="auto" w:val="clear"/>
            <w:tcMar>
              <w:left w:w="108" w:type="dxa"/>
            </w:tcMar>
          </w:tcPr>
          <w:p>
            <w:pPr>
              <w:pStyle w:val="Normal"/>
              <w:jc w:val="both"/>
              <w:rPr>
                <w:rFonts w:ascii="Calibri" w:hAnsi="Calibri" w:cs="Arial"/>
              </w:rPr>
            </w:pPr>
            <w:r>
              <w:rPr>
                <w:rFonts w:cs="Arial" w:ascii="Calibri" w:hAnsi="Calibri"/>
              </w:rPr>
            </w:r>
          </w:p>
        </w:tc>
        <w:tc>
          <w:tcPr>
            <w:tcW w:w="2269" w:type="dxa"/>
            <w:tcBorders/>
            <w:shd w:fill="auto" w:val="clear"/>
            <w:tcMar>
              <w:left w:w="108" w:type="dxa"/>
            </w:tcMar>
          </w:tcPr>
          <w:p>
            <w:pPr>
              <w:pStyle w:val="Normal"/>
              <w:jc w:val="both"/>
              <w:rPr>
                <w:rFonts w:ascii="Calibri" w:hAnsi="Calibri" w:cs="Arial"/>
              </w:rPr>
            </w:pPr>
            <w:r>
              <w:rPr>
                <w:rFonts w:cs="Arial" w:ascii="Calibri" w:hAnsi="Calibri"/>
              </w:rPr>
              <w:t>POLISH COAL</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SOUTH AFRICAN COAL</w:t>
            </w:r>
          </w:p>
        </w:tc>
      </w:tr>
      <w:tr>
        <w:trPr/>
        <w:tc>
          <w:tcPr>
            <w:tcW w:w="4389" w:type="dxa"/>
            <w:tcBorders/>
            <w:shd w:fill="auto" w:val="clear"/>
            <w:tcMar>
              <w:left w:w="108" w:type="dxa"/>
            </w:tcMar>
          </w:tcPr>
          <w:p>
            <w:pPr>
              <w:pStyle w:val="Normal"/>
              <w:jc w:val="both"/>
              <w:rPr>
                <w:rFonts w:ascii="Calibri" w:hAnsi="Calibri" w:cs="Arial"/>
                <w:b/>
                <w:b/>
              </w:rPr>
            </w:pPr>
            <w:r>
              <w:rPr>
                <w:rFonts w:cs="Arial" w:ascii="Calibri" w:hAnsi="Calibri"/>
                <w:b/>
              </w:rPr>
              <w:t>Proximate Analyses (%)</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r>
          </w:p>
        </w:tc>
        <w:tc>
          <w:tcPr>
            <w:tcW w:w="2358" w:type="dxa"/>
            <w:tcBorders/>
            <w:shd w:fill="auto" w:val="clear"/>
            <w:tcMar>
              <w:left w:w="108" w:type="dxa"/>
            </w:tcMar>
          </w:tcPr>
          <w:p>
            <w:pPr>
              <w:pStyle w:val="Normal"/>
              <w:jc w:val="both"/>
              <w:rPr>
                <w:rFonts w:ascii="Calibri" w:hAnsi="Calibri" w:cs="Arial"/>
              </w:rPr>
            </w:pPr>
            <w:r>
              <w:rPr>
                <w:rFonts w:cs="Arial" w:ascii="Calibri" w:hAnsi="Calibri"/>
              </w:rPr>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Volatile matter</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31.3</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25.1</w:t>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Ash</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14.3</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14.8</w:t>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Fixed carbon</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54.4</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60.1</w:t>
            </w:r>
          </w:p>
        </w:tc>
      </w:tr>
      <w:tr>
        <w:trPr/>
        <w:tc>
          <w:tcPr>
            <w:tcW w:w="4389" w:type="dxa"/>
            <w:tcBorders>
              <w:bottom w:val="single" w:sz="12" w:space="0" w:color="00000A"/>
              <w:insideH w:val="single" w:sz="12" w:space="0" w:color="00000A"/>
            </w:tcBorders>
            <w:shd w:fill="auto" w:val="clear"/>
            <w:tcMar>
              <w:left w:w="108" w:type="dxa"/>
            </w:tcMar>
          </w:tcPr>
          <w:p>
            <w:pPr>
              <w:pStyle w:val="Normal"/>
              <w:jc w:val="both"/>
              <w:rPr>
                <w:rFonts w:ascii="Calibri" w:hAnsi="Calibri" w:cs="Arial"/>
                <w:b/>
                <w:b/>
              </w:rPr>
            </w:pPr>
            <w:r>
              <w:rPr>
                <w:rFonts w:cs="Arial" w:ascii="Calibri" w:hAnsi="Calibri"/>
                <w:b/>
              </w:rPr>
              <w:t>Calorific value (gross) (MJ/kg)</w:t>
            </w:r>
          </w:p>
        </w:tc>
        <w:tc>
          <w:tcPr>
            <w:tcW w:w="2269" w:type="dxa"/>
            <w:tcBorders>
              <w:bottom w:val="single" w:sz="12" w:space="0" w:color="00000A"/>
              <w:insideH w:val="single" w:sz="12" w:space="0" w:color="00000A"/>
            </w:tcBorders>
            <w:shd w:fill="auto" w:val="clear"/>
            <w:tcMar>
              <w:left w:w="108" w:type="dxa"/>
            </w:tcMar>
          </w:tcPr>
          <w:p>
            <w:pPr>
              <w:pStyle w:val="Normal"/>
              <w:jc w:val="both"/>
              <w:rPr>
                <w:rFonts w:ascii="Calibri" w:hAnsi="Calibri" w:cs="Arial"/>
              </w:rPr>
            </w:pPr>
            <w:r>
              <w:rPr>
                <w:rFonts w:cs="Arial" w:ascii="Calibri" w:hAnsi="Calibri"/>
              </w:rPr>
              <w:t>28.77</w:t>
            </w:r>
          </w:p>
        </w:tc>
        <w:tc>
          <w:tcPr>
            <w:tcW w:w="2358" w:type="dxa"/>
            <w:tcBorders>
              <w:bottom w:val="single" w:sz="12" w:space="0" w:color="00000A"/>
              <w:insideH w:val="single" w:sz="12" w:space="0" w:color="00000A"/>
            </w:tcBorders>
            <w:shd w:fill="auto" w:val="clear"/>
            <w:tcMar>
              <w:left w:w="108" w:type="dxa"/>
            </w:tcMar>
          </w:tcPr>
          <w:p>
            <w:pPr>
              <w:pStyle w:val="Normal"/>
              <w:jc w:val="both"/>
              <w:rPr>
                <w:rFonts w:ascii="Calibri" w:hAnsi="Calibri" w:cs="Arial"/>
              </w:rPr>
            </w:pPr>
            <w:r>
              <w:rPr>
                <w:rFonts w:cs="Arial" w:ascii="Calibri" w:hAnsi="Calibri"/>
              </w:rPr>
              <w:t>28.02</w:t>
            </w:r>
          </w:p>
        </w:tc>
      </w:tr>
      <w:tr>
        <w:trPr/>
        <w:tc>
          <w:tcPr>
            <w:tcW w:w="4389" w:type="dxa"/>
            <w:tcBorders>
              <w:top w:val="single" w:sz="12" w:space="0" w:color="00000A"/>
              <w:bottom w:val="single" w:sz="12" w:space="0" w:color="00000A"/>
              <w:insideH w:val="single" w:sz="12" w:space="0" w:color="00000A"/>
            </w:tcBorders>
            <w:shd w:fill="auto" w:val="clear"/>
            <w:tcMar>
              <w:left w:w="108" w:type="dxa"/>
            </w:tcMar>
          </w:tcPr>
          <w:p>
            <w:pPr>
              <w:pStyle w:val="Normal"/>
              <w:jc w:val="both"/>
              <w:rPr>
                <w:rFonts w:ascii="Calibri" w:hAnsi="Calibri" w:cs="Arial"/>
                <w:b/>
                <w:b/>
              </w:rPr>
            </w:pPr>
            <w:r>
              <w:rPr>
                <w:rFonts w:cs="Arial" w:ascii="Calibri" w:hAnsi="Calibri"/>
                <w:b/>
              </w:rPr>
              <w:t>Performance in same 600MW pf boiler</w:t>
            </w:r>
          </w:p>
        </w:tc>
        <w:tc>
          <w:tcPr>
            <w:tcW w:w="2269" w:type="dxa"/>
            <w:tcBorders>
              <w:top w:val="single" w:sz="12" w:space="0" w:color="00000A"/>
              <w:bottom w:val="single" w:sz="12" w:space="0" w:color="00000A"/>
              <w:insideH w:val="single" w:sz="12" w:space="0" w:color="00000A"/>
            </w:tcBorders>
            <w:shd w:fill="auto" w:val="clear"/>
            <w:tcMar>
              <w:left w:w="108" w:type="dxa"/>
            </w:tcMar>
          </w:tcPr>
          <w:p>
            <w:pPr>
              <w:pStyle w:val="Normal"/>
              <w:jc w:val="both"/>
              <w:rPr>
                <w:rFonts w:ascii="Calibri" w:hAnsi="Calibri" w:cs="Arial"/>
              </w:rPr>
            </w:pPr>
            <w:r>
              <w:rPr>
                <w:rFonts w:cs="Arial" w:ascii="Calibri" w:hAnsi="Calibri"/>
              </w:rPr>
              <w:t>Heat in lower furnace</w:t>
            </w:r>
          </w:p>
        </w:tc>
        <w:tc>
          <w:tcPr>
            <w:tcW w:w="2358" w:type="dxa"/>
            <w:tcBorders>
              <w:top w:val="single" w:sz="12" w:space="0" w:color="00000A"/>
              <w:bottom w:val="single" w:sz="12" w:space="0" w:color="00000A"/>
              <w:insideH w:val="single" w:sz="12" w:space="0" w:color="00000A"/>
            </w:tcBorders>
            <w:shd w:fill="auto" w:val="clear"/>
            <w:tcMar>
              <w:left w:w="108" w:type="dxa"/>
            </w:tcMar>
          </w:tcPr>
          <w:p>
            <w:pPr>
              <w:pStyle w:val="Normal"/>
              <w:jc w:val="both"/>
              <w:rPr>
                <w:rFonts w:ascii="Calibri" w:hAnsi="Calibri" w:cs="Arial"/>
              </w:rPr>
            </w:pPr>
            <w:r>
              <w:rPr>
                <w:rFonts w:cs="Arial" w:ascii="Calibri" w:hAnsi="Calibri"/>
              </w:rPr>
              <w:t>Heat in upper furnace</w:t>
            </w:r>
          </w:p>
        </w:tc>
      </w:tr>
      <w:tr>
        <w:trPr/>
        <w:tc>
          <w:tcPr>
            <w:tcW w:w="4389" w:type="dxa"/>
            <w:tcBorders>
              <w:top w:val="single" w:sz="12" w:space="0" w:color="00000A"/>
            </w:tcBorders>
            <w:shd w:fill="auto" w:val="clear"/>
            <w:tcMar>
              <w:left w:w="108" w:type="dxa"/>
            </w:tcMar>
          </w:tcPr>
          <w:p>
            <w:pPr>
              <w:pStyle w:val="Normal"/>
              <w:jc w:val="both"/>
              <w:rPr>
                <w:rFonts w:ascii="Calibri" w:hAnsi="Calibri" w:cs="Arial"/>
                <w:b/>
                <w:b/>
              </w:rPr>
            </w:pPr>
            <w:r>
              <w:rPr>
                <w:rFonts w:cs="Arial" w:ascii="Calibri" w:hAnsi="Calibri"/>
                <w:b/>
              </w:rPr>
              <w:t>Petrographic analyses (vol%, mmf)</w:t>
            </w:r>
          </w:p>
        </w:tc>
        <w:tc>
          <w:tcPr>
            <w:tcW w:w="2269" w:type="dxa"/>
            <w:tcBorders>
              <w:top w:val="single" w:sz="12" w:space="0" w:color="00000A"/>
            </w:tcBorders>
            <w:shd w:fill="auto" w:val="clear"/>
            <w:tcMar>
              <w:left w:w="108" w:type="dxa"/>
            </w:tcMar>
          </w:tcPr>
          <w:p>
            <w:pPr>
              <w:pStyle w:val="Normal"/>
              <w:jc w:val="both"/>
              <w:rPr>
                <w:rFonts w:ascii="Calibri" w:hAnsi="Calibri" w:cs="Arial"/>
              </w:rPr>
            </w:pPr>
            <w:r>
              <w:rPr>
                <w:rFonts w:cs="Arial" w:ascii="Calibri" w:hAnsi="Calibri"/>
              </w:rPr>
            </w:r>
          </w:p>
        </w:tc>
        <w:tc>
          <w:tcPr>
            <w:tcW w:w="2358" w:type="dxa"/>
            <w:tcBorders>
              <w:top w:val="single" w:sz="12" w:space="0" w:color="00000A"/>
            </w:tcBorders>
            <w:shd w:fill="auto" w:val="clear"/>
            <w:tcMar>
              <w:left w:w="108" w:type="dxa"/>
            </w:tcMar>
          </w:tcPr>
          <w:p>
            <w:pPr>
              <w:pStyle w:val="Normal"/>
              <w:jc w:val="both"/>
              <w:rPr>
                <w:rFonts w:ascii="Calibri" w:hAnsi="Calibri" w:cs="Arial"/>
              </w:rPr>
            </w:pPr>
            <w:r>
              <w:rPr>
                <w:rFonts w:cs="Arial" w:ascii="Calibri" w:hAnsi="Calibri"/>
              </w:rPr>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Vitrinite</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65.7</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30.3</w:t>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Liptinite</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6.7</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6.0</w:t>
            </w:r>
          </w:p>
        </w:tc>
      </w:tr>
      <w:tr>
        <w:trPr/>
        <w:tc>
          <w:tcPr>
            <w:tcW w:w="4389" w:type="dxa"/>
            <w:tcBorders/>
            <w:shd w:fill="auto" w:val="clear"/>
            <w:tcMar>
              <w:left w:w="108" w:type="dxa"/>
            </w:tcMar>
          </w:tcPr>
          <w:p>
            <w:pPr>
              <w:pStyle w:val="Normal"/>
              <w:ind w:firstLine="313"/>
              <w:jc w:val="both"/>
              <w:rPr>
                <w:rFonts w:ascii="Calibri" w:hAnsi="Calibri" w:cs="Arial"/>
              </w:rPr>
            </w:pPr>
            <w:r>
              <w:rPr>
                <w:rFonts w:cs="Arial" w:ascii="Calibri" w:hAnsi="Calibri"/>
              </w:rPr>
              <w:t>Inertinite</w:t>
            </w:r>
          </w:p>
        </w:tc>
        <w:tc>
          <w:tcPr>
            <w:tcW w:w="2269" w:type="dxa"/>
            <w:tcBorders/>
            <w:shd w:fill="auto" w:val="clear"/>
            <w:tcMar>
              <w:left w:w="108" w:type="dxa"/>
            </w:tcMar>
          </w:tcPr>
          <w:p>
            <w:pPr>
              <w:pStyle w:val="Normal"/>
              <w:jc w:val="both"/>
              <w:rPr>
                <w:rFonts w:ascii="Calibri" w:hAnsi="Calibri" w:cs="Arial"/>
              </w:rPr>
            </w:pPr>
            <w:r>
              <w:rPr>
                <w:rFonts w:cs="Arial" w:ascii="Calibri" w:hAnsi="Calibri"/>
              </w:rPr>
              <w:t>27.6</w:t>
            </w:r>
          </w:p>
        </w:tc>
        <w:tc>
          <w:tcPr>
            <w:tcW w:w="2358" w:type="dxa"/>
            <w:tcBorders/>
            <w:shd w:fill="auto" w:val="clear"/>
            <w:tcMar>
              <w:left w:w="108" w:type="dxa"/>
            </w:tcMar>
          </w:tcPr>
          <w:p>
            <w:pPr>
              <w:pStyle w:val="Normal"/>
              <w:jc w:val="both"/>
              <w:rPr>
                <w:rFonts w:ascii="Calibri" w:hAnsi="Calibri" w:cs="Arial"/>
              </w:rPr>
            </w:pPr>
            <w:r>
              <w:rPr>
                <w:rFonts w:cs="Arial" w:ascii="Calibri" w:hAnsi="Calibri"/>
              </w:rPr>
              <w:t>64.0</w:t>
            </w:r>
          </w:p>
        </w:tc>
      </w:tr>
    </w:tbl>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point counting for maceral quantification. Microscope manufactures are able to produce high quality objective lenses suitable for air and oil immersion examination of coal mounts, up to a magnification of 1000 times.</w:t>
      </w:r>
    </w:p>
    <w:p>
      <w:pPr>
        <w:pStyle w:val="Normal"/>
        <w:jc w:val="both"/>
        <w:rPr>
          <w:rFonts w:ascii="Calibri" w:hAnsi="Calibri" w:cs="Arial"/>
        </w:rPr>
      </w:pPr>
      <w:r>
        <w:rPr>
          <w:rFonts w:cs="Arial" w:ascii="Calibri" w:hAnsi="Calibri"/>
        </w:rPr>
      </w:r>
    </w:p>
    <w:p>
      <w:pPr>
        <w:pStyle w:val="Normal"/>
        <w:jc w:val="both"/>
        <w:rPr/>
      </w:pPr>
      <w:r>
        <w:rPr>
          <w:rFonts w:cs="Arial" w:ascii="Calibri" w:hAnsi="Calibri"/>
        </w:rPr>
        <w:t>Falcon and Synman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webHidden/>
            <w:rStyle w:val="InternetLink"/>
            <w:rFonts w:cs="Arial" w:ascii="Calibri" w:hAnsi="Calibri"/>
            <w:color w:val="00000A"/>
          </w:rPr>
          <w:t>http://www.iccop.org/workinggroup/automation/</w:t>
        </w:r>
      </w:hyperlink>
      <w:r>
        <w:rPr>
          <w:rFonts w:cs="Arial" w:ascii="Calibri" w:hAnsi="Calibri"/>
        </w:rPr>
        <w:t>), and determined that the technique was viable and comparable to results generated by non-automated techniques.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latest developments in advanced software and digital cameras has re-energised the science and enhanced organic petrology. Today, coal and organic petrography remains a popular science globally, with most organic petrologists / 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 robin exercises, working group participation, accreditation programmes, and annual society meetings.</w:t>
      </w:r>
    </w:p>
    <w:p>
      <w:pPr>
        <w:pStyle w:val="Heading3"/>
        <w:rPr>
          <w:rFonts w:ascii="Calibri" w:hAnsi="Calibri" w:eastAsia="Arial" w:cs="Arial" w:eastAsiaTheme="minorHAnsi"/>
          <w:color w:val="00000A"/>
          <w:sz w:val="22"/>
          <w:szCs w:val="22"/>
        </w:rPr>
      </w:pPr>
      <w:r>
        <w:rPr>
          <w:rFonts w:eastAsia="Arial" w:cs="Arial" w:eastAsiaTheme="minorHAnsi" w:ascii="Calibri" w:hAnsi="Calibri"/>
          <w:color w:val="00000A"/>
          <w:sz w:val="22"/>
          <w:szCs w:val="22"/>
        </w:rPr>
      </w:r>
    </w:p>
    <w:p>
      <w:pPr>
        <w:pStyle w:val="Heading3"/>
        <w:numPr>
          <w:ilvl w:val="2"/>
          <w:numId w:val="11"/>
        </w:numPr>
        <w:rPr/>
      </w:pPr>
      <w:bookmarkStart w:id="4" w:name="_Toc485644656"/>
      <w:bookmarkEnd w:id="4"/>
      <w:r>
        <w:rPr/>
        <w:t>Development of Petrographic Nomenclature and Classification</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r>
        <w:rPr>
          <w:rFonts w:cs="Arial" w:ascii="Calibri" w:hAnsi="Calibri"/>
          <w:i/>
        </w:rPr>
        <w:t>et al.,</w:t>
      </w:r>
      <w:r>
        <w:rPr>
          <w:rFonts w:cs="Arial" w:ascii="Calibri" w:hAnsi="Calibri"/>
        </w:rPr>
        <w:t xml:space="preserve"> 1998; Ward and Su</w:t>
      </w:r>
      <w:r>
        <w:rPr>
          <w:rFonts w:cs="Arial"/>
        </w:rPr>
        <w:t>á</w:t>
      </w:r>
      <w:r>
        <w:rPr>
          <w:rFonts w:cs="Arial" w:ascii="Calibri" w:hAnsi="Calibri"/>
        </w:rPr>
        <w:t xml:space="preserve">rez-Ruiz, 2008).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 the highly resistant spores, pollens, cuticles, and algae. This process, known as maceration (from the Latin word </w:t>
      </w:r>
      <w:r>
        <w:rPr>
          <w:rFonts w:cs="Arial" w:ascii="Calibri" w:hAnsi="Calibri"/>
          <w:i/>
        </w:rPr>
        <w:t>macerare = to soften</w:t>
      </w:r>
      <w:r>
        <w:rPr>
          <w:rFonts w:cs="Arial" w:ascii="Calibri" w:hAnsi="Calibri"/>
        </w:rPr>
        <w:t xml:space="preserve">), thus gave rise to the term </w:t>
      </w:r>
      <w:r>
        <w:rPr>
          <w:rFonts w:cs="Arial" w:ascii="Calibri" w:hAnsi="Calibri"/>
          <w:i/>
        </w:rPr>
        <w:t>maceral</w:t>
      </w:r>
      <w:r>
        <w:rPr>
          <w:rFonts w:cs="Arial" w:ascii="Calibri" w:hAnsi="Calibri"/>
        </w:rPr>
        <w:t xml:space="preserve"> which, by analogy with the minerals in rocks, refers to the microscopically recognisable and discrete organic constituents in coal. Four types of constituents were recognised at this stage, namely: </w:t>
      </w:r>
      <w:r>
        <w:rPr>
          <w:rFonts w:cs="Arial" w:ascii="Calibri" w:hAnsi="Calibri"/>
          <w:i/>
        </w:rPr>
        <w:t>vitrinite, exinite (liptinite), micrinite</w:t>
      </w:r>
      <w:r>
        <w:rPr>
          <w:rFonts w:cs="Arial" w:ascii="Calibri" w:hAnsi="Calibri"/>
        </w:rPr>
        <w:t xml:space="preserve">, and </w:t>
      </w:r>
      <w:r>
        <w:rPr>
          <w:rFonts w:cs="Arial" w:ascii="Calibri" w:hAnsi="Calibri"/>
          <w:i/>
        </w:rPr>
        <w:t>fusinite</w:t>
      </w:r>
      <w:r>
        <w:rPr>
          <w:rFonts w:cs="Arial" w:ascii="Calibri" w:hAnsi="Calibri"/>
        </w:rPr>
        <w:t xml:space="preserve">.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In conjunction with the microscopic investigations a number of macroscopic coal rock types, or </w:t>
      </w:r>
      <w:r>
        <w:rPr>
          <w:rFonts w:cs="Arial" w:ascii="Calibri" w:hAnsi="Calibri"/>
          <w:i/>
        </w:rPr>
        <w:t>lithotypes</w:t>
      </w:r>
      <w:r>
        <w:rPr>
          <w:rFonts w:cs="Arial" w:ascii="Calibri" w:hAnsi="Calibri"/>
        </w:rPr>
        <w:t xml:space="preserve">, were recognised. These were termed </w:t>
      </w:r>
      <w:r>
        <w:rPr>
          <w:rFonts w:cs="Arial" w:ascii="Calibri" w:hAnsi="Calibri"/>
          <w:i/>
        </w:rPr>
        <w:t xml:space="preserve">vitrain, clarain, durain, </w:t>
      </w:r>
      <w:r>
        <w:rPr>
          <w:rFonts w:cs="Arial" w:ascii="Calibri" w:hAnsi="Calibri"/>
        </w:rPr>
        <w:t xml:space="preserve">and </w:t>
      </w:r>
      <w:r>
        <w:rPr>
          <w:rFonts w:cs="Arial" w:ascii="Calibri" w:hAnsi="Calibri"/>
          <w:i/>
        </w:rPr>
        <w:t>fusain</w:t>
      </w:r>
      <w:r>
        <w:rPr>
          <w:rFonts w:cs="Arial" w:ascii="Calibri" w:hAnsi="Calibri"/>
        </w:rPr>
        <w:t>.</w:t>
      </w:r>
    </w:p>
    <w:p>
      <w:pPr>
        <w:pStyle w:val="Normal"/>
        <w:jc w:val="both"/>
        <w:rPr>
          <w:rFonts w:ascii="Calibri" w:hAnsi="Calibri" w:cs="Arial"/>
        </w:rPr>
      </w:pPr>
      <w:r>
        <w:rPr>
          <w:rFonts w:cs="Arial" w:ascii="Calibri" w:hAnsi="Calibri"/>
        </w:rPr>
      </w:r>
    </w:p>
    <w:p>
      <w:pPr>
        <w:pStyle w:val="Normal"/>
        <w:ind w:left="720" w:hanging="0"/>
        <w:jc w:val="both"/>
        <w:rPr>
          <w:rFonts w:ascii="Calibri" w:hAnsi="Calibri" w:cs="Arial"/>
        </w:rPr>
      </w:pPr>
      <w:r>
        <w:rPr>
          <w:rFonts w:cs="Arial" w:ascii="Calibri" w:hAnsi="Calibri"/>
        </w:rPr>
        <w:t>Vitrain: bright coal; vitreous to sub-vitreous lustre with conchoidal fracture</w:t>
      </w:r>
    </w:p>
    <w:p>
      <w:pPr>
        <w:pStyle w:val="Normal"/>
        <w:ind w:left="720" w:hanging="0"/>
        <w:jc w:val="both"/>
        <w:rPr>
          <w:rFonts w:ascii="Calibri" w:hAnsi="Calibri" w:cs="Arial"/>
        </w:rPr>
      </w:pPr>
      <w:r>
        <w:rPr>
          <w:rFonts w:cs="Arial" w:ascii="Calibri" w:hAnsi="Calibri"/>
        </w:rPr>
        <w:t>Clarain: banded bright coal; thinly bedded bright coal with dull bands and even fracture</w:t>
      </w:r>
    </w:p>
    <w:p>
      <w:pPr>
        <w:pStyle w:val="Normal"/>
        <w:ind w:left="720" w:hanging="0"/>
        <w:jc w:val="both"/>
        <w:rPr>
          <w:rFonts w:ascii="Calibri" w:hAnsi="Calibri" w:cs="Arial"/>
        </w:rPr>
      </w:pPr>
      <w:r>
        <w:rPr>
          <w:rFonts w:cs="Arial" w:ascii="Calibri" w:hAnsi="Calibri"/>
        </w:rPr>
        <w:t>Durain: dull coal; matt lustre and uneven fracture</w:t>
      </w:r>
    </w:p>
    <w:p>
      <w:pPr>
        <w:pStyle w:val="Normal"/>
        <w:ind w:left="720" w:hanging="0"/>
        <w:jc w:val="both"/>
        <w:rPr>
          <w:rFonts w:ascii="Calibri" w:hAnsi="Calibri" w:cs="Arial"/>
        </w:rPr>
      </w:pPr>
      <w:r>
        <w:rPr>
          <w:rFonts w:cs="Arial" w:ascii="Calibri" w:hAnsi="Calibri"/>
        </w:rPr>
        <w:t>Fusain: dull coal with satin lustre; relatively friable.</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the production of a uniform international coal petrographic nomenclature was recognised, and in 1953 the newly instituted ICCP accepted this mandate as its first task (ICCP, 1957).</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With a few notable exceptions, little attention had been paid at that stage to the highly variable bituminous coals and anthracites of Permian age in the southern hemisphere continents. The International Handbook of Coal Petrology (1963, 1975) was compiled predominantly based on the banded bituminous coals of the Carboniferous and the brown and subbituminous coals of the Mesozoic and Tertiary age found in Europe and North America.</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Thus, although many of the definitions and descriptions were found to be generally acceptable, it was established that the southern hemisphere Gondwana coals possessed a number of intermediate forms of organic constituents which did not fall easily into the accepted forms of terminology devised for the coals typical of the northern hemisphere (Snyman and Botha, 1993; Taylor </w:t>
      </w:r>
      <w:r>
        <w:rPr>
          <w:rFonts w:cs="Arial" w:ascii="Calibri" w:hAnsi="Calibri"/>
          <w:i/>
        </w:rPr>
        <w:t>et al.,</w:t>
      </w:r>
      <w:r>
        <w:rPr>
          <w:rFonts w:cs="Arial" w:ascii="Calibri" w:hAnsi="Calibri"/>
        </w:rPr>
        <w:t xml:space="preserve"> 1998). Snyman (1961) coined the term semivitrinite to classify a maceral resembling semifusinite in terms of structure but behaving more like vitrinite on conversion; this maceral is now referred to as reactive semifusinite. Taylor </w:t>
      </w:r>
      <w:r>
        <w:rPr>
          <w:rFonts w:cs="Arial" w:ascii="Calibri" w:hAnsi="Calibri"/>
          <w:i/>
        </w:rPr>
        <w:t>et al.</w:t>
      </w:r>
      <w:r>
        <w:rPr>
          <w:rFonts w:cs="Arial" w:ascii="Calibri" w:hAnsi="Calibri"/>
        </w:rPr>
        <w:t xml:space="preserve"> (1998) provides further discussion about the differences between Permian Gondwana coals and northern hemisphere coals.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Owing to the large number of different terms and synonyms based on a variety of methods of investigation and to the restricted and localised use of many of them, the ICCP committee was forced to retain a restricted number of terms which were recognised by the majority of experienced petrographers globally. This system of nomenclature was widely recognised and became known as the Stopes-Heerlen System of Nomenclature (ICCP, 1963). The technical terms and macerals used for </w:t>
      </w:r>
      <w:r>
        <w:rPr>
          <w:rFonts w:cs="Arial" w:ascii="Calibri" w:hAnsi="Calibri"/>
          <w:i/>
        </w:rPr>
        <w:t>brown coals</w:t>
      </w:r>
      <w:r>
        <w:rPr>
          <w:rFonts w:cs="Arial" w:ascii="Calibri" w:hAnsi="Calibri"/>
        </w:rPr>
        <w:t xml:space="preserve"> (lignites) were separated from those used for </w:t>
      </w:r>
      <w:r>
        <w:rPr>
          <w:rFonts w:cs="Arial" w:ascii="Calibri" w:hAnsi="Calibri"/>
          <w:i/>
        </w:rPr>
        <w:t>hard black</w:t>
      </w:r>
      <w:r>
        <w:rPr>
          <w:rFonts w:cs="Arial" w:ascii="Calibri" w:hAnsi="Calibri"/>
        </w:rPr>
        <w:t xml:space="preserve"> coals (bituminous coals and anthracites). The results were published in an extensive “International Handbook of Coal Petrology”, which has been expanded by supplementary editions (1963, 1975, 1993). More detail is given in Stach’s Textbook on Coal Petrology (1982 Edition), Bustin </w:t>
      </w:r>
      <w:r>
        <w:rPr>
          <w:rFonts w:cs="Arial" w:ascii="Calibri" w:hAnsi="Calibri"/>
          <w:i/>
        </w:rPr>
        <w:t>et al.</w:t>
      </w:r>
      <w:r>
        <w:rPr>
          <w:rFonts w:cs="Arial" w:ascii="Calibri" w:hAnsi="Calibri"/>
        </w:rPr>
        <w:t xml:space="preserve"> (1983), Taylor </w:t>
      </w:r>
      <w:r>
        <w:rPr>
          <w:rFonts w:cs="Arial" w:ascii="Calibri" w:hAnsi="Calibri"/>
          <w:i/>
        </w:rPr>
        <w:t>et al.</w:t>
      </w:r>
      <w:r>
        <w:rPr>
          <w:rFonts w:cs="Arial" w:ascii="Calibri" w:hAnsi="Calibri"/>
        </w:rPr>
        <w:t xml:space="preserve"> (1998), and Su</w:t>
      </w:r>
      <w:r>
        <w:rPr>
          <w:rFonts w:cs="Arial"/>
        </w:rPr>
        <w:t>á</w:t>
      </w:r>
      <w:r>
        <w:rPr>
          <w:rFonts w:cs="Arial" w:ascii="Calibri" w:hAnsi="Calibri"/>
        </w:rPr>
        <w:t xml:space="preserve">rez-Ruiz and Crelling (2008). The ICCP are currently updating the Handbook, and sections have been published in reputable journals (ICCP 1998, 2001; Sýkorová </w:t>
      </w:r>
      <w:r>
        <w:rPr>
          <w:rFonts w:cs="Arial" w:ascii="Calibri" w:hAnsi="Calibri"/>
          <w:i/>
        </w:rPr>
        <w:t>et al</w:t>
      </w:r>
      <w:r>
        <w:rPr>
          <w:rFonts w:cs="Arial" w:ascii="Calibri" w:hAnsi="Calibri"/>
        </w:rPr>
        <w:t xml:space="preserve">., 2005; Pickel </w:t>
      </w:r>
      <w:r>
        <w:rPr>
          <w:rFonts w:cs="Arial" w:ascii="Calibri" w:hAnsi="Calibri"/>
          <w:i/>
        </w:rPr>
        <w:t>et al</w:t>
      </w:r>
      <w:r>
        <w:rPr>
          <w:rFonts w:cs="Arial" w:ascii="Calibri" w:hAnsi="Calibri"/>
        </w:rPr>
        <w:t>., 2017).</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A major challenge lies in establishing the purpose for which the classifications should be used, viz. whether the classifications should be based upon the </w:t>
      </w:r>
      <w:r>
        <w:rPr>
          <w:rFonts w:cs="Arial" w:ascii="Calibri" w:hAnsi="Calibri"/>
          <w:i/>
        </w:rPr>
        <w:t xml:space="preserve">genetic origins and morphological forms </w:t>
      </w:r>
      <w:r>
        <w:rPr>
          <w:rFonts w:cs="Arial" w:ascii="Calibri" w:hAnsi="Calibri"/>
        </w:rPr>
        <w:t xml:space="preserve">of the components and used for scientific and geological purposes, or on the </w:t>
      </w:r>
      <w:r>
        <w:rPr>
          <w:rFonts w:cs="Arial" w:ascii="Calibri" w:hAnsi="Calibri"/>
          <w:i/>
        </w:rPr>
        <w:t>technological properties</w:t>
      </w:r>
      <w:r>
        <w:rPr>
          <w:rFonts w:cs="Arial" w:ascii="Calibri" w:hAnsi="Calibri"/>
        </w:rPr>
        <w:t xml:space="preserve">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r>
        <w:rPr>
          <w:rFonts w:cs="Arial" w:ascii="Calibri" w:hAnsi="Calibri"/>
          <w:i/>
        </w:rPr>
        <w:t>et al.,</w:t>
      </w:r>
      <w:r>
        <w:rPr>
          <w:rFonts w:cs="Arial" w:ascii="Calibri" w:hAnsi="Calibri"/>
        </w:rPr>
        <w:t xml:space="preserve"> 1984).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For example:</w:t>
      </w:r>
    </w:p>
    <w:p>
      <w:pPr>
        <w:pStyle w:val="Normal"/>
        <w:jc w:val="both"/>
        <w:rPr>
          <w:rFonts w:ascii="Calibri" w:hAnsi="Calibri" w:cs="Arial"/>
        </w:rPr>
      </w:pPr>
      <w:r>
        <w:rPr>
          <w:rFonts w:cs="Arial" w:ascii="Calibri" w:hAnsi="Calibri"/>
        </w:rPr>
      </w:r>
    </w:p>
    <w:p>
      <w:pPr>
        <w:pStyle w:val="ListParagraph"/>
        <w:numPr>
          <w:ilvl w:val="0"/>
          <w:numId w:val="13"/>
        </w:numPr>
        <w:jc w:val="both"/>
        <w:rPr>
          <w:rFonts w:ascii="Calibri" w:hAnsi="Calibri" w:cs="Arial"/>
        </w:rPr>
      </w:pPr>
      <w:r>
        <w:rPr>
          <w:rFonts w:cs="Arial" w:ascii="Calibri" w:hAnsi="Calibri"/>
        </w:rPr>
        <w:t xml:space="preserve">In the United States of America, the “Thiessen Bureau of Mines System” was based upon the thin-section </w:t>
      </w:r>
      <w:r>
        <w:rPr>
          <w:rFonts w:cs="Arial" w:ascii="Calibri" w:hAnsi="Calibri"/>
          <w:i/>
        </w:rPr>
        <w:t>transmitted light</w:t>
      </w:r>
      <w:r>
        <w:rPr>
          <w:rFonts w:cs="Arial" w:ascii="Calibri" w:hAnsi="Calibri"/>
        </w:rPr>
        <w:t xml:space="preserve"> microscopic study of coal, whilst the “Spackman System” was based upon the property of </w:t>
      </w:r>
      <w:r>
        <w:rPr>
          <w:rFonts w:cs="Arial" w:ascii="Calibri" w:hAnsi="Calibri"/>
          <w:i/>
        </w:rPr>
        <w:t>reflectance of light</w:t>
      </w:r>
      <w:r>
        <w:rPr>
          <w:rFonts w:cs="Arial" w:ascii="Calibri" w:hAnsi="Calibri"/>
        </w:rPr>
        <w:t xml:space="preserve">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Normal"/>
        <w:jc w:val="both"/>
        <w:rPr>
          <w:rFonts w:ascii="Calibri" w:hAnsi="Calibri" w:cs="Arial"/>
        </w:rPr>
      </w:pPr>
      <w:r>
        <w:rPr>
          <w:rFonts w:cs="Arial" w:ascii="Calibri" w:hAnsi="Calibri"/>
        </w:rPr>
      </w:r>
    </w:p>
    <w:p>
      <w:pPr>
        <w:pStyle w:val="ListParagraph"/>
        <w:numPr>
          <w:ilvl w:val="0"/>
          <w:numId w:val="13"/>
        </w:numPr>
        <w:jc w:val="both"/>
        <w:rPr>
          <w:rFonts w:ascii="Calibri" w:hAnsi="Calibri" w:cs="Arial"/>
        </w:rPr>
      </w:pPr>
      <w:r>
        <w:rPr>
          <w:rFonts w:cs="Arial" w:ascii="Calibri" w:hAnsi="Calibri"/>
        </w:rPr>
        <w:t xml:space="preserve">As a variation on the above theme, other researchers such as Schapiro and Gray (1960a, 1960b) and Schapiro </w:t>
      </w:r>
      <w:r>
        <w:rPr>
          <w:rFonts w:cs="Arial" w:ascii="Calibri" w:hAnsi="Calibri"/>
          <w:i/>
        </w:rPr>
        <w:t>et al.</w:t>
      </w:r>
      <w:r>
        <w:rPr>
          <w:rFonts w:cs="Arial" w:ascii="Calibri" w:hAnsi="Calibri"/>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‘inite (e.g. vitrinite) according to the ICCP nomenclature, were spelt with an –oid (e.g. vitrinoid) and maceral suites were spelt with the suffix –ite.</w:t>
      </w:r>
    </w:p>
    <w:p>
      <w:pPr>
        <w:pStyle w:val="Normal"/>
        <w:rPr>
          <w:rFonts w:ascii="Calibri" w:hAnsi="Calibri" w:cs="Arial"/>
        </w:rPr>
      </w:pPr>
      <w:r>
        <w:rPr>
          <w:rFonts w:cs="Arial" w:ascii="Calibri" w:hAnsi="Calibri"/>
        </w:rPr>
      </w:r>
    </w:p>
    <w:p>
      <w:pPr>
        <w:pStyle w:val="ListParagraph"/>
        <w:numPr>
          <w:ilvl w:val="0"/>
          <w:numId w:val="13"/>
        </w:numPr>
        <w:jc w:val="both"/>
        <w:rPr>
          <w:rFonts w:ascii="Calibri" w:hAnsi="Calibri" w:cs="Arial"/>
        </w:rPr>
      </w:pPr>
      <w:r>
        <w:rPr>
          <w:rFonts w:cs="Arial" w:ascii="Calibri" w:hAnsi="Calibri"/>
        </w:rPr>
        <w:t xml:space="preserve">In contrast to the concepts proposed by the USA, Timofeev </w:t>
      </w:r>
      <w:r>
        <w:rPr>
          <w:rFonts w:cs="Arial" w:ascii="Calibri" w:hAnsi="Calibri"/>
          <w:i/>
        </w:rPr>
        <w:t>et al.</w:t>
      </w:r>
      <w:r>
        <w:rPr>
          <w:rFonts w:cs="Arial" w:ascii="Calibri" w:hAnsi="Calibri"/>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Normal"/>
        <w:ind w:left="-142" w:hanging="0"/>
        <w:rPr>
          <w:rFonts w:ascii="Calibri" w:hAnsi="Calibri" w:cs="Arial"/>
        </w:rPr>
      </w:pPr>
      <w:r>
        <w:rPr>
          <w:rFonts w:cs="Arial" w:ascii="Calibri" w:hAnsi="Calibri"/>
        </w:rPr>
      </w:r>
    </w:p>
    <w:p>
      <w:pPr>
        <w:pStyle w:val="ListParagraph"/>
        <w:numPr>
          <w:ilvl w:val="0"/>
          <w:numId w:val="4"/>
        </w:numPr>
        <w:ind w:left="1134" w:hanging="426"/>
        <w:jc w:val="both"/>
        <w:rPr>
          <w:rFonts w:ascii="Calibri" w:hAnsi="Calibri" w:cs="Arial"/>
        </w:rPr>
      </w:pPr>
      <w:r>
        <w:rPr>
          <w:rFonts w:cs="Arial" w:ascii="Calibri" w:hAnsi="Calibri"/>
        </w:rPr>
        <w:t xml:space="preserve">classes and sub-classes – these are characterised by differences in the substance of the micro-components. This refers to the process of increasing </w:t>
      </w:r>
      <w:r>
        <w:rPr>
          <w:rFonts w:cs="Arial" w:ascii="Calibri" w:hAnsi="Calibri"/>
          <w:i/>
        </w:rPr>
        <w:t>gelification</w:t>
      </w:r>
      <w:r>
        <w:rPr>
          <w:rFonts w:cs="Arial" w:ascii="Calibri" w:hAnsi="Calibri"/>
        </w:rPr>
        <w:t xml:space="preserve"> mainly of cellulose, lignin, and similar vegetation as a result of prolonged decomposition under conditions which were initially oxidising and later reducing. The end points are vitrinitic (telinite and collinite); and</w:t>
      </w:r>
    </w:p>
    <w:p>
      <w:pPr>
        <w:pStyle w:val="ListParagraph"/>
        <w:rPr>
          <w:rFonts w:ascii="Calibri" w:hAnsi="Calibri" w:cs="Arial"/>
        </w:rPr>
      </w:pPr>
      <w:r>
        <w:rPr>
          <w:rFonts w:cs="Arial" w:ascii="Calibri" w:hAnsi="Calibri"/>
        </w:rPr>
      </w:r>
    </w:p>
    <w:p>
      <w:pPr>
        <w:pStyle w:val="ListParagraph"/>
        <w:numPr>
          <w:ilvl w:val="0"/>
          <w:numId w:val="4"/>
        </w:numPr>
        <w:ind w:left="1134" w:hanging="425"/>
        <w:jc w:val="both"/>
        <w:rPr>
          <w:rFonts w:ascii="Calibri" w:hAnsi="Calibri" w:cs="Arial"/>
        </w:rPr>
      </w:pPr>
      <w:r>
        <w:rPr>
          <w:rFonts w:cs="Arial" w:ascii="Calibri" w:hAnsi="Calibri"/>
        </w:rPr>
        <w:t xml:space="preserve">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w:t>
      </w:r>
      <w:r>
        <w:rPr>
          <w:rFonts w:cs="Arial" w:ascii="Calibri" w:hAnsi="Calibri"/>
          <w:i/>
        </w:rPr>
        <w:t>fusinitisation</w:t>
      </w:r>
      <w:r>
        <w:rPr>
          <w:rFonts w:cs="Arial" w:ascii="Calibri" w:hAnsi="Calibri"/>
        </w:rPr>
        <w:t xml:space="preserve"> and has as its end members semifusinite and fusinite, i.e. inertinite.</w:t>
      </w:r>
    </w:p>
    <w:p>
      <w:pPr>
        <w:pStyle w:val="ListParagraph"/>
        <w:rPr>
          <w:rFonts w:ascii="Calibri" w:hAnsi="Calibri" w:cs="Arial"/>
        </w:rPr>
      </w:pPr>
      <w:r>
        <w:rPr>
          <w:rFonts w:cs="Arial" w:ascii="Calibri" w:hAnsi="Calibri"/>
        </w:rPr>
      </w:r>
    </w:p>
    <w:p>
      <w:pPr>
        <w:pStyle w:val="ListParagraph"/>
        <w:numPr>
          <w:ilvl w:val="0"/>
          <w:numId w:val="14"/>
        </w:numPr>
        <w:jc w:val="both"/>
        <w:rPr>
          <w:rFonts w:ascii="Calibri" w:hAnsi="Calibri" w:cs="Arial"/>
        </w:rPr>
      </w:pPr>
      <w:r>
        <w:rPr>
          <w:rFonts w:cs="Arial" w:ascii="Calibri" w:hAnsi="Calibri"/>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Apart from these specialised systems of classification of the constituents of coal, several other countries have produced their own independent standards formalising the methodology, definitions and nomenclature to be adopted in petrographic procedure.  </w:t>
      </w:r>
    </w:p>
    <w:p>
      <w:pPr>
        <w:pStyle w:val="Normal"/>
        <w:spacing w:lineRule="auto" w:line="360"/>
        <w:rPr>
          <w:rFonts w:ascii="Arial" w:hAnsi="Arial" w:cs="Arial"/>
          <w:sz w:val="20"/>
          <w:szCs w:val="20"/>
        </w:rPr>
      </w:pPr>
      <w:r>
        <w:rPr>
          <w:rFonts w:cs="Arial"/>
          <w:sz w:val="20"/>
          <w:szCs w:val="20"/>
        </w:rPr>
      </w:r>
    </w:p>
    <w:p>
      <w:pPr>
        <w:pStyle w:val="Normal"/>
        <w:jc w:val="both"/>
        <w:rPr>
          <w:rFonts w:ascii="Calibri" w:hAnsi="Calibri" w:cs="Arial"/>
        </w:rPr>
      </w:pPr>
      <w:r>
        <w:rPr>
          <w:rFonts w:cs="Arial" w:ascii="Calibri" w:hAnsi="Calibri"/>
        </w:rPr>
        <w:t>In the 1990’s (and subsequently updated in the 2000’s) a series of international standards were prepared by the International Standards Organisation (ISO), largely based upon the recommendations of the ICCP. These standards have formalised the international acceptance of certain petrographic techniques and nomenclature. The new system of subdivision, referred to as the ICCP System 1994 (ICCP, 1998) differs from that of the Stopes-Heerlen System (and replaced it), with the introduction of sub-groups and changes in nomenclature. The South African Bureau of Standards (SABS) has adopted these ISO standards in their entirety (as South African National Standards (SANS standards)), as have many other countries. The ICCP classification can be explicitly used with any classification, be it Chinese, Australian, Indian, or South African (</w:t>
      </w:r>
      <w:r>
        <w:rPr>
          <w:rFonts w:cs="Arial" w:ascii="Calibri" w:hAnsi="Calibri"/>
          <w:i/>
        </w:rPr>
        <w:t>pers.comm</w:t>
      </w:r>
      <w:r>
        <w:rPr>
          <w:rFonts w:cs="Arial" w:ascii="Calibri" w:hAnsi="Calibri"/>
        </w:rPr>
        <w:t xml:space="preserve"> Walter Pickel, 2017).</w:t>
      </w:r>
    </w:p>
    <w:p>
      <w:pPr>
        <w:pStyle w:val="Normal"/>
        <w:jc w:val="both"/>
        <w:rPr>
          <w:rFonts w:ascii="Calibri" w:hAnsi="Calibri" w:cs="Arial"/>
        </w:rPr>
      </w:pPr>
      <w:r>
        <w:rPr>
          <w:rFonts w:cs="Arial" w:ascii="Calibri" w:hAnsi="Calibri"/>
        </w:rPr>
      </w:r>
    </w:p>
    <w:p>
      <w:pPr>
        <w:pStyle w:val="ListParagraph"/>
        <w:numPr>
          <w:ilvl w:val="0"/>
          <w:numId w:val="8"/>
        </w:numPr>
        <w:ind w:left="720" w:hanging="720"/>
        <w:jc w:val="both"/>
        <w:rPr/>
      </w:pPr>
      <w:r>
        <w:rPr>
          <w:rFonts w:cs="Arial" w:ascii="Calibri" w:hAnsi="Calibri"/>
        </w:rPr>
        <w:t>ISO 11760 (2005). Classification of Coals. International Organisation for Standardisation – ISO, Geneva, P.A.,</w:t>
      </w:r>
      <w:r>
        <w:rPr>
          <w:rFonts w:cs="Arial" w:ascii="Calibri" w:hAnsi="Calibri"/>
          <w:u w:val="single"/>
        </w:rPr>
        <w:t xml:space="preserve"> </w:t>
      </w:r>
      <w:hyperlink r:id="rId3">
        <w:r>
          <w:rPr>
            <w:webHidden/>
            <w:rStyle w:val="InternetLink"/>
            <w:rFonts w:cs="Arial" w:ascii="Calibri" w:hAnsi="Calibri"/>
            <w:color w:val="00000A"/>
          </w:rPr>
          <w:t>www.iso.org</w:t>
        </w:r>
      </w:hyperlink>
      <w:r>
        <w:rPr>
          <w:rFonts w:cs="Arial" w:ascii="Calibri" w:hAnsi="Calibri"/>
          <w:u w:val="single"/>
        </w:rPr>
        <w:t>.</w:t>
      </w:r>
    </w:p>
    <w:p>
      <w:pPr>
        <w:pStyle w:val="ListParagraph"/>
        <w:numPr>
          <w:ilvl w:val="0"/>
          <w:numId w:val="8"/>
        </w:numPr>
        <w:ind w:left="720" w:hanging="720"/>
        <w:jc w:val="both"/>
        <w:rPr/>
      </w:pPr>
      <w:r>
        <w:rPr>
          <w:rFonts w:cs="Arial" w:ascii="Calibri" w:hAnsi="Calibri"/>
        </w:rPr>
        <w:t xml:space="preserve">ISO 7404-1 (2016). </w:t>
      </w:r>
      <w:r>
        <w:rPr>
          <w:rStyle w:val="Strong"/>
          <w:rFonts w:cs="Arial" w:ascii="Calibri" w:hAnsi="Calibri"/>
          <w:b w:val="false"/>
        </w:rPr>
        <w:t xml:space="preserve">Methods for the Petrographic Analysis of Coal - Part 1: Vocabulary. </w:t>
      </w:r>
      <w:r>
        <w:rPr>
          <w:rFonts w:cs="Arial" w:ascii="Calibri" w:hAnsi="Calibri"/>
        </w:rPr>
        <w:t xml:space="preserve">ISO, Geneva, P.A., </w:t>
      </w:r>
      <w:hyperlink r:id="rId4">
        <w:r>
          <w:rPr>
            <w:webHidden/>
            <w:rStyle w:val="InternetLink"/>
            <w:rFonts w:cs="Arial" w:ascii="Calibri" w:hAnsi="Calibri"/>
            <w:color w:val="00000A"/>
          </w:rPr>
          <w:t>www.iso.org</w:t>
        </w:r>
      </w:hyperlink>
      <w:r>
        <w:rPr>
          <w:rFonts w:cs="Arial" w:ascii="Calibri" w:hAnsi="Calibri"/>
          <w:u w:val="single"/>
        </w:rPr>
        <w:t xml:space="preserve">. </w:t>
      </w:r>
    </w:p>
    <w:p>
      <w:pPr>
        <w:pStyle w:val="ListParagraph"/>
        <w:numPr>
          <w:ilvl w:val="0"/>
          <w:numId w:val="8"/>
        </w:numPr>
        <w:ind w:left="720" w:hanging="720"/>
        <w:jc w:val="both"/>
        <w:rPr>
          <w:rFonts w:ascii="Calibri" w:hAnsi="Calibri" w:cs="Arial"/>
          <w:u w:val="single"/>
        </w:rPr>
      </w:pPr>
      <w:r>
        <w:rPr>
          <w:rFonts w:cs="Arial" w:ascii="Calibri" w:hAnsi="Calibri"/>
        </w:rPr>
        <w:t xml:space="preserve">ISO 7404-2 (2009). </w:t>
      </w:r>
      <w:r>
        <w:rPr>
          <w:rStyle w:val="Strong"/>
          <w:rFonts w:cs="Arial" w:ascii="Calibri" w:hAnsi="Calibri"/>
          <w:b w:val="false"/>
        </w:rPr>
        <w:t xml:space="preserve">Methods for the Petrographic Analysis of Coal - Part 2: Preparation of Coal Samples. </w:t>
      </w:r>
      <w:r>
        <w:rPr>
          <w:rFonts w:cs="Arial" w:ascii="Calibri" w:hAnsi="Calibri"/>
        </w:rPr>
        <w:t xml:space="preserve">ISO, Geneva, P.A., </w:t>
      </w:r>
      <w:r>
        <w:rPr>
          <w:rFonts w:cs="Arial" w:ascii="Calibri" w:hAnsi="Calibri"/>
          <w:u w:val="single"/>
        </w:rPr>
        <w:t>www.iso.org.</w:t>
      </w:r>
    </w:p>
    <w:p>
      <w:pPr>
        <w:pStyle w:val="ListParagraph"/>
        <w:numPr>
          <w:ilvl w:val="0"/>
          <w:numId w:val="8"/>
        </w:numPr>
        <w:ind w:left="720" w:hanging="720"/>
        <w:jc w:val="both"/>
        <w:rPr/>
      </w:pPr>
      <w:r>
        <w:rPr>
          <w:rFonts w:cs="Arial" w:ascii="Calibri" w:hAnsi="Calibri"/>
        </w:rPr>
        <w:t xml:space="preserve">ISO 7404-4 (2009). </w:t>
      </w:r>
      <w:r>
        <w:rPr>
          <w:rStyle w:val="Strong"/>
          <w:rFonts w:cs="Arial" w:ascii="Calibri" w:hAnsi="Calibri"/>
          <w:b w:val="false"/>
        </w:rPr>
        <w:t>Methods for the Petrographic Analysis of f Coal - Part 3: Method of Determining Maceral Group Composition.</w:t>
      </w:r>
      <w:r>
        <w:rPr>
          <w:rFonts w:cs="Arial" w:ascii="Calibri" w:hAnsi="Calibri"/>
        </w:rPr>
        <w:t xml:space="preserve"> ISO, Geneva, P.A., </w:t>
      </w:r>
      <w:hyperlink r:id="rId5">
        <w:r>
          <w:rPr>
            <w:webHidden/>
            <w:rStyle w:val="InternetLink"/>
            <w:rFonts w:cs="Arial" w:ascii="Calibri" w:hAnsi="Calibri"/>
            <w:color w:val="00000A"/>
          </w:rPr>
          <w:t>www.iso.org</w:t>
        </w:r>
      </w:hyperlink>
      <w:r>
        <w:rPr>
          <w:rFonts w:cs="Arial" w:ascii="Calibri" w:hAnsi="Calibri"/>
        </w:rPr>
        <w:t>.</w:t>
      </w:r>
    </w:p>
    <w:p>
      <w:pPr>
        <w:pStyle w:val="ListParagraph"/>
        <w:numPr>
          <w:ilvl w:val="0"/>
          <w:numId w:val="8"/>
        </w:numPr>
        <w:ind w:left="720" w:hanging="720"/>
        <w:jc w:val="both"/>
        <w:rPr/>
      </w:pPr>
      <w:r>
        <w:rPr>
          <w:rFonts w:cs="Arial" w:ascii="Calibri" w:hAnsi="Calibri"/>
        </w:rPr>
        <w:t xml:space="preserve">ISO 7404-3 (2017). </w:t>
      </w:r>
      <w:r>
        <w:rPr>
          <w:rStyle w:val="Strong"/>
          <w:rFonts w:cs="Arial" w:ascii="Calibri" w:hAnsi="Calibri"/>
          <w:b w:val="false"/>
        </w:rPr>
        <w:t>Methods for the Petrographic Analysis of Coal - Part 4: Method of Determining Microlithotype, Carbominerite and Minerite composition.</w:t>
      </w:r>
      <w:r>
        <w:rPr>
          <w:rFonts w:cs="Arial" w:ascii="Calibri" w:hAnsi="Calibri"/>
        </w:rPr>
        <w:t xml:space="preserve"> ISO, Geneva, P.A., </w:t>
      </w:r>
      <w:hyperlink r:id="rId6">
        <w:r>
          <w:rPr>
            <w:webHidden/>
            <w:rStyle w:val="InternetLink"/>
            <w:rFonts w:cs="Arial" w:ascii="Calibri" w:hAnsi="Calibri"/>
            <w:color w:val="00000A"/>
          </w:rPr>
          <w:t>www.iso.org</w:t>
        </w:r>
      </w:hyperlink>
      <w:r>
        <w:rPr>
          <w:rFonts w:cs="Arial" w:ascii="Calibri" w:hAnsi="Calibri"/>
        </w:rPr>
        <w:t xml:space="preserve">. </w:t>
      </w:r>
    </w:p>
    <w:p>
      <w:pPr>
        <w:pStyle w:val="ListParagraph"/>
        <w:numPr>
          <w:ilvl w:val="0"/>
          <w:numId w:val="8"/>
        </w:numPr>
        <w:ind w:left="720" w:hanging="720"/>
        <w:jc w:val="both"/>
        <w:rPr/>
      </w:pPr>
      <w:r>
        <w:rPr>
          <w:rFonts w:cs="Arial" w:ascii="Calibri" w:hAnsi="Calibri"/>
        </w:rPr>
        <w:t xml:space="preserve">ISO 7404-5 (2009). </w:t>
      </w:r>
      <w:r>
        <w:rPr>
          <w:rStyle w:val="Strong"/>
          <w:rFonts w:cs="Arial" w:ascii="Calibri" w:hAnsi="Calibri"/>
          <w:b w:val="false"/>
        </w:rPr>
        <w:t xml:space="preserve">Methods for the Petrographic Analysis of Coal - Part 5: Method of Determining Microscopically the Reflectance of Vitrinite. </w:t>
      </w:r>
      <w:r>
        <w:rPr>
          <w:rFonts w:cs="Arial" w:ascii="Calibri" w:hAnsi="Calibri"/>
        </w:rPr>
        <w:t xml:space="preserve">ISO, Geneva, P.A., </w:t>
      </w:r>
      <w:hyperlink r:id="rId7">
        <w:r>
          <w:rPr>
            <w:webHidden/>
            <w:rStyle w:val="InternetLink"/>
            <w:rFonts w:cs="Arial" w:ascii="Calibri" w:hAnsi="Calibri"/>
            <w:color w:val="00000A"/>
          </w:rPr>
          <w:t>www.iso.org</w:t>
        </w:r>
      </w:hyperlink>
      <w:r>
        <w:rPr>
          <w:rFonts w:cs="Arial" w:ascii="Calibri" w:hAnsi="Calibri"/>
          <w:u w:val="single"/>
        </w:rPr>
        <w:t>.</w:t>
      </w:r>
    </w:p>
    <w:p>
      <w:pPr>
        <w:pStyle w:val="Normal"/>
        <w:ind w:left="-142" w:hanging="0"/>
        <w:jc w:val="both"/>
        <w:rPr>
          <w:rFonts w:ascii="Calibri" w:hAnsi="Calibri" w:cs="Arial"/>
        </w:rPr>
      </w:pPr>
      <w:r>
        <w:rPr>
          <w:rFonts w:cs="Arial" w:ascii="Calibri" w:hAnsi="Calibri"/>
        </w:rPr>
      </w:r>
    </w:p>
    <w:p>
      <w:pPr>
        <w:pStyle w:val="Normal"/>
        <w:jc w:val="both"/>
        <w:rPr/>
      </w:pPr>
      <w:r>
        <w:rPr>
          <w:rFonts w:cs="Arial" w:ascii="Calibri" w:hAnsi="Calibri"/>
        </w:rPr>
        <w:t>The ASTM International (American Society for Testing and Materials) (</w:t>
      </w:r>
      <w:hyperlink r:id="rId8">
        <w:r>
          <w:rPr>
            <w:webHidden/>
            <w:rStyle w:val="InternetLink"/>
            <w:rFonts w:cs="Arial" w:ascii="Calibri" w:hAnsi="Calibri"/>
            <w:color w:val="00000A"/>
          </w:rPr>
          <w:t>www.astm.org</w:t>
        </w:r>
      </w:hyperlink>
      <w:r>
        <w:rPr>
          <w:rFonts w:cs="Arial" w:ascii="Calibri" w:hAnsi="Calibri"/>
        </w:rPr>
        <w:t>) also produced a set of standards pertaining specifically to aspects of organic petrography, namely:</w:t>
      </w:r>
    </w:p>
    <w:p>
      <w:pPr>
        <w:pStyle w:val="Normal"/>
        <w:ind w:left="-142" w:hanging="0"/>
        <w:jc w:val="both"/>
        <w:rPr>
          <w:rFonts w:ascii="Calibri" w:hAnsi="Calibri" w:cs="Arial"/>
        </w:rPr>
      </w:pPr>
      <w:r>
        <w:rPr>
          <w:rFonts w:cs="Arial" w:ascii="Calibri" w:hAnsi="Calibri"/>
        </w:rPr>
      </w:r>
    </w:p>
    <w:p>
      <w:pPr>
        <w:pStyle w:val="ListParagraph"/>
        <w:numPr>
          <w:ilvl w:val="0"/>
          <w:numId w:val="9"/>
        </w:numPr>
        <w:ind w:left="709" w:hanging="567"/>
        <w:jc w:val="both"/>
        <w:rPr>
          <w:rFonts w:ascii="Calibri" w:hAnsi="Calibri" w:cs="Arial"/>
        </w:rPr>
      </w:pPr>
      <w:r>
        <w:rPr>
          <w:rFonts w:cs="Arial" w:ascii="Calibri" w:hAnsi="Calibri"/>
          <w:color w:val="333333"/>
        </w:rPr>
        <w:t>ASTM D121-15 (2015). Standard Terminology of Coal and Coke, ASTM International, West Conshohocken, PA.</w:t>
      </w:r>
    </w:p>
    <w:p>
      <w:pPr>
        <w:pStyle w:val="ListParagraph"/>
        <w:numPr>
          <w:ilvl w:val="0"/>
          <w:numId w:val="9"/>
        </w:numPr>
        <w:ind w:left="709" w:hanging="567"/>
        <w:jc w:val="both"/>
        <w:rPr>
          <w:rFonts w:ascii="Calibri" w:hAnsi="Calibri" w:cs="Arial"/>
        </w:rPr>
      </w:pPr>
      <w:r>
        <w:rPr>
          <w:rFonts w:ascii="Calibri" w:hAnsi="Calibri"/>
          <w:color w:val="333333"/>
        </w:rPr>
        <w:t xml:space="preserve">ASTM D2797 / D2797M-11a (2011). Standard Practice for Preparing Coal Samples for Microscopical Analysis by Reflected Light, ASTM International, West Conshohocken, PA. </w:t>
      </w:r>
    </w:p>
    <w:p>
      <w:pPr>
        <w:pStyle w:val="ListParagraph"/>
        <w:numPr>
          <w:ilvl w:val="0"/>
          <w:numId w:val="9"/>
        </w:numPr>
        <w:ind w:left="709" w:hanging="567"/>
        <w:jc w:val="both"/>
        <w:rPr>
          <w:rFonts w:ascii="Calibri" w:hAnsi="Calibri" w:cs="Arial"/>
        </w:rPr>
      </w:pPr>
      <w:r>
        <w:rPr>
          <w:rFonts w:ascii="Calibri" w:hAnsi="Calibri"/>
          <w:color w:val="333333"/>
        </w:rPr>
        <w:t xml:space="preserve">ASTM D2798-11a (2011). Standard Test Method for Microscopical Determination of the Vitrinite Reflectance of Coal, ASTM International, West Conshohocken, PA. </w:t>
      </w:r>
    </w:p>
    <w:p>
      <w:pPr>
        <w:pStyle w:val="ListParagraph"/>
        <w:numPr>
          <w:ilvl w:val="0"/>
          <w:numId w:val="9"/>
        </w:numPr>
        <w:ind w:left="709" w:hanging="567"/>
        <w:jc w:val="both"/>
        <w:rPr>
          <w:rFonts w:ascii="Calibri" w:hAnsi="Calibri" w:cs="Arial"/>
        </w:rPr>
      </w:pPr>
      <w:r>
        <w:rPr>
          <w:rFonts w:ascii="Calibri" w:hAnsi="Calibri"/>
          <w:color w:val="333333"/>
        </w:rPr>
        <w:t xml:space="preserve">ASTM D2799-13 (2013). Standard Test Method for Microscopical Determination of the Maceral Composition of Coal, ASTM International, West Conshohocken, PA. </w:t>
      </w:r>
    </w:p>
    <w:p>
      <w:pPr>
        <w:pStyle w:val="ListParagraph"/>
        <w:numPr>
          <w:ilvl w:val="0"/>
          <w:numId w:val="9"/>
        </w:numPr>
        <w:ind w:left="709" w:hanging="567"/>
        <w:jc w:val="both"/>
        <w:rPr>
          <w:rFonts w:ascii="Calibri" w:hAnsi="Calibri" w:cs="Arial"/>
        </w:rPr>
      </w:pPr>
      <w:r>
        <w:rPr>
          <w:rFonts w:ascii="Calibri" w:hAnsi="Calibri"/>
          <w:color w:val="333333"/>
        </w:rPr>
        <w:t>ASTM D388-17 (2017). Standard Classification of Coals by Rank, ASTM International, West Conshohocken, PA.</w:t>
      </w:r>
    </w:p>
    <w:p>
      <w:pPr>
        <w:pStyle w:val="Normal"/>
        <w:ind w:left="-142" w:hanging="0"/>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current reference source (this Atlas) follows the ICCP nomenclature, which reflects the ISO standards for coal petrography, and may differ slightly from the ASTM and terminology used by TSOP (The Society of Organic Petrology). As the SABS has adopted the ISO terminology, thus standards SANS ISO 7404 parts 1 – 3, and 5 apply; part 4 is currently being updated by ISO. The reader is also referred to the ICCP publications of 1998, 2001, and 2017 dealing specifically with vitrinite, inertinite, and liptinite classification respectively (ICCP 1998, 2001, 2017 respectively).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In summary, the term maceral was originally introduced to distinguish organic from inorganic constituents in coal (Stopes, 1935; Stach </w:t>
      </w:r>
      <w:r>
        <w:rPr>
          <w:rFonts w:cs="Arial" w:ascii="Calibri" w:hAnsi="Calibri"/>
          <w:i/>
        </w:rPr>
        <w:t>et al.</w:t>
      </w:r>
      <w:r>
        <w:rPr>
          <w:rFonts w:cs="Arial" w:ascii="Calibri" w:hAnsi="Calibri"/>
        </w:rPr>
        <w:t>,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Reactive semifusinite and reactive inertodetrinite apply, as these macerals have been shown to behave in a significantly different manner to the more inert semifusinite and inertodetrinite particles (Cook, 1975, Falcon and Snyman, 1986; Hagelskamp and Snyman, 1988;</w:t>
      </w:r>
      <w:r>
        <w:rPr>
          <w:rFonts w:cs="Arial" w:ascii="Calibri" w:hAnsi="Calibri"/>
          <w:color w:val="FF0000"/>
        </w:rPr>
        <w:t xml:space="preserve"> </w:t>
      </w:r>
      <w:r>
        <w:rPr>
          <w:rFonts w:cs="Arial" w:ascii="Calibri" w:hAnsi="Calibri"/>
        </w:rPr>
        <w:t xml:space="preserve">Diessel, 1992). </w:t>
      </w:r>
      <w:r>
        <w:rPr>
          <w:rFonts w:cs="Arial" w:ascii="Calibri" w:hAnsi="Calibri" w:cstheme="minorHAnsi"/>
        </w:rPr>
        <w:t xml:space="preserve">Hower </w:t>
      </w:r>
      <w:r>
        <w:rPr>
          <w:rFonts w:cs="Arial" w:ascii="Calibri" w:hAnsi="Calibri" w:cstheme="minorHAnsi"/>
          <w:i/>
        </w:rPr>
        <w:t>et al.</w:t>
      </w:r>
      <w:r>
        <w:rPr>
          <w:rFonts w:cs="Arial" w:ascii="Calibri" w:hAnsi="Calibri" w:cstheme="minorHAnsi"/>
        </w:rPr>
        <w:t xml:space="preserve"> (2012) concluded that not all Gondwana maceral types necessarily fit the ICCP definitions, which may result in a requirement for wider definitions of existing maceral types.</w:t>
      </w:r>
    </w:p>
    <w:p>
      <w:pPr>
        <w:pStyle w:val="Normal"/>
        <w:jc w:val="both"/>
        <w:rPr>
          <w:rFonts w:ascii="Calibri" w:hAnsi="Calibri" w:cs="Arial"/>
        </w:rPr>
      </w:pPr>
      <w:r>
        <w:rPr>
          <w:rFonts w:cs="Arial" w:ascii="Calibri" w:hAnsi="Calibri"/>
        </w:rPr>
      </w:r>
    </w:p>
    <w:p>
      <w:pPr>
        <w:pStyle w:val="Normal"/>
        <w:jc w:val="both"/>
        <w:rPr>
          <w:rFonts w:ascii="Calibri" w:hAnsi="Calibri"/>
        </w:rPr>
      </w:pPr>
      <w:r>
        <w:rPr>
          <w:rFonts w:ascii="Calibri" w:hAnsi="Calibri"/>
        </w:rPr>
        <w:t>It must be emphasised, as coal is a complex rock, that organic petrology is a broader subject than coal petrography, with the former considering the organic components, inorganic and organic geochemistry, as well as coal rank (degree of maturity) (Ward and Su</w:t>
      </w:r>
      <w:r>
        <w:rPr>
          <w:rFonts w:cs="Arial"/>
        </w:rPr>
        <w:t>á</w:t>
      </w:r>
      <w:r>
        <w:rPr>
          <w:rFonts w:ascii="Calibri" w:hAnsi="Calibri"/>
        </w:rPr>
        <w:t>rez-Ruiz, 2008). All these characteristics are vital to obtain a holistic understanding of coal origin and formation, as well as to predict behaviour during utilisation.</w:t>
      </w:r>
    </w:p>
    <w:p>
      <w:pPr>
        <w:pStyle w:val="Normal"/>
        <w:spacing w:lineRule="auto" w:line="360"/>
        <w:ind w:left="-142" w:hanging="0"/>
        <w:rPr>
          <w:color w:val="FF0000"/>
          <w:sz w:val="20"/>
          <w:szCs w:val="20"/>
        </w:rPr>
      </w:pPr>
      <w:r>
        <w:rPr>
          <w:color w:val="FF0000"/>
          <w:sz w:val="20"/>
          <w:szCs w:val="20"/>
        </w:rPr>
      </w:r>
    </w:p>
    <w:p>
      <w:pPr>
        <w:pStyle w:val="Heading2"/>
        <w:numPr>
          <w:ilvl w:val="1"/>
          <w:numId w:val="11"/>
        </w:numPr>
        <w:rPr>
          <w:rFonts w:ascii="Calibri" w:hAnsi="Calibri"/>
        </w:rPr>
      </w:pPr>
      <w:bookmarkStart w:id="5" w:name="_Toc485644657"/>
      <w:bookmarkEnd w:id="5"/>
      <w:r>
        <w:rPr>
          <w:rFonts w:ascii="Calibri" w:hAnsi="Calibri"/>
        </w:rPr>
        <w:t>PETROGRAPHIC CONSTITUENTS OF COAL</w:t>
      </w:r>
    </w:p>
    <w:p>
      <w:pPr>
        <w:pStyle w:val="ListParagraph"/>
        <w:spacing w:lineRule="auto" w:line="360"/>
        <w:ind w:left="426" w:hanging="0"/>
        <w:rPr>
          <w:b/>
          <w:b/>
          <w:sz w:val="20"/>
          <w:szCs w:val="20"/>
        </w:rPr>
      </w:pPr>
      <w:r>
        <w:rPr>
          <w:b/>
          <w:sz w:val="20"/>
          <w:szCs w:val="20"/>
        </w:rPr>
      </w:r>
    </w:p>
    <w:p>
      <w:pPr>
        <w:pStyle w:val="ListParagraph"/>
        <w:ind w:left="0" w:hanging="0"/>
        <w:jc w:val="both"/>
        <w:rPr>
          <w:rFonts w:ascii="Calibri" w:hAnsi="Calibri"/>
        </w:rPr>
      </w:pPr>
      <w:r>
        <w:rPr>
          <w:rFonts w:ascii="Calibri" w:hAnsi="Calibri"/>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classified as </w:t>
      </w:r>
      <w:r>
        <w:rPr>
          <w:rFonts w:ascii="Calibri" w:hAnsi="Calibri"/>
          <w:i/>
        </w:rPr>
        <w:t xml:space="preserve">limnic or paralic. </w:t>
      </w:r>
      <w:r>
        <w:rPr>
          <w:rFonts w:ascii="Calibri" w:hAnsi="Calibri"/>
        </w:rPr>
        <w:t>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time of peat formation (Hower e</w:t>
      </w:r>
      <w:r>
        <w:rPr>
          <w:rFonts w:ascii="Calibri" w:hAnsi="Calibri"/>
          <w:i/>
        </w:rPr>
        <w:t>t al</w:t>
      </w:r>
      <w:r>
        <w:rPr>
          <w:rFonts w:ascii="Calibri" w:hAnsi="Calibri"/>
        </w:rPr>
        <w:t xml:space="preserve">., 1998).  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northern hemisphere. The final coal composition was dependent on conditions in the peat mire which included plant type, nutrient availability, climatic conditions, and level of the water table, pH and Eh conditions (Falcon, 1986b). Taylor </w:t>
      </w:r>
      <w:r>
        <w:rPr>
          <w:rFonts w:ascii="Calibri" w:hAnsi="Calibri"/>
          <w:i/>
        </w:rPr>
        <w:t>et al.</w:t>
      </w:r>
      <w:r>
        <w:rPr>
          <w:rFonts w:ascii="Calibri" w:hAnsi="Calibri"/>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ListParagraph"/>
        <w:ind w:left="0" w:hanging="0"/>
        <w:jc w:val="both"/>
        <w:rPr>
          <w:rFonts w:ascii="Calibri" w:hAnsi="Calibri"/>
        </w:rPr>
      </w:pPr>
      <w:r>
        <w:rPr>
          <w:rFonts w:ascii="Calibri" w:hAnsi="Calibri"/>
        </w:rPr>
      </w:r>
    </w:p>
    <w:p>
      <w:pPr>
        <w:sectPr>
          <w:footerReference w:type="default" r:id="rId9"/>
          <w:type w:val="nextPage"/>
          <w:pgSz w:w="11906" w:h="16838"/>
          <w:pgMar w:left="1440" w:right="1274" w:header="0" w:top="1134" w:footer="709" w:bottom="1440" w:gutter="0"/>
          <w:pgNumType w:fmt="decimal"/>
          <w:formProt w:val="false"/>
          <w:textDirection w:val="lrTb"/>
          <w:docGrid w:type="default" w:linePitch="360" w:charSpace="4294965247"/>
        </w:sectPr>
        <w:pStyle w:val="ListParagraph"/>
        <w:ind w:left="0" w:hanging="0"/>
        <w:jc w:val="both"/>
        <w:rPr>
          <w:rFonts w:ascii="Calibri" w:hAnsi="Calibri"/>
        </w:rPr>
      </w:pPr>
      <w:r>
        <w:rPr>
          <w:rFonts w:ascii="Calibri" w:hAnsi="Calibri"/>
        </w:rPr>
        <w:t>Coals may be described or characterised at various levels of resolution, commencing on a macroscopic scale (lithotypes), progressing to the microscopic scale (Fig. 2.1).</w:t>
      </w:r>
    </w:p>
    <w:p>
      <w:pPr>
        <w:pStyle w:val="Normal"/>
        <w:ind w:left="-567" w:hanging="0"/>
        <w:jc w:val="both"/>
        <w:rPr>
          <w:rFonts w:ascii="Calibri" w:hAnsi="Calibri"/>
        </w:rPr>
      </w:pPr>
      <w:r>
        <w:rPr>
          <w:rFonts w:ascii="Calibri" w:hAnsi="Calibri"/>
        </w:rPr>
      </w:r>
    </w:p>
    <w:p>
      <w:pPr>
        <w:pStyle w:val="Normal"/>
        <w:jc w:val="both"/>
        <w:rPr>
          <w:rFonts w:ascii="Calibri" w:hAnsi="Calibri" w:cs="Arial"/>
          <w:b/>
          <w:b/>
          <w:sz w:val="20"/>
          <w:szCs w:val="20"/>
        </w:rPr>
      </w:pPr>
      <w:r>
        <w:rPr>
          <w:rFonts w:ascii="Calibri" w:hAnsi="Calibri"/>
          <w:b/>
          <w:sz w:val="20"/>
          <w:szCs w:val="20"/>
        </w:rPr>
        <w:t xml:space="preserve">Figure 2.1: The relationship between the macro- and micro-composition of coal (modified from </w:t>
      </w:r>
      <w:r>
        <w:rPr>
          <w:rFonts w:cs="Arial" w:ascii="Calibri" w:hAnsi="Calibri"/>
          <w:b/>
          <w:sz w:val="20"/>
          <w:szCs w:val="20"/>
        </w:rPr>
        <w:t xml:space="preserve">Falcon and Snyman, 1986). </w:t>
      </w:r>
    </w:p>
    <w:p>
      <w:pPr>
        <w:pStyle w:val="Normal"/>
        <w:ind w:left="-142" w:hanging="0"/>
        <w:jc w:val="both"/>
        <w:rPr>
          <w:rFonts w:ascii="Calibri" w:hAnsi="Calibri" w:cs="Arial"/>
          <w:b/>
          <w:b/>
          <w:sz w:val="20"/>
          <w:szCs w:val="20"/>
        </w:rPr>
      </w:pPr>
      <w:r>
        <w:rPr>
          <w:rFonts w:cs="Arial" w:ascii="Calibri" w:hAnsi="Calibri"/>
          <w:b/>
          <w:sz w:val="20"/>
          <w:szCs w:val="20"/>
        </w:rPr>
      </w:r>
    </w:p>
    <w:p>
      <w:pPr>
        <w:pStyle w:val="Normal"/>
        <w:ind w:left="-142" w:hanging="0"/>
        <w:jc w:val="both"/>
        <w:rPr>
          <w:rFonts w:ascii="Calibri" w:hAnsi="Calibri" w:cs="Arial"/>
          <w:b/>
          <w:b/>
          <w:sz w:val="20"/>
          <w:szCs w:val="20"/>
        </w:rPr>
      </w:pPr>
      <w:r>
        <w:rPr>
          <w:rFonts w:cs="Arial" w:ascii="Calibri" w:hAnsi="Calibri"/>
          <w:b/>
          <w:sz w:val="20"/>
          <w:szCs w:val="20"/>
        </w:rPr>
      </w:r>
    </w:p>
    <w:p>
      <w:pPr>
        <w:pStyle w:val="Heading3"/>
        <w:numPr>
          <w:ilvl w:val="2"/>
          <w:numId w:val="11"/>
        </w:numPr>
        <w:rPr/>
      </w:pPr>
      <w:bookmarkStart w:id="6" w:name="_Toc485644658"/>
      <w:r>
        <w:rPr>
          <w:rFonts w:ascii="Calibri" w:hAnsi="Calibri"/>
        </w:rPr>
        <w:t>Macroscopic</w:t>
      </w:r>
      <w:bookmarkEnd w:id="6"/>
      <w:r>
        <w:rPr/>
        <w:t xml:space="preserve"> Constituents of Coal</w:t>
      </w:r>
    </w:p>
    <w:p>
      <w:pPr>
        <w:pStyle w:val="ListParagraph"/>
        <w:ind w:left="-142"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In hand specimen, successions of macroscopically identifiable layers of 5 mm or more are called </w:t>
      </w:r>
      <w:r>
        <w:rPr>
          <w:rFonts w:ascii="Calibri" w:hAnsi="Calibri"/>
          <w:i/>
        </w:rPr>
        <w:t>lithotypes</w:t>
      </w:r>
      <w:r>
        <w:rPr>
          <w:rFonts w:ascii="Calibri" w:hAnsi="Calibri"/>
        </w:rPr>
        <w:t xml:space="preserve">,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 / sapropelic coals, and banded / humic coals (O’Keefe </w:t>
      </w:r>
      <w:r>
        <w:rPr>
          <w:rFonts w:ascii="Calibri" w:hAnsi="Calibri"/>
          <w:i/>
        </w:rPr>
        <w:t>et al.,</w:t>
      </w:r>
      <w:r>
        <w:rPr>
          <w:rFonts w:ascii="Calibri" w:hAnsi="Calibri"/>
        </w:rPr>
        <w:t xml:space="preserve"> 2013; Thomas, 2013).</w:t>
      </w:r>
    </w:p>
    <w:p>
      <w:pPr>
        <w:pStyle w:val="Heading4"/>
        <w:rPr>
          <w:rFonts w:ascii="Calibri" w:hAnsi="Calibri" w:eastAsia="Arial" w:cs="" w:cstheme="minorBidi" w:eastAsiaTheme="minorHAnsi"/>
          <w:i w:val="false"/>
          <w:i w:val="false"/>
          <w:iCs w:val="false"/>
          <w:color w:val="00000A"/>
        </w:rPr>
      </w:pPr>
      <w:r>
        <w:rPr>
          <w:rFonts w:eastAsia="Arial" w:cs="" w:cstheme="minorBidi" w:eastAsiaTheme="minorHAnsi" w:ascii="Calibri" w:hAnsi="Calibri"/>
          <w:i w:val="false"/>
          <w:iCs w:val="false"/>
          <w:color w:val="00000A"/>
        </w:rPr>
      </w:r>
    </w:p>
    <w:p>
      <w:pPr>
        <w:pStyle w:val="Heading4"/>
        <w:numPr>
          <w:ilvl w:val="3"/>
          <w:numId w:val="11"/>
        </w:numPr>
        <w:rPr>
          <w:rFonts w:ascii="Calibri" w:hAnsi="Calibri"/>
        </w:rPr>
      </w:pPr>
      <w:bookmarkStart w:id="7" w:name="_Toc485644659"/>
      <w:bookmarkEnd w:id="7"/>
      <w:r>
        <w:rPr>
          <w:rFonts w:ascii="Calibri" w:hAnsi="Calibri"/>
        </w:rPr>
        <w:t>Non-banded / Sapropelic Coals</w:t>
      </w:r>
    </w:p>
    <w:p>
      <w:pPr>
        <w:pStyle w:val="ListParagraph"/>
        <w:ind w:left="0" w:hanging="0"/>
        <w:jc w:val="both"/>
        <w:rPr>
          <w:rFonts w:ascii="Calibri" w:hAnsi="Calibri"/>
          <w:i/>
          <w:i/>
        </w:rPr>
      </w:pPr>
      <w:r>
        <w:rPr>
          <w:rFonts w:ascii="Calibri" w:hAnsi="Calibri"/>
          <w:i/>
        </w:rPr>
      </w:r>
    </w:p>
    <w:p>
      <w:pPr>
        <w:pStyle w:val="ListParagraph"/>
        <w:ind w:left="0" w:hanging="0"/>
        <w:jc w:val="both"/>
        <w:rPr>
          <w:rFonts w:ascii="Calibri" w:hAnsi="Calibri"/>
        </w:rPr>
      </w:pPr>
      <w:r>
        <w:rPr>
          <w:rFonts w:ascii="Calibri" w:hAnsi="Calibri"/>
        </w:rPr>
        <w:t xml:space="preserve">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 term </w:t>
      </w:r>
      <w:r>
        <w:rPr>
          <w:rFonts w:ascii="Calibri" w:hAnsi="Calibri"/>
          <w:i/>
        </w:rPr>
        <w:t>allochthonous</w:t>
      </w:r>
      <w:r>
        <w:rPr>
          <w:rFonts w:ascii="Calibri" w:hAnsi="Calibri"/>
        </w:rPr>
        <w:t xml:space="preserve"> applies here, meaning redeposited, resistant plant fragments. Sapropelic coals, typically rich in hydrogen, include such categories such as cannel, boghead, torbanite, and various forms of hydro-carbon-yielding oil shales.</w:t>
      </w:r>
    </w:p>
    <w:p>
      <w:pPr>
        <w:pStyle w:val="ListParagraph"/>
        <w:ind w:left="-142" w:hanging="0"/>
        <w:jc w:val="both"/>
        <w:rPr>
          <w:rFonts w:ascii="Calibri" w:hAnsi="Calibri"/>
        </w:rPr>
      </w:pPr>
      <w:r>
        <w:rPr>
          <w:rFonts w:ascii="Calibri" w:hAnsi="Calibri"/>
        </w:rPr>
      </w:r>
    </w:p>
    <w:p>
      <w:pPr>
        <w:pStyle w:val="ListParagraph"/>
        <w:numPr>
          <w:ilvl w:val="0"/>
          <w:numId w:val="2"/>
        </w:numPr>
        <w:ind w:left="851" w:hanging="425"/>
        <w:jc w:val="both"/>
        <w:rPr>
          <w:rFonts w:ascii="Calibri" w:hAnsi="Calibri"/>
        </w:rPr>
      </w:pPr>
      <w:r>
        <w:rPr>
          <w:rFonts w:ascii="Calibri" w:hAnsi="Calibri"/>
          <w:i/>
        </w:rPr>
        <w:t>Cannel</w:t>
      </w:r>
      <w:r>
        <w:rPr>
          <w:rFonts w:ascii="Calibri" w:hAnsi="Calibri"/>
        </w:rPr>
        <w:t xml:space="preserve"> </w:t>
      </w:r>
      <w:r>
        <w:rPr>
          <w:rFonts w:ascii="Calibri" w:hAnsi="Calibri"/>
          <w:i/>
        </w:rPr>
        <w:t>coals</w:t>
      </w:r>
      <w:r>
        <w:rPr>
          <w:rFonts w:ascii="Calibri" w:hAnsi="Calibri"/>
        </w:rPr>
        <w:t xml:space="preserve">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Normal"/>
        <w:jc w:val="both"/>
        <w:rPr>
          <w:rFonts w:ascii="Calibri" w:hAnsi="Calibri"/>
        </w:rPr>
      </w:pPr>
      <w:r>
        <w:rPr>
          <w:rFonts w:ascii="Calibri" w:hAnsi="Calibri"/>
        </w:rPr>
      </w:r>
    </w:p>
    <w:p>
      <w:pPr>
        <w:pStyle w:val="ListParagraph"/>
        <w:numPr>
          <w:ilvl w:val="0"/>
          <w:numId w:val="2"/>
        </w:numPr>
        <w:ind w:left="851" w:hanging="425"/>
        <w:jc w:val="both"/>
        <w:rPr>
          <w:rFonts w:ascii="Calibri" w:hAnsi="Calibri"/>
        </w:rPr>
      </w:pPr>
      <w:r>
        <w:rPr>
          <w:rFonts w:ascii="Calibri" w:hAnsi="Calibri"/>
          <w:i/>
        </w:rPr>
        <w:t>Boghead coals</w:t>
      </w:r>
      <w:r>
        <w:rPr>
          <w:rFonts w:ascii="Calibri" w:hAnsi="Calibri"/>
        </w:rPr>
        <w:t xml:space="preserve">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Contact between boghead and humic coals is usually sharp.</w:t>
      </w:r>
    </w:p>
    <w:p>
      <w:pPr>
        <w:pStyle w:val="ListParagraph"/>
        <w:jc w:val="both"/>
        <w:rPr>
          <w:rFonts w:ascii="Calibri" w:hAnsi="Calibri"/>
        </w:rPr>
      </w:pPr>
      <w:r>
        <w:rPr>
          <w:rFonts w:ascii="Calibri" w:hAnsi="Calibri"/>
        </w:rPr>
      </w:r>
    </w:p>
    <w:p>
      <w:pPr>
        <w:pStyle w:val="ListParagraph"/>
        <w:numPr>
          <w:ilvl w:val="0"/>
          <w:numId w:val="2"/>
        </w:numPr>
        <w:ind w:left="851" w:hanging="425"/>
        <w:jc w:val="both"/>
        <w:rPr>
          <w:rFonts w:ascii="Calibri" w:hAnsi="Calibri"/>
        </w:rPr>
      </w:pPr>
      <w:r>
        <w:rPr>
          <w:rFonts w:ascii="Calibri" w:hAnsi="Calibri"/>
          <w:i/>
        </w:rPr>
        <w:t>Oil Shales</w:t>
      </w:r>
      <w:r>
        <w:rPr>
          <w:rFonts w:ascii="Calibri" w:hAnsi="Calibri"/>
        </w:rPr>
        <w:t xml:space="preserve"> are an extension of cannel and boghead coals. They possess a much higher proportion of mineral matter finely dispersed in the organic matter, thereby imparting to this coal lithotype a much higher density.  Oil shale deposits form in areas marginal to the peat swamps, viz. on the flow of estuaries and lagoons, in shallow, open water with stagnant bottom conditions.</w:t>
      </w:r>
    </w:p>
    <w:p>
      <w:pPr>
        <w:pStyle w:val="ListParagraph"/>
        <w:jc w:val="both"/>
        <w:rPr>
          <w:rFonts w:ascii="Calibri" w:hAnsi="Calibri"/>
        </w:rPr>
      </w:pPr>
      <w:r>
        <w:rPr>
          <w:rFonts w:ascii="Calibri" w:hAnsi="Calibri"/>
        </w:rPr>
      </w:r>
    </w:p>
    <w:p>
      <w:pPr>
        <w:pStyle w:val="Normal"/>
        <w:jc w:val="both"/>
        <w:rPr>
          <w:rFonts w:ascii="Calibri" w:hAnsi="Calibri"/>
        </w:rPr>
      </w:pPr>
      <w:r>
        <w:rPr>
          <w:rFonts w:ascii="Calibri" w:hAnsi="Calibri"/>
        </w:rPr>
        <w:t>In terms of occurrence in southern Africa, torbanites are present and are of economic significance in certain seams.</w:t>
      </w:r>
    </w:p>
    <w:p>
      <w:pPr>
        <w:pStyle w:val="ListParagraph"/>
        <w:jc w:val="both"/>
        <w:rPr>
          <w:rFonts w:ascii="Calibri" w:hAnsi="Calibri"/>
        </w:rPr>
      </w:pPr>
      <w:r>
        <w:rPr>
          <w:rFonts w:ascii="Calibri" w:hAnsi="Calibri"/>
        </w:rPr>
      </w:r>
    </w:p>
    <w:p>
      <w:pPr>
        <w:pStyle w:val="Heading4"/>
        <w:numPr>
          <w:ilvl w:val="3"/>
          <w:numId w:val="11"/>
        </w:numPr>
        <w:rPr>
          <w:rFonts w:ascii="Calibri" w:hAnsi="Calibri"/>
        </w:rPr>
      </w:pPr>
      <w:bookmarkStart w:id="8" w:name="_Toc485644660"/>
      <w:bookmarkEnd w:id="8"/>
      <w:r>
        <w:rPr>
          <w:rFonts w:ascii="Calibri" w:hAnsi="Calibri"/>
        </w:rPr>
        <w:t>Banded / Humic Coals</w:t>
      </w:r>
    </w:p>
    <w:p>
      <w:pPr>
        <w:pStyle w:val="ListParagraph"/>
        <w:ind w:left="-142" w:hanging="0"/>
        <w:jc w:val="both"/>
        <w:rPr>
          <w:rFonts w:ascii="Calibri" w:hAnsi="Calibri" w:cs="Arial" w:cstheme="minorHAnsi"/>
        </w:rPr>
      </w:pPr>
      <w:r>
        <w:rPr>
          <w:rFonts w:cs="Arial" w:cstheme="minorHAnsi" w:ascii="Calibri" w:hAnsi="Calibri"/>
        </w:rPr>
      </w:r>
    </w:p>
    <w:p>
      <w:pPr>
        <w:pStyle w:val="Subtitle"/>
        <w:jc w:val="both"/>
        <w:rPr>
          <w:rFonts w:ascii="Calibri" w:hAnsi="Calibri" w:cs="Arial" w:cstheme="minorHAnsi"/>
          <w:i w:val="false"/>
          <w:i w:val="false"/>
          <w:color w:val="00000A"/>
          <w:spacing w:val="0"/>
          <w:sz w:val="22"/>
          <w:szCs w:val="22"/>
        </w:rPr>
      </w:pPr>
      <w:r>
        <w:rPr>
          <w:rFonts w:cs="Arial" w:ascii="Calibri" w:hAnsi="Calibri" w:cstheme="minorHAnsi"/>
          <w:i w:val="false"/>
          <w:color w:val="00000A"/>
          <w:spacing w:val="0"/>
          <w:sz w:val="22"/>
          <w:szCs w:val="22"/>
        </w:rPr>
        <w:t xml:space="preserve">Humic coal lithotypes are banded with alternating fine layers of varying brightness, and typically form from wood and/or reed/sedge remains (O’Keefe </w:t>
      </w:r>
      <w:r>
        <w:rPr>
          <w:rFonts w:cs="Arial" w:ascii="Calibri" w:hAnsi="Calibri" w:cstheme="minorHAnsi"/>
          <w:color w:val="00000A"/>
          <w:spacing w:val="0"/>
          <w:sz w:val="22"/>
          <w:szCs w:val="22"/>
        </w:rPr>
        <w:t>et al.</w:t>
      </w:r>
      <w:r>
        <w:rPr>
          <w:rFonts w:cs="Arial" w:ascii="Calibri" w:hAnsi="Calibri" w:cstheme="minorHAnsi"/>
          <w:i w:val="false"/>
          <w:color w:val="00000A"/>
          <w:spacing w:val="0"/>
          <w:sz w:val="22"/>
          <w:szCs w:val="22"/>
        </w:rPr>
        <w:t xml:space="preserve">, 2013). They represent the accumulation of abundant humic matter within the original peat swamp or in very close proximity, thus being </w:t>
      </w:r>
      <w:r>
        <w:rPr>
          <w:rFonts w:cs="Arial" w:ascii="Calibri" w:hAnsi="Calibri" w:cstheme="minorHAnsi"/>
          <w:color w:val="00000A"/>
          <w:spacing w:val="0"/>
          <w:sz w:val="22"/>
          <w:szCs w:val="22"/>
        </w:rPr>
        <w:t>autochthonous.</w:t>
      </w:r>
      <w:r>
        <w:rPr>
          <w:rFonts w:cs="Arial" w:ascii="Calibri" w:hAnsi="Calibri" w:cstheme="minorHAnsi"/>
          <w:i w:val="false"/>
          <w:color w:val="00000A"/>
          <w:spacing w:val="0"/>
          <w:sz w:val="22"/>
          <w:szCs w:val="22"/>
        </w:rPr>
        <w:t xml:space="preserve">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ListParagraph"/>
        <w:ind w:left="-567" w:hanging="0"/>
        <w:jc w:val="both"/>
        <w:rPr>
          <w:rFonts w:ascii="Calibri" w:hAnsi="Calibri"/>
          <w:b/>
          <w:b/>
          <w:highlight w:val="yellow"/>
        </w:rPr>
      </w:pPr>
      <w:r>
        <w:rPr>
          <w:rFonts w:ascii="Calibri" w:hAnsi="Calibri"/>
          <w:b/>
          <w:highlight w:val="yellow"/>
        </w:rPr>
      </w:r>
    </w:p>
    <w:p>
      <w:pPr>
        <w:pStyle w:val="ListParagraph"/>
        <w:ind w:left="-567" w:hanging="0"/>
        <w:jc w:val="both"/>
        <w:rPr>
          <w:rFonts w:ascii="Calibri" w:hAnsi="Calibri"/>
          <w:b/>
          <w:b/>
          <w:highlight w:val="yellow"/>
        </w:rPr>
      </w:pPr>
      <w:r>
        <w:rPr>
          <w:rFonts w:ascii="Calibri" w:hAnsi="Calibri"/>
          <w:b/>
          <w:highlight w:val="yellow"/>
        </w:rPr>
      </w:r>
    </w:p>
    <w:p>
      <w:pPr>
        <w:pStyle w:val="ListParagraph"/>
        <w:ind w:left="0" w:hanging="0"/>
        <w:jc w:val="both"/>
        <w:rPr>
          <w:rFonts w:ascii="Calibri" w:hAnsi="Calibri"/>
          <w:b/>
          <w:b/>
          <w:sz w:val="20"/>
          <w:szCs w:val="20"/>
        </w:rPr>
      </w:pPr>
      <w:r>
        <w:rPr>
          <w:rFonts w:ascii="Calibri" w:hAnsi="Calibri"/>
          <w:b/>
          <w:sz w:val="20"/>
          <w:szCs w:val="20"/>
        </w:rPr>
        <w:t xml:space="preserve">Figure. 2.2: The major coal-forming facies and their characteristics in a typical Gondwana peat swamp (after Diessel, 1965, modified from </w:t>
      </w:r>
      <w:r>
        <w:rPr>
          <w:rFonts w:cs="Arial" w:ascii="Calibri" w:hAnsi="Calibri"/>
          <w:b/>
          <w:sz w:val="20"/>
          <w:szCs w:val="20"/>
        </w:rPr>
        <w:t>Falcon and Snyman, 1986)</w:t>
      </w:r>
    </w:p>
    <w:p>
      <w:pPr>
        <w:pStyle w:val="Normal"/>
        <w:jc w:val="both"/>
        <w:rPr>
          <w:rFonts w:ascii="Calibri" w:hAnsi="Calibri" w:cs="Arial" w:cstheme="minorHAnsi"/>
        </w:rPr>
      </w:pPr>
      <w:r>
        <w:rPr>
          <w:rFonts w:cs="Arial" w:cstheme="minorHAnsi"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Normal"/>
        <w:jc w:val="bot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Bright Coal (Vitrain)</w:t>
      </w:r>
      <w:r>
        <w:rPr>
          <w:rFonts w:cs="Arial" w:ascii="Calibri" w:hAnsi="Calibri"/>
        </w:rPr>
        <w:t xml:space="preserve">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ListParagraph"/>
        <w:ind w:left="851" w:hanging="0"/>
        <w:jc w:val="bot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 xml:space="preserve">Banded Bright Coal (Clarain) </w:t>
      </w:r>
      <w:r>
        <w:rPr>
          <w:rFonts w:cs="Arial" w:ascii="Calibri" w:hAnsi="Calibri"/>
        </w:rPr>
        <w:t>–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ListParagrap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 xml:space="preserve">Banded Coal (Duroclarain) </w:t>
      </w:r>
      <w:r>
        <w:rPr>
          <w:rFonts w:cs="Arial" w:ascii="Calibri" w:hAnsi="Calibri"/>
        </w:rPr>
        <w:t>– dull and bright bands (all less than 5 mm thick) in approximately equal proportions (i.e. dull and bright bands representing 40-60% each). This lithoband is transitional in its characteristics and composition between clarain and durain, with the clarain characteristically slightly more dominant.</w:t>
      </w:r>
    </w:p>
    <w:p>
      <w:pPr>
        <w:pStyle w:val="ListParagraph"/>
        <w:jc w:val="bot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Banded Dull Coal (Clarodurain)</w:t>
      </w:r>
      <w:r>
        <w:rPr>
          <w:rFonts w:cs="Arial" w:ascii="Calibri" w:hAnsi="Calibri"/>
        </w:rPr>
        <w:t xml:space="preserve"> – mainly dull coal with less than 40% bands of bright coal (all bands less than 5 mm thick); the fracture is uneven. This lithoband is transitional between clarain and durain, but in this case the durainous characteristics are marginally dominant.</w:t>
      </w:r>
    </w:p>
    <w:p>
      <w:pPr>
        <w:pStyle w:val="Normal"/>
        <w:jc w:val="bot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 xml:space="preserve">Dull Coal (Durain) – </w:t>
      </w:r>
      <w:r>
        <w:rPr>
          <w:rFonts w:cs="Arial" w:ascii="Calibri" w:hAnsi="Calibri"/>
        </w:rPr>
        <w:t>matte lustre and tough with uneven fracture. Bright coal in thin bands up to 5 mm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ListParagraph"/>
        <w:ind w:left="851" w:hanging="0"/>
        <w:jc w:val="both"/>
        <w:rPr>
          <w:rFonts w:ascii="Calibri" w:hAnsi="Calibri" w:cs="Arial"/>
        </w:rPr>
      </w:pPr>
      <w:r>
        <w:rPr>
          <w:rFonts w:cs="Arial" w:ascii="Calibri" w:hAnsi="Calibri"/>
        </w:rPr>
      </w:r>
    </w:p>
    <w:p>
      <w:pPr>
        <w:pStyle w:val="ListParagraph"/>
        <w:numPr>
          <w:ilvl w:val="0"/>
          <w:numId w:val="3"/>
        </w:numPr>
        <w:ind w:left="851" w:hanging="425"/>
        <w:jc w:val="both"/>
        <w:rPr>
          <w:rFonts w:ascii="Calibri" w:hAnsi="Calibri" w:cs="Arial"/>
        </w:rPr>
      </w:pPr>
      <w:r>
        <w:rPr>
          <w:rFonts w:cs="Arial" w:ascii="Calibri" w:hAnsi="Calibri"/>
          <w:i/>
        </w:rPr>
        <w:t xml:space="preserve">Fibrous Coal (Fusain) </w:t>
      </w:r>
      <w:r>
        <w:rPr>
          <w:rFonts w:cs="Arial" w:ascii="Calibri" w:hAnsi="Calibri"/>
        </w:rPr>
        <w:t>– dull coal with a satin lustre and it is 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extended period of time prior to submergence.</w:t>
      </w:r>
    </w:p>
    <w:p>
      <w:pPr>
        <w:pStyle w:val="ListParagraph"/>
        <w:ind w:left="851" w:hanging="0"/>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When more than 20% inorganic constituents (minerals) are present, the following lithotypes are used:</w:t>
      </w:r>
    </w:p>
    <w:p>
      <w:pPr>
        <w:pStyle w:val="Normal"/>
        <w:jc w:val="both"/>
        <w:rPr>
          <w:rFonts w:ascii="Calibri" w:hAnsi="Calibri" w:cs="Arial"/>
        </w:rPr>
      </w:pPr>
      <w:r>
        <w:rPr>
          <w:rFonts w:cs="Arial" w:ascii="Calibri" w:hAnsi="Calibri"/>
        </w:rPr>
      </w:r>
    </w:p>
    <w:p>
      <w:pPr>
        <w:pStyle w:val="ListParagraph"/>
        <w:numPr>
          <w:ilvl w:val="0"/>
          <w:numId w:val="12"/>
        </w:numPr>
        <w:ind w:left="851" w:hanging="425"/>
        <w:jc w:val="both"/>
        <w:rPr>
          <w:rFonts w:ascii="Calibri" w:hAnsi="Calibri" w:cs="Arial"/>
        </w:rPr>
      </w:pPr>
      <w:r>
        <w:rPr>
          <w:rFonts w:cs="Arial" w:ascii="Calibri" w:hAnsi="Calibri"/>
          <w:i/>
        </w:rPr>
        <w:t>Shaly Coal</w:t>
      </w:r>
      <w:r>
        <w:rPr>
          <w:rFonts w:cs="Arial" w:ascii="Calibri" w:hAnsi="Calibri"/>
        </w:rPr>
        <w:t xml:space="preserve"> – an intimate mixture of coal and between 20 to 60% clay minerals, resulting in a dull appearance with a brown streak. Alternating laminae (all &gt;5mm thick) of coal and 20-60% shale are included.</w:t>
      </w:r>
    </w:p>
    <w:p>
      <w:pPr>
        <w:pStyle w:val="ListParagraph"/>
        <w:ind w:left="851" w:hanging="0"/>
        <w:jc w:val="both"/>
        <w:rPr>
          <w:rFonts w:ascii="Calibri" w:hAnsi="Calibri" w:cs="Arial"/>
        </w:rPr>
      </w:pPr>
      <w:r>
        <w:rPr>
          <w:rFonts w:cs="Arial" w:ascii="Calibri" w:hAnsi="Calibri"/>
        </w:rPr>
      </w:r>
    </w:p>
    <w:p>
      <w:pPr>
        <w:pStyle w:val="ListParagraph"/>
        <w:numPr>
          <w:ilvl w:val="0"/>
          <w:numId w:val="12"/>
        </w:numPr>
        <w:ind w:left="851" w:hanging="425"/>
        <w:jc w:val="both"/>
        <w:rPr>
          <w:rFonts w:ascii="Calibri" w:hAnsi="Calibri" w:cs="Arial"/>
        </w:rPr>
      </w:pPr>
      <w:r>
        <w:rPr>
          <w:rFonts w:cs="Arial" w:ascii="Calibri" w:hAnsi="Calibri"/>
          <w:i/>
        </w:rPr>
        <w:t xml:space="preserve">Coaly Shale – </w:t>
      </w:r>
      <w:r>
        <w:rPr>
          <w:rFonts w:cs="Arial" w:ascii="Calibri" w:hAnsi="Calibri"/>
        </w:rPr>
        <w:t>a shale containing less than 40% thin coal bands or more than 60% shale.</w:t>
      </w:r>
    </w:p>
    <w:p>
      <w:pPr>
        <w:pStyle w:val="ListParagraph"/>
        <w:jc w:val="both"/>
        <w:rPr>
          <w:rFonts w:ascii="Calibri" w:hAnsi="Calibri" w:cs="Arial"/>
        </w:rPr>
      </w:pPr>
      <w:r>
        <w:rPr>
          <w:rFonts w:cs="Arial" w:ascii="Calibri" w:hAnsi="Calibri"/>
        </w:rPr>
      </w:r>
    </w:p>
    <w:p>
      <w:pPr>
        <w:pStyle w:val="ListParagraph"/>
        <w:numPr>
          <w:ilvl w:val="0"/>
          <w:numId w:val="12"/>
        </w:numPr>
        <w:ind w:left="851" w:hanging="425"/>
        <w:jc w:val="both"/>
        <w:rPr>
          <w:rFonts w:ascii="Calibri" w:hAnsi="Calibri" w:cs="Arial"/>
        </w:rPr>
      </w:pPr>
      <w:r>
        <w:rPr>
          <w:rFonts w:cs="Arial" w:ascii="Calibri" w:hAnsi="Calibri"/>
          <w:i/>
        </w:rPr>
        <w:t>Carbonaceous Shale –</w:t>
      </w:r>
      <w:r>
        <w:rPr>
          <w:rFonts w:cs="Arial" w:ascii="Calibri" w:hAnsi="Calibri"/>
        </w:rPr>
        <w:t xml:space="preserve"> a shale containing less than 40% disseminated carbonaceous matter and no discrete coal bands.</w:t>
      </w:r>
    </w:p>
    <w:p>
      <w:pPr>
        <w:pStyle w:val="ListParagraph"/>
        <w:jc w:val="both"/>
        <w:rPr>
          <w:rFonts w:ascii="Calibri" w:hAnsi="Calibri" w:cs="Arial"/>
        </w:rPr>
      </w:pPr>
      <w:r>
        <w:rPr>
          <w:rFonts w:cs="Arial" w:ascii="Calibri" w:hAnsi="Calibri"/>
        </w:rPr>
      </w:r>
    </w:p>
    <w:p>
      <w:pPr>
        <w:pStyle w:val="ListParagraph"/>
        <w:numPr>
          <w:ilvl w:val="0"/>
          <w:numId w:val="12"/>
        </w:numPr>
        <w:ind w:left="851" w:hanging="425"/>
        <w:jc w:val="both"/>
        <w:rPr>
          <w:rFonts w:ascii="Calibri" w:hAnsi="Calibri" w:cs="Arial"/>
        </w:rPr>
      </w:pPr>
      <w:r>
        <w:rPr>
          <w:rFonts w:cs="Arial" w:ascii="Calibri" w:hAnsi="Calibri"/>
          <w:i/>
        </w:rPr>
        <w:t>Shale, mudstone</w:t>
      </w:r>
      <w:r>
        <w:rPr>
          <w:rFonts w:cs="Arial" w:ascii="Calibri" w:hAnsi="Calibri"/>
        </w:rPr>
        <w:t>, and so on – any sediment containing less than 10% carbonaceous matter.</w:t>
      </w:r>
    </w:p>
    <w:p>
      <w:pPr>
        <w:pStyle w:val="Normal"/>
        <w:jc w:val="both"/>
        <w:rPr>
          <w:rFonts w:ascii="Calibri" w:hAnsi="Calibri" w:cs="Arial" w:cstheme="minorHAnsi"/>
        </w:rPr>
      </w:pPr>
      <w:r>
        <w:rPr>
          <w:rFonts w:cs="Arial" w:cstheme="minorHAnsi" w:ascii="Calibri" w:hAnsi="Calibri"/>
        </w:rPr>
      </w:r>
    </w:p>
    <w:p>
      <w:pPr>
        <w:pStyle w:val="Normal"/>
        <w:jc w:val="center"/>
        <w:rPr>
          <w:rFonts w:ascii="Calibri" w:hAnsi="Calibri" w:cs="Arial" w:cstheme="minorHAnsi"/>
        </w:rPr>
      </w:pPr>
      <w:r>
        <w:rPr>
          <w:rFonts w:cs="Arial" w:cstheme="minorHAnsi" w:ascii="Calibri" w:hAnsi="Calibri"/>
        </w:rPr>
      </w:r>
    </w:p>
    <w:p>
      <w:pPr>
        <w:pStyle w:val="Normal"/>
        <w:ind w:left="-142" w:hanging="0"/>
        <w:jc w:val="both"/>
        <w:rPr>
          <w:rFonts w:ascii="Calibri" w:hAnsi="Calibri"/>
          <w:b/>
          <w:b/>
          <w:sz w:val="20"/>
          <w:szCs w:val="20"/>
        </w:rPr>
      </w:pPr>
      <w:r>
        <w:rPr>
          <w:rFonts w:ascii="Calibri" w:hAnsi="Calibri"/>
          <w:b/>
          <w:sz w:val="20"/>
          <w:szCs w:val="20"/>
        </w:rPr>
        <w:t xml:space="preserve">Figure 2.3:  The development pf a peat swamp with changing facies conditions (for example, rise in water levels) (modified from </w:t>
      </w:r>
      <w:r>
        <w:rPr>
          <w:rFonts w:cs="Arial" w:ascii="Calibri" w:hAnsi="Calibri"/>
          <w:b/>
          <w:sz w:val="20"/>
          <w:szCs w:val="20"/>
        </w:rPr>
        <w:t>Falcon and Snyman, 1986)</w:t>
      </w:r>
    </w:p>
    <w:p>
      <w:pPr>
        <w:pStyle w:val="Normal"/>
        <w:jc w:val="both"/>
        <w:rPr>
          <w:rFonts w:ascii="Calibri" w:hAnsi="Calibri"/>
          <w:b/>
          <w:b/>
        </w:rPr>
      </w:pPr>
      <w:r>
        <w:rPr>
          <w:rFonts w:ascii="Calibri" w:hAnsi="Calibri"/>
          <w:b/>
        </w:rPr>
      </w:r>
    </w:p>
    <w:p>
      <w:pPr>
        <w:pStyle w:val="ListParagraph"/>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In terms of global distribution most coals formed under terrestrial conditions, and are banded. These are therefore termed humic, including the majority of coals from southern Africa.</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As the petrographic assessment of coal is based upon a fundamental understanding of the basic microscopic unit, i.e. the </w:t>
      </w:r>
      <w:r>
        <w:rPr>
          <w:rFonts w:cs="Arial" w:ascii="Calibri" w:hAnsi="Calibri"/>
          <w:i/>
        </w:rPr>
        <w:t>maceral</w:t>
      </w:r>
      <w:r>
        <w:rPr>
          <w:rFonts w:cs="Arial" w:ascii="Calibri" w:hAnsi="Calibri"/>
        </w:rPr>
        <w:t xml:space="preserve"> composition of coal, this then becomes the foundation for the microscopic evaluation of coal. Macerals are therefore the most important target for the standardisation of petrographic terminology, nomenclature, and interpretation in order to adequately address the coal value chain (origin and formation to coal utilisation).</w:t>
      </w:r>
    </w:p>
    <w:p>
      <w:pPr>
        <w:pStyle w:val="Normal"/>
        <w:jc w:val="both"/>
        <w:rPr>
          <w:rFonts w:ascii="Calibri" w:hAnsi="Calibri"/>
        </w:rPr>
      </w:pPr>
      <w:r>
        <w:rPr>
          <w:rFonts w:ascii="Calibri" w:hAnsi="Calibri"/>
        </w:rPr>
      </w:r>
    </w:p>
    <w:p>
      <w:pPr>
        <w:pStyle w:val="Heading3"/>
        <w:numPr>
          <w:ilvl w:val="2"/>
          <w:numId w:val="11"/>
        </w:numPr>
        <w:rPr>
          <w:rFonts w:ascii="Calibri" w:hAnsi="Calibri"/>
        </w:rPr>
      </w:pPr>
      <w:bookmarkStart w:id="9" w:name="_Toc485644661"/>
      <w:bookmarkEnd w:id="9"/>
      <w:r>
        <w:rPr>
          <w:rFonts w:ascii="Calibri" w:hAnsi="Calibri"/>
        </w:rPr>
        <w:t>Microscopic Constituents of Coal</w:t>
      </w:r>
    </w:p>
    <w:p>
      <w:pPr>
        <w:pStyle w:val="Normal"/>
        <w:ind w:left="-142" w:hanging="0"/>
        <w:jc w:val="both"/>
        <w:rPr>
          <w:rFonts w:ascii="Calibri" w:hAnsi="Calibri"/>
          <w:b/>
          <w:b/>
        </w:rPr>
      </w:pPr>
      <w:r>
        <w:rPr>
          <w:rFonts w:ascii="Calibri" w:hAnsi="Calibri"/>
          <w:b/>
        </w:rPr>
      </w:r>
    </w:p>
    <w:p>
      <w:pPr>
        <w:pStyle w:val="Normal"/>
        <w:jc w:val="both"/>
        <w:rPr>
          <w:rFonts w:ascii="Calibri" w:hAnsi="Calibri"/>
        </w:rPr>
      </w:pPr>
      <w:r>
        <w:rPr>
          <w:rFonts w:ascii="Calibri" w:hAnsi="Calibri"/>
        </w:rPr>
        <w:t xml:space="preserve">Microscopically, coal is composed of a number of discrete organic constituents termed </w:t>
      </w:r>
      <w:r>
        <w:rPr>
          <w:rFonts w:ascii="Calibri" w:hAnsi="Calibri"/>
          <w:i/>
        </w:rPr>
        <w:t>macerals</w:t>
      </w:r>
      <w:r>
        <w:rPr>
          <w:rFonts w:ascii="Calibri" w:hAnsi="Calibri"/>
        </w:rPr>
        <w:t xml:space="preserve">. These are analogous to their inorganic counterparts, </w:t>
      </w:r>
      <w:r>
        <w:rPr>
          <w:rFonts w:ascii="Calibri" w:hAnsi="Calibri"/>
          <w:i/>
        </w:rPr>
        <w:t xml:space="preserve">minerals, </w:t>
      </w:r>
      <w:r>
        <w:rPr>
          <w:rFonts w:ascii="Calibri" w:hAnsi="Calibri"/>
        </w:rPr>
        <w:t>but differ in that macerals consist of mixtures of organic compounds without an orderly internal structure</w:t>
      </w:r>
      <w:r>
        <w:rPr>
          <w:rFonts w:ascii="Calibri" w:hAnsi="Calibri"/>
          <w:i/>
        </w:rPr>
        <w:t>.</w:t>
      </w:r>
      <w:r>
        <w:rPr>
          <w:rFonts w:ascii="Calibri" w:hAnsi="Calibri"/>
        </w:rPr>
        <w:t xml:space="preserve"> Both the organic and inorganic components can range in size from 1 to over 200 </w:t>
      </w:r>
      <w:r>
        <w:rPr>
          <w:rFonts w:cs="Arial" w:ascii="Calibri" w:hAnsi="Calibri" w:cstheme="minorHAnsi"/>
        </w:rPr>
        <w:t>µ</w:t>
      </w:r>
      <w:r>
        <w:rPr>
          <w:rFonts w:ascii="Calibri" w:hAnsi="Calibri"/>
        </w:rPr>
        <w:t xml:space="preserve">m (or more, if they occur in thicker homogenous bands). Maceral and mineral associations are termed microlithotypes. Coal type (maceral composition), rank (degree of coalification, and grade (degree of mineral inclusions) are all assessed microscopically. </w:t>
      </w:r>
    </w:p>
    <w:p>
      <w:pPr>
        <w:pStyle w:val="Normal"/>
        <w:jc w:val="both"/>
        <w:rPr>
          <w:rFonts w:ascii="Calibri" w:hAnsi="Calibri"/>
        </w:rPr>
      </w:pPr>
      <w:r>
        <w:rPr>
          <w:rFonts w:ascii="Calibri" w:hAnsi="Calibri"/>
        </w:rPr>
      </w:r>
    </w:p>
    <w:p>
      <w:pPr>
        <w:pStyle w:val="Heading4"/>
        <w:numPr>
          <w:ilvl w:val="3"/>
          <w:numId w:val="11"/>
        </w:numPr>
        <w:rPr>
          <w:rFonts w:ascii="Calibri" w:hAnsi="Calibri"/>
        </w:rPr>
      </w:pPr>
      <w:bookmarkStart w:id="10" w:name="_Toc485644662"/>
      <w:bookmarkEnd w:id="10"/>
      <w:r>
        <w:rPr>
          <w:rFonts w:ascii="Calibri" w:hAnsi="Calibri"/>
        </w:rPr>
        <w:t>Maceral formation (type)</w:t>
      </w:r>
    </w:p>
    <w:p>
      <w:pPr>
        <w:pStyle w:val="ListParagraph"/>
        <w:ind w:left="0" w:hanging="0"/>
        <w:jc w:val="both"/>
        <w:rPr>
          <w:rFonts w:ascii="Calibri" w:hAnsi="Calibri"/>
          <w:i/>
          <w:i/>
        </w:rPr>
      </w:pPr>
      <w:r>
        <w:rPr>
          <w:rFonts w:ascii="Calibri" w:hAnsi="Calibri"/>
          <w:i/>
        </w:rPr>
      </w:r>
    </w:p>
    <w:p>
      <w:pPr>
        <w:pStyle w:val="ListParagraph"/>
        <w:ind w:left="0" w:hanging="0"/>
        <w:jc w:val="both"/>
        <w:rPr>
          <w:rFonts w:ascii="Calibri" w:hAnsi="Calibri"/>
        </w:rPr>
      </w:pPr>
      <w:r>
        <w:rPr>
          <w:rFonts w:ascii="Calibri" w:hAnsi="Calibri"/>
        </w:rPr>
        <w:t>Macerals are entities which evolved from different organs or tissues of the original plant material during 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The formation of the macerals during the early stage of peat accumulation is dependent on a number of factors including type of plant community, tectonic and climatic controls, ecological conditions, acidity (pH), and redox of Eh value. The latter plays one of the most important roles in the degradation of plant matter. For example, in aerobic conditions with unlimited access of oxygen, virtually complete </w:t>
      </w:r>
      <w:r>
        <w:rPr>
          <w:rFonts w:ascii="Calibri" w:hAnsi="Calibri"/>
          <w:i/>
        </w:rPr>
        <w:t>disintegration</w:t>
      </w:r>
      <w:r>
        <w:rPr>
          <w:rFonts w:ascii="Calibri" w:hAnsi="Calibri"/>
        </w:rPr>
        <w:t xml:space="preserve"> of plant matter takes place and very little residue remains. In limited air (anaerobic conditions), however, such as under cover of leaf mould, </w:t>
      </w:r>
      <w:r>
        <w:rPr>
          <w:rFonts w:ascii="Calibri" w:hAnsi="Calibri"/>
          <w:i/>
        </w:rPr>
        <w:t xml:space="preserve">mouldering </w:t>
      </w:r>
      <w:r>
        <w:rPr>
          <w:rFonts w:ascii="Calibri" w:hAnsi="Calibri"/>
        </w:rPr>
        <w:t xml:space="preserve">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fusinitization, and results in the formation of semifusinite and / or fusinite (Fig. 2.4). </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If a peat is partially submerged, oxygen supply is restricted and </w:t>
      </w:r>
      <w:r>
        <w:rPr>
          <w:rFonts w:ascii="Calibri" w:hAnsi="Calibri"/>
          <w:i/>
        </w:rPr>
        <w:t>peatification</w:t>
      </w:r>
      <w:r>
        <w:rPr>
          <w:rFonts w:ascii="Calibri" w:hAnsi="Calibri"/>
        </w:rPr>
        <w:t xml:space="preserve">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the storage of foods (such as sugars and starches),and ultimately lignin and cellulose which comprise the cell walls. The result of progressive peatification is the:</w:t>
      </w:r>
    </w:p>
    <w:p>
      <w:pPr>
        <w:pStyle w:val="ListParagraph"/>
        <w:ind w:left="0" w:hanging="0"/>
        <w:jc w:val="both"/>
        <w:rPr>
          <w:rFonts w:ascii="Calibri" w:hAnsi="Calibri"/>
        </w:rPr>
      </w:pPr>
      <w:r>
        <w:rPr>
          <w:rFonts w:ascii="Calibri" w:hAnsi="Calibri"/>
        </w:rPr>
      </w:r>
    </w:p>
    <w:p>
      <w:pPr>
        <w:pStyle w:val="ListParagraph"/>
        <w:ind w:left="284" w:hanging="0"/>
        <w:jc w:val="both"/>
        <w:rPr>
          <w:rFonts w:ascii="Calibri" w:hAnsi="Calibri"/>
        </w:rPr>
      </w:pPr>
      <w:r>
        <w:rPr>
          <w:rFonts w:ascii="Calibri" w:hAnsi="Calibri"/>
        </w:rPr>
        <w:t xml:space="preserve">(i) gradual enrichment of the woody cell wall matter, </w:t>
      </w:r>
    </w:p>
    <w:p>
      <w:pPr>
        <w:pStyle w:val="ListParagraph"/>
        <w:ind w:left="284" w:hanging="0"/>
        <w:jc w:val="both"/>
        <w:rPr>
          <w:rFonts w:ascii="Calibri" w:hAnsi="Calibri"/>
        </w:rPr>
      </w:pPr>
      <w:r>
        <w:rPr>
          <w:rFonts w:ascii="Calibri" w:hAnsi="Calibri"/>
        </w:rPr>
        <w:t xml:space="preserve">(ii) the preservation of the more resistant parts of plants, such as cuticles, spore or pollen walls and bark, and </w:t>
      </w:r>
    </w:p>
    <w:p>
      <w:pPr>
        <w:pStyle w:val="ListParagraph"/>
        <w:ind w:left="284" w:hanging="0"/>
        <w:jc w:val="both"/>
        <w:rPr>
          <w:rFonts w:ascii="Calibri" w:hAnsi="Calibri"/>
        </w:rPr>
      </w:pPr>
      <w:r>
        <w:rPr>
          <w:rFonts w:ascii="Calibri" w:hAnsi="Calibri"/>
        </w:rPr>
        <w:t xml:space="preserve">(iii) the production of a gel, which is a precipitate of the humic acids in solution. </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The successive processes of humification, gelification, and vitrinization converts the vegetable tissues into huminite and later vitrinite (Stach </w:t>
      </w:r>
      <w:r>
        <w:rPr>
          <w:rFonts w:ascii="Calibri" w:hAnsi="Calibri"/>
          <w:i/>
        </w:rPr>
        <w:t>et al.,</w:t>
      </w:r>
      <w:r>
        <w:rPr>
          <w:rFonts w:ascii="Calibri" w:hAnsi="Calibri"/>
        </w:rPr>
        <w:t xml:space="preserve"> 1982). </w:t>
      </w:r>
    </w:p>
    <w:p>
      <w:pPr>
        <w:pStyle w:val="ListParagraph"/>
        <w:ind w:left="0" w:hanging="0"/>
        <w:jc w:val="both"/>
        <w:rPr>
          <w:rFonts w:ascii="Calibri" w:hAnsi="Calibri"/>
        </w:rPr>
      </w:pPr>
      <w:r>
        <w:rPr>
          <w:rFonts w:ascii="Calibri" w:hAnsi="Calibri"/>
        </w:rPr>
      </w:r>
    </w:p>
    <w:p>
      <w:pPr>
        <w:pStyle w:val="ListParagraph"/>
        <w:spacing w:lineRule="auto" w:line="360"/>
        <w:ind w:left="-142" w:hanging="0"/>
        <w:rPr>
          <w:sz w:val="20"/>
          <w:szCs w:val="20"/>
        </w:rPr>
      </w:pPr>
      <w:r>
        <w:rPr>
          <w:sz w:val="20"/>
          <w:szCs w:val="20"/>
        </w:rPr>
      </w:r>
    </w:p>
    <w:p>
      <w:pPr>
        <w:pStyle w:val="ListParagraph"/>
        <w:ind w:left="0" w:hanging="0"/>
        <w:rPr>
          <w:b/>
          <w:b/>
          <w:color w:val="FF0000"/>
          <w:sz w:val="20"/>
          <w:szCs w:val="20"/>
        </w:rPr>
      </w:pPr>
      <w:r>
        <w:rPr>
          <w:b/>
          <w:sz w:val="20"/>
          <w:szCs w:val="20"/>
        </w:rPr>
        <w:t xml:space="preserve">Figure 2.4: Multiple and convoluted pathways to form coal macerals. (Modified after Hower </w:t>
      </w:r>
      <w:r>
        <w:rPr>
          <w:b/>
          <w:i/>
          <w:sz w:val="20"/>
          <w:szCs w:val="20"/>
        </w:rPr>
        <w:t>et al</w:t>
      </w:r>
      <w:r>
        <w:rPr>
          <w:b/>
          <w:sz w:val="20"/>
          <w:szCs w:val="20"/>
        </w:rPr>
        <w:t xml:space="preserve">., 2013) </w:t>
      </w:r>
    </w:p>
    <w:p>
      <w:pPr>
        <w:pStyle w:val="ListParagraph"/>
        <w:spacing w:lineRule="auto" w:line="360"/>
        <w:ind w:left="-142" w:hanging="0"/>
        <w:rPr>
          <w:sz w:val="20"/>
          <w:szCs w:val="20"/>
        </w:rPr>
      </w:pPr>
      <w:r>
        <w:rPr>
          <w:sz w:val="20"/>
          <w:szCs w:val="20"/>
        </w:rPr>
      </w:r>
    </w:p>
    <w:p>
      <w:pPr>
        <w:pStyle w:val="ListParagraph"/>
        <w:ind w:left="0" w:hanging="0"/>
        <w:rPr>
          <w:rFonts w:ascii="Calibri" w:hAnsi="Calibri"/>
          <w:highlight w:val="yellow"/>
        </w:rPr>
      </w:pPr>
      <w:r>
        <w:rPr>
          <w:rFonts w:ascii="Calibri" w:hAnsi="Calibri"/>
          <w:highlight w:val="yellow"/>
        </w:rPr>
      </w:r>
    </w:p>
    <w:p>
      <w:pPr>
        <w:pStyle w:val="ListParagraph"/>
        <w:ind w:left="0" w:hanging="0"/>
        <w:jc w:val="both"/>
        <w:rPr>
          <w:rFonts w:ascii="Calibri" w:hAnsi="Calibri"/>
        </w:rPr>
      </w:pPr>
      <w:r>
        <w:rPr>
          <w:rFonts w:ascii="Calibri" w:hAnsi="Calibri"/>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r>
        <w:rPr>
          <w:rFonts w:ascii="Calibri" w:hAnsi="Calibri"/>
          <w:i/>
        </w:rPr>
        <w:t>et al.</w:t>
      </w:r>
      <w:r>
        <w:rPr>
          <w:rFonts w:ascii="Calibri" w:hAnsi="Calibri"/>
        </w:rPr>
        <w:t xml:space="preserve"> (2013) (Fig. 2.4) and O’Keefe </w:t>
      </w:r>
      <w:r>
        <w:rPr>
          <w:rFonts w:ascii="Calibri" w:hAnsi="Calibri"/>
          <w:i/>
        </w:rPr>
        <w:t>et al.,</w:t>
      </w:r>
      <w:r>
        <w:rPr>
          <w:rFonts w:ascii="Calibri" w:hAnsi="Calibri"/>
        </w:rPr>
        <w:t xml:space="preserve"> (2013).</w:t>
      </w:r>
    </w:p>
    <w:p>
      <w:pPr>
        <w:pStyle w:val="ListParagraph"/>
        <w:spacing w:lineRule="auto" w:line="360"/>
        <w:ind w:left="-142" w:hanging="0"/>
        <w:rPr>
          <w:sz w:val="20"/>
          <w:szCs w:val="20"/>
        </w:rPr>
      </w:pPr>
      <w:r>
        <w:rPr>
          <w:sz w:val="20"/>
          <w:szCs w:val="20"/>
        </w:rPr>
      </w:r>
    </w:p>
    <w:p>
      <w:pPr>
        <w:pStyle w:val="ListParagraph"/>
        <w:ind w:left="0" w:hanging="0"/>
        <w:jc w:val="both"/>
        <w:rPr>
          <w:rFonts w:ascii="Calibri" w:hAnsi="Calibri"/>
        </w:rPr>
      </w:pPr>
      <w:r>
        <w:rPr>
          <w:rFonts w:ascii="Calibri" w:hAnsi="Calibri"/>
        </w:rPr>
        <w:t xml:space="preserve">Kerogen forms after thousands of years from the decaying organic matter, which, with further burial and temperature increases, breaks down into shorter chain carbon molecules (Arnold, 2013). Once the accumulating plant matter is buried at depths below 1 m, processes of “biochemical degradation” cease to function and the chemico-physical changes of “geochemical coalification” or maturation take over. As per ISO (2005), once the inherent moisture content is &gt;75%, the compressed, buried peat is generally referred to as coal. </w:t>
      </w:r>
    </w:p>
    <w:p>
      <w:pPr>
        <w:pStyle w:val="ListParagraph"/>
        <w:ind w:left="0" w:hanging="0"/>
        <w:jc w:val="both"/>
        <w:rPr>
          <w:rFonts w:ascii="Calibri" w:hAnsi="Calibri"/>
        </w:rPr>
      </w:pPr>
      <w:r>
        <w:rPr>
          <w:rFonts w:ascii="Calibri" w:hAnsi="Calibri"/>
        </w:rPr>
      </w:r>
    </w:p>
    <w:p>
      <w:pPr>
        <w:pStyle w:val="Heading4"/>
        <w:numPr>
          <w:ilvl w:val="3"/>
          <w:numId w:val="11"/>
        </w:numPr>
        <w:rPr/>
      </w:pPr>
      <w:bookmarkStart w:id="11" w:name="_Toc485644663"/>
      <w:r>
        <w:rPr>
          <w:rFonts w:ascii="Calibri" w:hAnsi="Calibri"/>
        </w:rPr>
        <w:t>Coalification</w:t>
      </w:r>
      <w:bookmarkEnd w:id="11"/>
      <w:r>
        <w:rPr/>
        <w:t xml:space="preserve"> (rank)</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Coalification is the process of metamorphosis which takes place with time and under conditions of increasing temperature and pressure, and results in the transformation of the original peat swamp through the progressive stages of brown coal (lignite), subbituminous, and bituminous coals to anthracites and meta-anthracites. The level to which a coal has reached in this coalification series is termed its </w:t>
      </w:r>
      <w:r>
        <w:rPr>
          <w:rFonts w:ascii="Calibri" w:hAnsi="Calibri"/>
          <w:i/>
        </w:rPr>
        <w:t>rank.</w:t>
      </w:r>
      <w:r>
        <w:rPr>
          <w:rFonts w:ascii="Calibri" w:hAnsi="Calibri"/>
        </w:rPr>
        <w:t xml:space="preserve"> The proportions of the organic constituents which are formed during biochemical degradation at the peat stage (and which impart to coal its organic matter composition or </w:t>
      </w:r>
      <w:r>
        <w:rPr>
          <w:rFonts w:ascii="Calibri" w:hAnsi="Calibri"/>
          <w:i/>
        </w:rPr>
        <w:t>type</w:t>
      </w:r>
      <w:r>
        <w:rPr>
          <w:rFonts w:ascii="Calibri" w:hAnsi="Calibri"/>
        </w:rPr>
        <w:t>) and the process of maturation or metamorphosis (or rank of coal) are therefore independent of one another (Fig. 2.5). With increasing rank, the differences in the chemical and physical properties of the macerals diminishes, reflected by a convergence of reflectance values.</w:t>
      </w:r>
    </w:p>
    <w:p>
      <w:pPr>
        <w:pStyle w:val="ListParagraph"/>
        <w:ind w:left="0" w:hanging="0"/>
        <w:jc w:val="both"/>
        <w:rPr>
          <w:rFonts w:ascii="Calibri" w:hAnsi="Calibri"/>
        </w:rPr>
      </w:pPr>
      <w:r>
        <w:rPr>
          <w:rFonts w:ascii="Calibri" w:hAnsi="Calibri"/>
        </w:rPr>
      </w:r>
    </w:p>
    <w:p>
      <w:pPr>
        <w:pStyle w:val="ListParagraph"/>
        <w:ind w:left="0" w:hanging="0"/>
        <w:jc w:val="center"/>
        <w:rPr>
          <w:rFonts w:ascii="Calibri" w:hAnsi="Calibri"/>
        </w:rPr>
      </w:pPr>
      <w:r>
        <w:rPr>
          <w:rFonts w:ascii="Calibri" w:hAnsi="Calibri"/>
        </w:rPr>
      </w:r>
    </w:p>
    <w:p>
      <w:pPr>
        <w:pStyle w:val="ListParagraph"/>
        <w:ind w:left="0" w:hanging="0"/>
        <w:jc w:val="both"/>
        <w:rPr>
          <w:rFonts w:ascii="Calibri" w:hAnsi="Calibri"/>
          <w:b/>
          <w:b/>
          <w:sz w:val="20"/>
          <w:szCs w:val="20"/>
        </w:rPr>
      </w:pPr>
      <w:r>
        <w:rPr>
          <w:rFonts w:ascii="Calibri" w:hAnsi="Calibri"/>
          <w:b/>
          <w:sz w:val="20"/>
          <w:szCs w:val="20"/>
        </w:rPr>
        <w:t xml:space="preserve">Figure 2.5: The formation of coal in terms of rank (maturity), type (organic composition) and grade (mineral matter composition) (modified from </w:t>
      </w:r>
      <w:r>
        <w:rPr>
          <w:rFonts w:cs="Arial" w:ascii="Calibri" w:hAnsi="Calibri"/>
          <w:b/>
          <w:sz w:val="20"/>
          <w:szCs w:val="20"/>
        </w:rPr>
        <w:t>Falcon and Snyman, 1986)</w:t>
      </w:r>
    </w:p>
    <w:p>
      <w:pPr>
        <w:pStyle w:val="ListParagraph"/>
        <w:ind w:left="0" w:hanging="0"/>
        <w:jc w:val="center"/>
        <w:rPr>
          <w:rFonts w:ascii="Calibri" w:hAnsi="Calibri"/>
          <w:b/>
          <w:b/>
          <w:color w:val="0070C0"/>
          <w:sz w:val="20"/>
          <w:szCs w:val="20"/>
        </w:rPr>
      </w:pPr>
      <w:r>
        <w:rPr>
          <w:rFonts w:ascii="Calibri" w:hAnsi="Calibri"/>
          <w:b/>
          <w:color w:val="0070C0"/>
          <w:sz w:val="20"/>
          <w:szCs w:val="20"/>
        </w:rPr>
      </w:r>
    </w:p>
    <w:p>
      <w:pPr>
        <w:pStyle w:val="ListParagraph"/>
        <w:ind w:left="0" w:hanging="0"/>
        <w:jc w:val="both"/>
        <w:rPr>
          <w:rFonts w:ascii="Calibri" w:hAnsi="Calibri"/>
        </w:rPr>
      </w:pPr>
      <w:r>
        <w:rPr>
          <w:rFonts w:ascii="Calibri" w:hAnsi="Calibri"/>
        </w:rPr>
        <w:t>Most macerals, once formed, undergo progressive physical, chemical,l and optical changes with increasing rank, but their proportions and shape, with minor exceptions, remain the same. In general, therefore, macerals may be distinguished from one another 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w:t>
      </w:r>
      <w:r>
        <w:rPr>
          <w:rFonts w:ascii="Calibri" w:hAnsi="Calibri"/>
          <w:i/>
        </w:rPr>
        <w:t>s</w:t>
      </w:r>
      <w:r>
        <w:rPr>
          <w:rFonts w:ascii="Calibri" w:hAnsi="Calibri"/>
        </w:rPr>
        <w:t xml:space="preserve"> refer particularly to the plant organs or tissues from which the coal has been derived, as well as the preservation conditions. </w:t>
      </w:r>
    </w:p>
    <w:p>
      <w:pPr>
        <w:pStyle w:val="ListParagraph"/>
        <w:ind w:left="0" w:hanging="0"/>
        <w:rPr>
          <w:rFonts w:ascii="Calibri" w:hAnsi="Calibri"/>
        </w:rPr>
      </w:pPr>
      <w:r>
        <w:rPr>
          <w:rFonts w:ascii="Calibri" w:hAnsi="Calibri"/>
        </w:rPr>
      </w:r>
    </w:p>
    <w:p>
      <w:pPr>
        <w:pStyle w:val="ListParagraph"/>
        <w:ind w:left="0" w:hanging="0"/>
        <w:jc w:val="both"/>
        <w:rPr>
          <w:rFonts w:ascii="Calibri" w:hAnsi="Calibri"/>
          <w:color w:val="C00000"/>
        </w:rPr>
      </w:pPr>
      <w:r>
        <w:rPr>
          <w:rFonts w:ascii="Calibri" w:hAnsi="Calibri"/>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w:t>
      </w:r>
      <w:r>
        <w:rPr>
          <w:rFonts w:cs="Arial" w:ascii="Calibri" w:hAnsi="Calibri"/>
        </w:rPr>
        <w:t xml:space="preserve">The reader is recommended to consult the following publications for more detail pertaining to coal macerals: Stach </w:t>
      </w:r>
      <w:r>
        <w:rPr>
          <w:rFonts w:cs="Arial" w:ascii="Calibri" w:hAnsi="Calibri"/>
          <w:i/>
        </w:rPr>
        <w:t>et al</w:t>
      </w:r>
      <w:r>
        <w:rPr>
          <w:rFonts w:cs="Arial" w:ascii="Calibri" w:hAnsi="Calibri"/>
        </w:rPr>
        <w:t xml:space="preserve">., 1982; ISO 7404-1, 1994; Taylor </w:t>
      </w:r>
      <w:r>
        <w:rPr>
          <w:rFonts w:cs="Arial" w:ascii="Calibri" w:hAnsi="Calibri"/>
          <w:i/>
        </w:rPr>
        <w:t>et al.,</w:t>
      </w:r>
      <w:r>
        <w:rPr>
          <w:rFonts w:cs="Arial" w:ascii="Calibri" w:hAnsi="Calibri"/>
        </w:rPr>
        <w:t xml:space="preserve"> 1998; ICCP, 2001 (inertinite classification); ICCP, 1998 (vitrinite classification); O’Keefe </w:t>
      </w:r>
      <w:r>
        <w:rPr>
          <w:rFonts w:cs="Arial" w:ascii="Calibri" w:hAnsi="Calibri"/>
          <w:i/>
        </w:rPr>
        <w:t>et al.</w:t>
      </w:r>
      <w:r>
        <w:rPr>
          <w:rFonts w:cs="Arial" w:ascii="Calibri" w:hAnsi="Calibri"/>
        </w:rPr>
        <w:t xml:space="preserve"> 2013; Pickel </w:t>
      </w:r>
      <w:r>
        <w:rPr>
          <w:rFonts w:cs="Arial" w:ascii="Calibri" w:hAnsi="Calibri"/>
          <w:i/>
        </w:rPr>
        <w:t>et al</w:t>
      </w:r>
      <w:r>
        <w:rPr>
          <w:rFonts w:cs="Arial" w:ascii="Calibri" w:hAnsi="Calibri"/>
        </w:rPr>
        <w:t xml:space="preserve">., 2017 (liptinite classification). Descriptions of the macerals are also located opposite each plate in this Atlas, illustrating the maceral in question.  </w:t>
      </w:r>
    </w:p>
    <w:p>
      <w:pPr>
        <w:pStyle w:val="Normal"/>
        <w:rPr>
          <w:i/>
          <w:i/>
          <w:sz w:val="20"/>
          <w:szCs w:val="20"/>
        </w:rPr>
      </w:pPr>
      <w:r>
        <w:rPr>
          <w:i/>
          <w:sz w:val="20"/>
          <w:szCs w:val="20"/>
        </w:rPr>
      </w:r>
    </w:p>
    <w:p>
      <w:pPr>
        <w:pStyle w:val="Heading4"/>
        <w:numPr>
          <w:ilvl w:val="3"/>
          <w:numId w:val="11"/>
        </w:numPr>
        <w:rPr/>
      </w:pPr>
      <w:bookmarkStart w:id="12" w:name="_Toc485644664"/>
      <w:r>
        <w:rPr/>
        <w:t xml:space="preserve">Maceral </w:t>
      </w:r>
      <w:bookmarkEnd w:id="12"/>
      <w:r>
        <w:rPr>
          <w:rFonts w:cs="Arial" w:ascii="Calibri" w:hAnsi="Calibri" w:cstheme="minorHAnsi"/>
        </w:rPr>
        <w:t>Groups</w:t>
      </w:r>
    </w:p>
    <w:p>
      <w:pPr>
        <w:pStyle w:val="Normal"/>
        <w:spacing w:lineRule="auto" w:line="360"/>
        <w:ind w:left="426" w:hanging="426"/>
        <w:rPr>
          <w:rFonts w:ascii="Arial" w:hAnsi="Arial" w:cs="Arial"/>
          <w:sz w:val="20"/>
          <w:szCs w:val="20"/>
        </w:rPr>
      </w:pPr>
      <w:r>
        <w:rPr>
          <w:rFonts w:cs="Arial"/>
          <w:sz w:val="20"/>
          <w:szCs w:val="20"/>
        </w:rPr>
      </w:r>
    </w:p>
    <w:p>
      <w:pPr>
        <w:pStyle w:val="Normal"/>
        <w:jc w:val="both"/>
        <w:rPr>
          <w:rFonts w:ascii="Calibri" w:hAnsi="Calibri" w:cs="Arial"/>
        </w:rPr>
      </w:pPr>
      <w:r>
        <w:rPr>
          <w:rFonts w:cs="Arial" w:ascii="Calibri" w:hAnsi="Calibri"/>
        </w:rPr>
        <w:t>The three maceral groups, vitrinite, liptinite, and inertinite</w:t>
      </w:r>
      <w:r>
        <w:rPr>
          <w:rFonts w:cs="Arial" w:ascii="Calibri" w:hAnsi="Calibri"/>
          <w:i/>
        </w:rPr>
        <w:t xml:space="preserve">, </w:t>
      </w:r>
      <w:r>
        <w:rPr>
          <w:rFonts w:cs="Arial" w:ascii="Calibri" w:hAnsi="Calibri"/>
        </w:rPr>
        <w:t>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 to heat. These, and other major characteristics of the three maceral groups, are summarised in Tables 2.2 to 2.4.</w:t>
      </w:r>
    </w:p>
    <w:p>
      <w:pPr>
        <w:pStyle w:val="Normal"/>
        <w:jc w:val="both"/>
        <w:rPr>
          <w:rFonts w:ascii="Calibri" w:hAnsi="Calibri" w:cs="Arial"/>
        </w:rPr>
      </w:pPr>
      <w:r>
        <w:rPr>
          <w:rFonts w:cs="Arial" w:ascii="Calibri" w:hAnsi="Calibri"/>
        </w:rPr>
      </w:r>
    </w:p>
    <w:p>
      <w:pPr>
        <w:pStyle w:val="Normal"/>
        <w:ind w:left="-567" w:hanging="0"/>
        <w:jc w:val="center"/>
        <w:rPr>
          <w:rFonts w:ascii="Calibri" w:hAnsi="Calibri" w:cs="Arial"/>
        </w:rPr>
      </w:pPr>
      <w:r>
        <w:rPr>
          <w:rFonts w:cs="Arial" w:ascii="Calibri" w:hAnsi="Calibri"/>
        </w:rPr>
      </w:r>
    </w:p>
    <w:p>
      <w:pPr>
        <w:pStyle w:val="Normal"/>
        <w:jc w:val="both"/>
        <w:rPr>
          <w:rFonts w:ascii="Calibri" w:hAnsi="Calibri"/>
          <w:b/>
          <w:b/>
          <w:sz w:val="20"/>
          <w:szCs w:val="20"/>
        </w:rPr>
      </w:pPr>
      <w:r>
        <w:rPr>
          <w:rFonts w:cs="Arial" w:ascii="Calibri" w:hAnsi="Calibri"/>
          <w:b/>
          <w:sz w:val="20"/>
          <w:szCs w:val="20"/>
        </w:rPr>
        <w:t xml:space="preserve">Figure 2.6: A summary of the microscopic organic components of coal – maceral groups and macerals. </w:t>
      </w:r>
      <w:r>
        <w:rPr>
          <w:rFonts w:ascii="Calibri" w:hAnsi="Calibri"/>
          <w:b/>
          <w:sz w:val="20"/>
          <w:szCs w:val="20"/>
        </w:rPr>
        <w:t xml:space="preserve">(modified from </w:t>
      </w:r>
      <w:r>
        <w:rPr>
          <w:rFonts w:cs="Arial" w:ascii="Calibri" w:hAnsi="Calibri"/>
          <w:b/>
          <w:sz w:val="20"/>
          <w:szCs w:val="20"/>
        </w:rPr>
        <w:t>Falcon and Snyman, 1986)</w:t>
      </w:r>
    </w:p>
    <w:p>
      <w:pPr>
        <w:pStyle w:val="Normal"/>
        <w:jc w:val="center"/>
        <w:rPr>
          <w:rFonts w:ascii="Calibri" w:hAnsi="Calibri" w:cs="Arial"/>
          <w:b/>
          <w:b/>
          <w:sz w:val="20"/>
          <w:szCs w:val="20"/>
        </w:rPr>
      </w:pPr>
      <w:r>
        <w:rPr>
          <w:rFonts w:cs="Arial" w:ascii="Calibri" w:hAnsi="Calibri"/>
          <w:b/>
          <w:sz w:val="20"/>
          <w:szCs w:val="20"/>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As the majority of coals mined, traded, and converted globally are medium-rank C bituminous coals, and with more than 98% of South African coals falling into this rank category (Hancox and G</w:t>
      </w:r>
      <w:r>
        <w:rPr>
          <w:rFonts w:cs="Arial"/>
        </w:rPr>
        <w:t>ö</w:t>
      </w:r>
      <w:r>
        <w:rPr>
          <w:rFonts w:cs="Arial" w:ascii="Calibri" w:hAnsi="Calibri"/>
        </w:rPr>
        <w:t>tz, 2014),  the main thrust of the next section deals with macerals of bituminous coals. Low-rank C and B coals do not occur in southern Africa, and subbituminous  coals are rare.</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Huminite is the term given to the (equivalent) vitrinite maceral group in low rank coals; liptinite and inertinite macerals present in the low rank coals have the same terminology as bituminous coals. A suitable reference source for enhanced discussion on huminite and low rank coals are Stach </w:t>
      </w:r>
      <w:r>
        <w:rPr>
          <w:rFonts w:cs="Arial" w:ascii="Calibri" w:hAnsi="Calibri"/>
          <w:i/>
        </w:rPr>
        <w:t xml:space="preserve">et al. </w:t>
      </w:r>
      <w:r>
        <w:rPr>
          <w:rFonts w:cs="Arial" w:ascii="Calibri" w:hAnsi="Calibri"/>
        </w:rPr>
        <w:t xml:space="preserve">(1982); Taylor </w:t>
      </w:r>
      <w:r>
        <w:rPr>
          <w:rFonts w:cs="Arial" w:ascii="Calibri" w:hAnsi="Calibri"/>
          <w:i/>
        </w:rPr>
        <w:t>et al.</w:t>
      </w:r>
      <w:r>
        <w:rPr>
          <w:rFonts w:cs="Arial" w:ascii="Calibri" w:hAnsi="Calibri"/>
        </w:rPr>
        <w:t xml:space="preserve"> (1998); Sýkorová </w:t>
      </w:r>
      <w:r>
        <w:rPr>
          <w:rFonts w:cs="Arial" w:ascii="Calibri" w:hAnsi="Calibri"/>
          <w:i/>
        </w:rPr>
        <w:t>et al.</w:t>
      </w:r>
      <w:r>
        <w:rPr>
          <w:rFonts w:cs="Arial" w:ascii="Calibri" w:hAnsi="Calibri"/>
        </w:rPr>
        <w:t xml:space="preserve"> (2005). By definition, huminite is the maceral group present in lignite and immature sedimentary rocks with reflectance values intermediate to those of darker liptinite and brighter inertinite (ASTM, 2014).</w:t>
      </w:r>
    </w:p>
    <w:p>
      <w:pPr>
        <w:pStyle w:val="Normal"/>
        <w:jc w:val="both"/>
        <w:rPr>
          <w:rFonts w:ascii="Calibri" w:hAnsi="Calibri" w:cs="Arial"/>
        </w:rPr>
      </w:pPr>
      <w:r>
        <w:rPr>
          <w:rFonts w:cs="Arial" w:ascii="Calibri" w:hAnsi="Calibri"/>
        </w:rPr>
      </w:r>
    </w:p>
    <w:p>
      <w:pPr>
        <w:pStyle w:val="Heading4"/>
        <w:rPr/>
      </w:pPr>
      <w:bookmarkStart w:id="13" w:name="_Toc485644665"/>
      <w:bookmarkEnd w:id="13"/>
      <w:r>
        <w:rPr/>
        <w:t>Vitrinite Maceral Group</w:t>
      </w:r>
    </w:p>
    <w:p>
      <w:pPr>
        <w:pStyle w:val="Normal"/>
        <w:spacing w:lineRule="auto" w:line="360"/>
        <w:rPr>
          <w:rFonts w:ascii="Arial" w:hAnsi="Arial" w:cs="Arial"/>
          <w:b/>
          <w:b/>
          <w:sz w:val="20"/>
          <w:szCs w:val="20"/>
        </w:rPr>
      </w:pPr>
      <w:r>
        <w:rPr>
          <w:rFonts w:cs="Arial"/>
          <w:b/>
          <w:sz w:val="20"/>
          <w:szCs w:val="20"/>
        </w:rPr>
      </w:r>
    </w:p>
    <w:p>
      <w:pPr>
        <w:pStyle w:val="Normal"/>
        <w:jc w:val="both"/>
        <w:rPr>
          <w:rFonts w:ascii="Calibri" w:hAnsi="Calibri" w:cs="Arial"/>
        </w:rPr>
      </w:pPr>
      <w:r>
        <w:rPr>
          <w:rFonts w:cs="Arial" w:ascii="Calibri" w:hAnsi="Calibri"/>
        </w:rPr>
        <w:t xml:space="preserve">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vitrinization. For preservation as vitrinite, vegetation must fall into the peat swamp, or be rapidly covered by water or sediments to prevent severe biochemical alteration by oxidation, or be parts of roots penetrating peat. Huminites are identified in low rank coals, and are considered to be the precursors of vitrinite macerals. Gelification, resulting in a “glassy” appearance </w:t>
      </w:r>
      <w:r>
        <w:rPr>
          <w:rFonts w:cs="Arial" w:ascii="Calibri" w:hAnsi="Calibri"/>
          <w:i/>
        </w:rPr>
        <w:t xml:space="preserve">(vitrum), </w:t>
      </w:r>
      <w:r>
        <w:rPr>
          <w:rFonts w:cs="Arial" w:ascii="Calibri" w:hAnsi="Calibri"/>
        </w:rPr>
        <w:t>is believed to take place in anaerobic or relatively reducing conditions. Vitrinite occurs more frequently in Carboniferous seams of the northern hemisphere (60-80 vol. %) than in the Gondwana coals (sometimes &lt;20 vol. %) or in Cretaceous coals of North America (ICCP, 1998). In sediments, vitrinite is the main component of kerogen Type III.</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anisotrophy when viewed under cross-polarized light, enabling easy differentiation from dark semifusinite (reactive semifusinite), but may show slight fluorescence.  The fluorescence may be a result of bituminous substances formed during coalification. In cases where the vitrinite is clearly fluorescing, the reflectance of the particles may be suppressed, leading to inaccurate rank determination. This is discussed further in Bustin </w:t>
      </w:r>
      <w:r>
        <w:rPr>
          <w:rFonts w:cs="Arial" w:ascii="Calibri" w:hAnsi="Calibri"/>
          <w:i/>
        </w:rPr>
        <w:t>et al.</w:t>
      </w:r>
      <w:r>
        <w:rPr>
          <w:rFonts w:cs="Arial" w:ascii="Calibri" w:hAnsi="Calibri"/>
        </w:rPr>
        <w:t xml:space="preserve"> (1983).</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corpogelinite).</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chemical structure of vitrinite is characterised by a relatively high oxygen content compared to the other maceral groups, with oxygen levels steadily decreasing with an increase in rank as the degree of aromaticity and condensation increase. Relatively rich in aromatic structures, vitrinite does also contain aliphatic compounds. Its properties affect most industrial processes in which coal is utilised.</w:t>
      </w:r>
    </w:p>
    <w:p>
      <w:pPr>
        <w:pStyle w:val="Normal"/>
        <w:jc w:val="both"/>
        <w:rPr>
          <w:rFonts w:ascii="Calibri" w:hAnsi="Calibri" w:cs="Arial"/>
        </w:rPr>
      </w:pPr>
      <w:r>
        <w:rPr>
          <w:rFonts w:cs="Arial" w:ascii="Calibri" w:hAnsi="Calibri"/>
        </w:rPr>
      </w:r>
    </w:p>
    <w:p>
      <w:pPr>
        <w:pStyle w:val="Normal"/>
        <w:jc w:val="both"/>
        <w:rPr/>
      </w:pPr>
      <w:r>
        <w:rPr>
          <w:rFonts w:cs="Arial" w:ascii="Calibri" w:hAnsi="Calibri"/>
        </w:rPr>
        <w:t xml:space="preserve">For practical purposes, knowledge of the undifferentiated vitrinite content of coal is usually sufficient. Specialised studies, however, may require knowledge of the various individual </w:t>
      </w:r>
      <w:r>
        <w:rPr>
          <w:rFonts w:cs="Arial" w:ascii="Calibri" w:hAnsi="Calibri"/>
          <w:i/>
        </w:rPr>
        <w:t xml:space="preserve">macerals </w:t>
      </w:r>
      <w:r>
        <w:rPr>
          <w:rFonts w:cs="Arial" w:ascii="Calibri" w:hAnsi="Calibri"/>
        </w:rPr>
        <w:t xml:space="preserve">in the vitrinite group, a list of which is given in Table 2.2. The ICCP (1998) publication applies, as well as Taylor </w:t>
      </w:r>
      <w:r>
        <w:rPr>
          <w:rFonts w:cs="Arial" w:ascii="Calibri" w:hAnsi="Calibri"/>
          <w:i/>
        </w:rPr>
        <w:t>et al.</w:t>
      </w:r>
      <w:r>
        <w:rPr>
          <w:rFonts w:cs="Arial" w:ascii="Calibri" w:hAnsi="Calibri"/>
        </w:rPr>
        <w:t xml:space="preserve"> (1998), Suárez-Ruiz and Crelling (2008), O’Keefe </w:t>
      </w:r>
      <w:r>
        <w:rPr>
          <w:rFonts w:cs="Arial" w:ascii="Calibri" w:hAnsi="Calibri"/>
          <w:i/>
        </w:rPr>
        <w:t>et al.,</w:t>
      </w:r>
      <w:r>
        <w:rPr>
          <w:rFonts w:cs="Arial" w:ascii="Calibri" w:hAnsi="Calibri"/>
        </w:rPr>
        <w:t xml:space="preserve"> 2013; and the reader is advised to follow the ICCP website (</w:t>
      </w:r>
      <w:hyperlink r:id="rId10">
        <w:r>
          <w:rPr>
            <w:webHidden/>
            <w:rStyle w:val="InternetLink"/>
            <w:rFonts w:cs="Arial" w:ascii="Calibri" w:hAnsi="Calibri"/>
          </w:rPr>
          <w:t>www.iccop.org</w:t>
        </w:r>
      </w:hyperlink>
      <w:r>
        <w:rPr>
          <w:rFonts w:cs="Arial" w:ascii="Calibri" w:hAnsi="Calibri"/>
        </w:rPr>
        <w:t xml:space="preserve">) for up to date changes in terminology and classification. </w:t>
      </w:r>
    </w:p>
    <w:p>
      <w:pPr>
        <w:pStyle w:val="Normal"/>
        <w:jc w:val="both"/>
        <w:rPr>
          <w:rFonts w:ascii="Calibri" w:hAnsi="Calibri" w:cs="Arial"/>
        </w:rPr>
      </w:pPr>
      <w:r>
        <w:rPr>
          <w:rFonts w:cs="Arial" w:ascii="Calibri" w:hAnsi="Calibri"/>
        </w:rPr>
      </w:r>
    </w:p>
    <w:p>
      <w:pPr>
        <w:pStyle w:val="Normal"/>
        <w:spacing w:lineRule="auto" w:line="360"/>
        <w:rPr>
          <w:rFonts w:ascii="Calibri" w:hAnsi="Calibri" w:cs="Arial"/>
          <w:b/>
          <w:b/>
        </w:rPr>
      </w:pPr>
      <w:r>
        <w:rPr>
          <w:rFonts w:cs="Arial"/>
          <w:b/>
          <w:sz w:val="20"/>
          <w:szCs w:val="20"/>
        </w:rPr>
        <w:t xml:space="preserve">TABLE 2.2: Macerals in the Vitrinite Maceral Group </w:t>
      </w:r>
      <w:r>
        <w:rPr>
          <w:rFonts w:cs="Arial" w:ascii="Calibri" w:hAnsi="Calibri"/>
          <w:b/>
        </w:rPr>
        <w:t>(following the ICCP System 1994)</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785"/>
        <w:gridCol w:w="2192"/>
        <w:gridCol w:w="2843"/>
        <w:gridCol w:w="1195"/>
      </w:tblGrid>
      <w:tr>
        <w:trPr/>
        <w:tc>
          <w:tcPr>
            <w:tcW w:w="2785" w:type="dxa"/>
            <w:tcBorders/>
            <w:shd w:fill="auto" w:val="clear"/>
            <w:tcMar>
              <w:left w:w="108" w:type="dxa"/>
            </w:tcMar>
          </w:tcPr>
          <w:p>
            <w:pPr>
              <w:pStyle w:val="Normal"/>
              <w:jc w:val="center"/>
              <w:rPr>
                <w:rFonts w:ascii="Calibri" w:hAnsi="Calibri" w:cs="Arial"/>
                <w:b/>
                <w:b/>
              </w:rPr>
            </w:pPr>
            <w:r>
              <w:rPr>
                <w:rFonts w:cs="Arial" w:ascii="Calibri" w:hAnsi="Calibri"/>
                <w:b/>
              </w:rPr>
              <w:t>MACERAL SUBGROUP</w:t>
            </w:r>
          </w:p>
        </w:tc>
        <w:tc>
          <w:tcPr>
            <w:tcW w:w="2192" w:type="dxa"/>
            <w:tcBorders/>
            <w:shd w:fill="auto" w:val="clear"/>
            <w:tcMar>
              <w:left w:w="108" w:type="dxa"/>
            </w:tcMar>
          </w:tcPr>
          <w:p>
            <w:pPr>
              <w:pStyle w:val="Normal"/>
              <w:jc w:val="center"/>
              <w:rPr>
                <w:rFonts w:ascii="Calibri" w:hAnsi="Calibri" w:cs="Arial"/>
                <w:b/>
                <w:b/>
              </w:rPr>
            </w:pPr>
            <w:r>
              <w:rPr>
                <w:rFonts w:cs="Arial" w:ascii="Calibri" w:hAnsi="Calibri"/>
                <w:b/>
              </w:rPr>
              <w:t>MACERAL</w:t>
            </w:r>
          </w:p>
        </w:tc>
        <w:tc>
          <w:tcPr>
            <w:tcW w:w="2843" w:type="dxa"/>
            <w:tcBorders/>
            <w:shd w:fill="auto" w:val="clear"/>
            <w:tcMar>
              <w:left w:w="108" w:type="dxa"/>
            </w:tcMar>
          </w:tcPr>
          <w:p>
            <w:pPr>
              <w:pStyle w:val="Normal"/>
              <w:jc w:val="center"/>
              <w:rPr>
                <w:rFonts w:ascii="Calibri" w:hAnsi="Calibri" w:cs="Arial"/>
                <w:b/>
                <w:b/>
              </w:rPr>
            </w:pPr>
            <w:r>
              <w:rPr>
                <w:rFonts w:cs="Arial" w:ascii="Calibri" w:hAnsi="Calibri"/>
                <w:b/>
              </w:rPr>
              <w:t>FORM</w:t>
            </w:r>
          </w:p>
        </w:tc>
        <w:tc>
          <w:tcPr>
            <w:tcW w:w="1195" w:type="dxa"/>
            <w:tcBorders/>
            <w:shd w:fill="auto" w:val="clear"/>
            <w:tcMar>
              <w:left w:w="108" w:type="dxa"/>
            </w:tcMar>
          </w:tcPr>
          <w:p>
            <w:pPr>
              <w:pStyle w:val="Normal"/>
              <w:jc w:val="center"/>
              <w:rPr>
                <w:rFonts w:ascii="Calibri" w:hAnsi="Calibri" w:cs="Arial"/>
                <w:b/>
                <w:b/>
              </w:rPr>
            </w:pPr>
            <w:r>
              <w:rPr>
                <w:rFonts w:cs="Arial" w:ascii="Calibri" w:hAnsi="Calibri"/>
                <w:b/>
              </w:rPr>
              <w:t>PLATE</w:t>
            </w:r>
          </w:p>
        </w:tc>
      </w:tr>
      <w:tr>
        <w:trPr>
          <w:trHeight w:val="1974" w:hRule="atLeast"/>
        </w:trPr>
        <w:tc>
          <w:tcPr>
            <w:tcW w:w="2785" w:type="dxa"/>
            <w:tcBorders>
              <w:right w:val="nil"/>
              <w:insideV w:val="nil"/>
            </w:tcBorders>
            <w:shd w:fill="auto" w:val="clear"/>
            <w:tcMar>
              <w:left w:w="108" w:type="dxa"/>
            </w:tcMar>
          </w:tcPr>
          <w:p>
            <w:pPr>
              <w:pStyle w:val="ListParagraph"/>
              <w:ind w:left="405" w:hanging="0"/>
              <w:rPr>
                <w:rFonts w:ascii="Calibri" w:hAnsi="Calibri" w:cs="Arial"/>
              </w:rPr>
            </w:pPr>
            <w:r>
              <w:rPr>
                <w:rFonts w:cs="Arial" w:ascii="Calibri" w:hAnsi="Calibri"/>
              </w:rPr>
              <w:t>Telovitrinite (preserved botanical cell structures may or may not be visible)</w:t>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
          </w:p>
          <w:p>
            <w:pPr>
              <w:pStyle w:val="ListParagraph"/>
              <w:ind w:left="405" w:hanging="0"/>
              <w:rPr>
                <w:rFonts w:ascii="Calibri" w:hAnsi="Calibri" w:cs="Arial"/>
              </w:rPr>
            </w:pPr>
            <w:r>
              <w:rPr/>
            </w:r>
          </w:p>
          <w:p>
            <w:pPr>
              <w:pStyle w:val="ListParagraph"/>
              <w:ind w:left="405" w:hanging="0"/>
              <w:rPr>
                <w:rFonts w:ascii="Calibri" w:hAnsi="Calibri" w:cs="Arial"/>
              </w:rPr>
            </w:pPr>
            <w:r>
              <w:rPr>
                <w:rFonts w:cs="Arial" w:ascii="Calibri" w:hAnsi="Calibri"/>
              </w:rPr>
              <w:t>Detrovitrinite (finely fragmented vitrinized plant remains &lt;20 µm, isolated or cemented by amorphous vitrinitic matter)</w:t>
            </w:r>
          </w:p>
          <w:p>
            <w:pPr>
              <w:pStyle w:val="ListParagraph"/>
              <w:ind w:left="405" w:hanging="0"/>
              <w:rPr>
                <w:rFonts w:ascii="Calibri" w:hAnsi="Calibri" w:cs="Arial"/>
              </w:rPr>
            </w:pPr>
            <w:r>
              <w:rPr>
                <w:rFonts w:cs="Arial" w:ascii="Calibri" w:hAnsi="Calibri"/>
              </w:rPr>
            </w:r>
          </w:p>
          <w:p>
            <w:pPr>
              <w:pStyle w:val="ListParagraph"/>
              <w:ind w:left="405" w:hanging="0"/>
              <w:rPr>
                <w:rFonts w:ascii="Calibri" w:hAnsi="Calibri" w:cs="Arial"/>
              </w:rPr>
            </w:pPr>
            <w:r>
              <w:rPr>
                <w:rFonts w:cs="Arial" w:ascii="Calibri" w:hAnsi="Calibri"/>
              </w:rPr>
              <w:t>Gelovitrinite (colloidal infillings of vitrinitic material in former voids; relatively rare sub-maceral group)</w:t>
            </w:r>
          </w:p>
        </w:tc>
        <w:tc>
          <w:tcPr>
            <w:tcW w:w="2192" w:type="dxa"/>
            <w:tcBorders/>
            <w:shd w:fill="auto" w:val="clear"/>
            <w:tcMar>
              <w:left w:w="108" w:type="dxa"/>
            </w:tcMar>
          </w:tcPr>
          <w:p>
            <w:pPr>
              <w:pStyle w:val="Normal"/>
              <w:rPr>
                <w:rFonts w:ascii="Calibri" w:hAnsi="Calibri" w:cs="Arial"/>
              </w:rPr>
            </w:pPr>
            <w:r>
              <w:rPr>
                <w:rFonts w:cs="Arial" w:ascii="Calibri" w:hAnsi="Calibri"/>
              </w:rPr>
              <w:t>Telinite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Collotelinite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ListParagraph"/>
              <w:ind w:left="426" w:hanging="0"/>
              <w:rPr>
                <w:rFonts w:ascii="Calibri" w:hAnsi="Calibri" w:cs="Arial"/>
              </w:rPr>
            </w:pPr>
            <w:r>
              <w:rPr>
                <w:rFonts w:cs="Arial" w:ascii="Calibri" w:hAnsi="Calibri"/>
              </w:rPr>
              <w:tab/>
            </w:r>
          </w:p>
          <w:p>
            <w:pPr>
              <w:pStyle w:val="ListParagraph"/>
              <w:ind w:left="426" w:hanging="0"/>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Fonts w:cs="Arial" w:ascii="Calibri" w:hAnsi="Calibri"/>
              </w:rPr>
              <w:t>Vitrodetrinite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Collodetrinite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Fonts w:cs="Arial" w:ascii="Calibri" w:hAnsi="Calibri"/>
              </w:rPr>
              <w:t>Gelinite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Fonts w:cs="Arial" w:ascii="Calibri" w:hAnsi="Calibri"/>
              </w:rPr>
              <w:t>Corpogelinite</w:t>
            </w:r>
          </w:p>
        </w:tc>
        <w:tc>
          <w:tcPr>
            <w:tcW w:w="2843" w:type="dxa"/>
            <w:tcBorders/>
            <w:shd w:fill="auto" w:val="clear"/>
            <w:tcMar>
              <w:left w:w="108" w:type="dxa"/>
            </w:tcMar>
          </w:tcPr>
          <w:p>
            <w:pPr>
              <w:pStyle w:val="Normal"/>
              <w:rPr>
                <w:rFonts w:ascii="Calibri" w:hAnsi="Calibri" w:cs="Arial"/>
              </w:rPr>
            </w:pPr>
            <w:r>
              <w:rPr>
                <w:rFonts w:cs="Arial" w:ascii="Calibri" w:hAnsi="Calibri"/>
              </w:rPr>
              <w:t>Coalified cell walls of recognisable plant tissues, more or less intact.</w:t>
            </w:r>
          </w:p>
          <w:p>
            <w:pPr>
              <w:pStyle w:val="Normal"/>
              <w:rPr>
                <w:rFonts w:ascii="Calibri" w:hAnsi="Calibri" w:cs="Arial"/>
              </w:rPr>
            </w:pPr>
            <w:r>
              <w:rPr/>
            </w:r>
          </w:p>
          <w:p>
            <w:pPr>
              <w:pStyle w:val="Normal"/>
              <w:rPr>
                <w:rFonts w:ascii="Calibri" w:hAnsi="Calibri" w:cs="Arial"/>
              </w:rPr>
            </w:pPr>
            <w:r>
              <w:rPr>
                <w:rFonts w:cs="Arial" w:ascii="Calibri" w:hAnsi="Calibri"/>
              </w:rPr>
              <w:t>More–or-less homogeneous structure less layers; may show mottling in low rank coals; widely used as rank indicator.</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Discrete, small vitrinitic fragments of varying shape; a secondary maceral.</w:t>
            </w:r>
          </w:p>
          <w:p>
            <w:pPr>
              <w:pStyle w:val="Normal"/>
              <w:rPr>
                <w:rFonts w:ascii="Calibri" w:hAnsi="Calibri" w:cs="Arial"/>
              </w:rPr>
            </w:pPr>
            <w:r>
              <w:rPr/>
            </w:r>
          </w:p>
          <w:p>
            <w:pPr>
              <w:pStyle w:val="Normal"/>
              <w:rPr>
                <w:rFonts w:ascii="Calibri" w:hAnsi="Calibri" w:cs="Arial"/>
              </w:rPr>
            </w:pPr>
            <w:r>
              <w:rPr>
                <w:rFonts w:cs="Arial" w:ascii="Calibri" w:hAnsi="Calibri"/>
              </w:rPr>
              <w:t>Mottled, compact vitrinitic groundmass binding other coal components.</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Pure colloidal gel, homogenous infilling of cracks and other voids; a secondary maceral.</w:t>
            </w:r>
          </w:p>
          <w:p>
            <w:pPr>
              <w:pStyle w:val="Normal"/>
              <w:rPr>
                <w:rFonts w:ascii="Calibri" w:hAnsi="Calibri" w:cs="Arial"/>
              </w:rPr>
            </w:pPr>
            <w:r>
              <w:rPr/>
            </w:r>
          </w:p>
          <w:p>
            <w:pPr>
              <w:pStyle w:val="Normal"/>
              <w:rPr>
                <w:rFonts w:ascii="Calibri" w:hAnsi="Calibri" w:cs="Arial"/>
              </w:rPr>
            </w:pPr>
            <w:r>
              <w:rPr>
                <w:rFonts w:cs="Arial" w:ascii="Calibri" w:hAnsi="Calibri"/>
              </w:rPr>
              <w:t>Structure-less homogenous and discrete bodies of humic cell infillings.</w:t>
            </w:r>
          </w:p>
        </w:tc>
        <w:tc>
          <w:tcPr>
            <w:tcW w:w="1195" w:type="dxa"/>
            <w:tcBorders/>
            <w:shd w:fill="auto" w:val="clear"/>
            <w:tcMar>
              <w:left w:w="108" w:type="dxa"/>
            </w:tcMar>
          </w:tcPr>
          <w:p>
            <w:pPr>
              <w:pStyle w:val="Normal"/>
              <w:jc w:val="center"/>
              <w:rPr>
                <w:rFonts w:ascii="Calibri" w:hAnsi="Calibri" w:cs="Arial"/>
              </w:rPr>
            </w:pPr>
            <w:r>
              <w:rPr>
                <w:rFonts w:cs="Arial" w:ascii="Calibri" w:hAnsi="Calibri"/>
              </w:rPr>
              <w:t>2</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pPr>
            <w:r>
              <w:rPr>
                <w:rFonts w:cs="Arial" w:ascii="Calibri" w:hAnsi="Calibri"/>
              </w:rPr>
              <w:t>3-4</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5</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5-6</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7</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8</w:t>
            </w:r>
          </w:p>
        </w:tc>
      </w:tr>
    </w:tbl>
    <w:p>
      <w:pPr>
        <w:pStyle w:val="Normal"/>
        <w:jc w:val="center"/>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Pseudovitrinite is not included in Table 2.2, but is an important form of vitrinite due to its negative impact on coking properties. Pseudovitrinite, a term coined in 1966 by Benedict </w:t>
      </w:r>
      <w:r>
        <w:rPr>
          <w:rFonts w:cs="Arial" w:ascii="Calibri" w:hAnsi="Calibri"/>
          <w:i/>
        </w:rPr>
        <w:t>et al.</w:t>
      </w:r>
      <w:r>
        <w:rPr>
          <w:rFonts w:cs="Arial" w:ascii="Calibri" w:hAnsi="Calibri"/>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r>
        <w:rPr>
          <w:rFonts w:cs="Arial" w:ascii="Calibri" w:hAnsi="Calibri"/>
          <w:i/>
        </w:rPr>
        <w:t>et al.</w:t>
      </w:r>
      <w:r>
        <w:rPr>
          <w:rFonts w:cs="Arial" w:ascii="Calibri" w:hAnsi="Calibri"/>
        </w:rPr>
        <w:t xml:space="preserve">, 2013), pseudovitrinite is fairly common in southern African Permian-aged coals (Kruszewska, 2003). This maceral is considered to be the product of </w:t>
      </w:r>
      <w:r>
        <w:rPr>
          <w:rFonts w:cs="Arial" w:ascii="Calibri" w:hAnsi="Calibri"/>
          <w:i/>
        </w:rPr>
        <w:t>in situ</w:t>
      </w:r>
      <w:r>
        <w:rPr>
          <w:rFonts w:cs="Arial" w:ascii="Calibri" w:hAnsi="Calibri"/>
        </w:rPr>
        <w:t xml:space="preserve"> dessication (drying 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Normal"/>
        <w:jc w:val="center"/>
        <w:rPr>
          <w:rFonts w:ascii="Calibri" w:hAnsi="Calibri" w:cs="Arial"/>
        </w:rPr>
      </w:pPr>
      <w:r>
        <w:rPr>
          <w:rFonts w:cs="Arial" w:ascii="Calibri" w:hAnsi="Calibri"/>
        </w:rPr>
      </w:r>
    </w:p>
    <w:p>
      <w:pPr>
        <w:pStyle w:val="Heading4"/>
        <w:rPr/>
      </w:pPr>
      <w:bookmarkStart w:id="14" w:name="_Toc485644666"/>
      <w:bookmarkEnd w:id="14"/>
      <w:r>
        <w:rPr/>
        <w:t>Inertinite Maceral Group</w:t>
      </w:r>
    </w:p>
    <w:p>
      <w:pPr>
        <w:pStyle w:val="Normal"/>
        <w:rPr>
          <w:rFonts w:ascii="Calibri" w:hAnsi="Calibri" w:cs="Arial"/>
          <w:b/>
          <w:b/>
        </w:rPr>
      </w:pPr>
      <w:r>
        <w:rPr>
          <w:rFonts w:cs="Arial" w:ascii="Calibri" w:hAnsi="Calibri"/>
          <w:b/>
        </w:rPr>
      </w:r>
    </w:p>
    <w:p>
      <w:pPr>
        <w:pStyle w:val="Normal"/>
        <w:jc w:val="both"/>
        <w:rPr>
          <w:rFonts w:ascii="Calibri" w:hAnsi="Calibri" w:cs="Arial"/>
        </w:rPr>
      </w:pPr>
      <w:r>
        <w:rPr>
          <w:rFonts w:cs="Arial" w:ascii="Calibri" w:hAnsi="Calibri"/>
        </w:rPr>
        <w:t xml:space="preserve">Inertinite represents a group of macerals derived from plant material that has been strongly altered and degraded in oxidising conditions before or in the peat stage of coal formation. Redox, biochemical, and chemical processes also impacted on inertinite formation. Scott and Glasspool (2006) believe that most, if not all, inertinite macerals formed through exposure to elevated temperatures. However, whilst some inertinite maceral forms almost certainly were derived from peat fires, aerobic or –sub-aerobic decomposition during the process of oxidation and ultimate carbon-enrichment termed fusinization played a key role in the formation of inertinite macerals (O’Keefe </w:t>
      </w:r>
      <w:r>
        <w:rPr>
          <w:rFonts w:cs="Arial" w:ascii="Calibri" w:hAnsi="Calibri"/>
          <w:i/>
        </w:rPr>
        <w:t>et al.,</w:t>
      </w:r>
      <w:r>
        <w:rPr>
          <w:rFonts w:cs="Arial" w:ascii="Calibri" w:hAnsi="Calibri"/>
        </w:rPr>
        <w:t xml:space="preserve"> 2013) (Fig. 2.4). This results in maceral forms with reflectance values higher than vitrinite and liptinite maceral groups at the same rank. In many cases the original parent material is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structure less forms (Table 2.3). Some of the structure less inertinite occurs as broken pieces of the structured inertinite; the remainder of the structure-less forms may represent the oxidised residue of non-woody plants. </w:t>
      </w:r>
    </w:p>
    <w:p>
      <w:pPr>
        <w:pStyle w:val="Normal"/>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Subdivision of the inertinite maceral group is based upon reflectance, the original parent material, and the effects of sedimentation on detrital forms. The grey level observed petrographically may be more closely related to the depositional environment rather than the degree of coalification, with the reflectance dependent primarily on the chemical composition of the inertinite macerals (ICCP, 2001). Inertinite macerals do not typically exhibit fluorescence, and may exhibit anisotrophy.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Relative to the other maceral groups, the chemical structure of inertinite is characterised by high carbon and low oxygen and hydrogen content (ICCP, 2001), with a high degree of aromatization. Gondwana coals tend to have a higher inertinite content than northern hemisphere coals, largely related to the climate at time of peatification. But some Cretaceous and Jurassic coals of North America, China, and Europe are inertinite-rich.  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Normal"/>
        <w:rPr>
          <w:rFonts w:ascii="Calibri" w:hAnsi="Calibri" w:cs="Arial"/>
        </w:rPr>
      </w:pPr>
      <w:r>
        <w:rPr>
          <w:rFonts w:cs="Arial" w:ascii="Calibri" w:hAnsi="Calibri"/>
        </w:rPr>
      </w:r>
    </w:p>
    <w:p>
      <w:pPr>
        <w:pStyle w:val="Normal"/>
        <w:jc w:val="both"/>
        <w:rPr/>
      </w:pPr>
      <w:r>
        <w:rPr>
          <w:rFonts w:cs="Arial" w:ascii="Calibri" w:hAnsi="Calibri"/>
        </w:rPr>
        <w:t xml:space="preserve">A list of inertinite macerals is given in Table 2.3. The ICCP (2001) publication applies, as well as Taylor </w:t>
      </w:r>
      <w:r>
        <w:rPr>
          <w:rFonts w:cs="Arial" w:ascii="Calibri" w:hAnsi="Calibri"/>
          <w:i/>
        </w:rPr>
        <w:t>et al</w:t>
      </w:r>
      <w:r>
        <w:rPr>
          <w:rFonts w:cs="Arial" w:ascii="Calibri" w:hAnsi="Calibri"/>
        </w:rPr>
        <w:t xml:space="preserve">. (1998) and O’Keefe </w:t>
      </w:r>
      <w:r>
        <w:rPr>
          <w:rFonts w:cs="Arial" w:ascii="Calibri" w:hAnsi="Calibri"/>
          <w:i/>
        </w:rPr>
        <w:t>et al</w:t>
      </w:r>
      <w:r>
        <w:rPr>
          <w:rFonts w:cs="Arial" w:ascii="Calibri" w:hAnsi="Calibri"/>
        </w:rPr>
        <w:t>. (2013); and the reader is advised to follow the ICCP website (</w:t>
      </w:r>
      <w:hyperlink r:id="rId11">
        <w:r>
          <w:rPr>
            <w:webHidden/>
            <w:rStyle w:val="InternetLink"/>
            <w:rFonts w:cs="Arial" w:ascii="Calibri" w:hAnsi="Calibri"/>
          </w:rPr>
          <w:t>www.iccop.org</w:t>
        </w:r>
      </w:hyperlink>
      <w:r>
        <w:rPr>
          <w:rFonts w:cs="Arial" w:ascii="Calibri" w:hAnsi="Calibri"/>
        </w:rPr>
        <w:t>) for up to date changes in terminology and classification.  The term sclerotinite was replaced by the terms funginite and secretinite, thus differentiating between two macerals with different origin and formation pathways.</w:t>
      </w:r>
    </w:p>
    <w:p>
      <w:pPr>
        <w:pStyle w:val="Normal"/>
        <w:jc w:val="both"/>
        <w:rPr>
          <w:rFonts w:ascii="Calibri" w:hAnsi="Calibri" w:cs="Arial"/>
        </w:rPr>
      </w:pPr>
      <w:r>
        <w:rPr>
          <w:rFonts w:cs="Arial" w:ascii="Calibri" w:hAnsi="Calibri"/>
        </w:rPr>
      </w:r>
    </w:p>
    <w:p>
      <w:pPr>
        <w:pStyle w:val="Heading4"/>
        <w:rPr/>
      </w:pPr>
      <w:bookmarkStart w:id="15" w:name="_Toc485644667"/>
      <w:bookmarkEnd w:id="15"/>
      <w:r>
        <w:rPr/>
        <w:t>Liptinite Maceral Group</w:t>
      </w:r>
    </w:p>
    <w:p>
      <w:pPr>
        <w:pStyle w:val="Normal"/>
        <w:jc w:val="both"/>
        <w:rPr>
          <w:rFonts w:ascii="Calibri" w:hAnsi="Calibri" w:cs="Arial"/>
          <w:i/>
          <w:i/>
        </w:rPr>
      </w:pPr>
      <w:r>
        <w:rPr>
          <w:rFonts w:cs="Arial" w:ascii="Calibri" w:hAnsi="Calibri"/>
          <w:i/>
        </w:rPr>
      </w:r>
    </w:p>
    <w:p>
      <w:pPr>
        <w:pStyle w:val="Normal"/>
        <w:jc w:val="both"/>
        <w:rPr>
          <w:rFonts w:ascii="Calibri" w:hAnsi="Calibri" w:cs="Arial"/>
        </w:rPr>
      </w:pPr>
      <w:r>
        <w:rPr>
          <w:rFonts w:cs="Arial" w:ascii="Calibri" w:hAnsi="Calibri"/>
        </w:rPr>
        <w:t xml:space="preserve">Liptinite is derived from non-humifiable plant matter (Taylor </w:t>
      </w:r>
      <w:r>
        <w:rPr>
          <w:rFonts w:cs="Arial" w:ascii="Calibri" w:hAnsi="Calibri"/>
          <w:i/>
        </w:rPr>
        <w:t>et al</w:t>
      </w:r>
      <w:r>
        <w:rPr>
          <w:rFonts w:cs="Arial" w:ascii="Calibri" w:hAnsi="Calibri"/>
        </w:rPr>
        <w:t xml:space="preserve">., 1998; Pickel </w:t>
      </w:r>
      <w:r>
        <w:rPr>
          <w:rFonts w:cs="Arial" w:ascii="Calibri" w:hAnsi="Calibri"/>
          <w:i/>
        </w:rPr>
        <w:t>et al</w:t>
      </w:r>
      <w:r>
        <w:rPr>
          <w:rFonts w:cs="Arial" w:ascii="Calibri" w:hAnsi="Calibri"/>
        </w:rPr>
        <w:t>., 2017). The term liptinite has replaced the term exinite as it was determined that liptinite is a more accurate description representing the chemically distinct parts of plants rather than just the chemically-resistant exines of spores. Thus, the term includes: spores;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  Alginite, typically occurring in deep water coals, and bituminite may be associated with sedimentary rocks assessed for shale gas potential.</w:t>
      </w:r>
    </w:p>
    <w:p>
      <w:pPr>
        <w:pStyle w:val="Normal"/>
        <w:jc w:val="both"/>
        <w:rPr>
          <w:rFonts w:ascii="Calibri" w:hAnsi="Calibri" w:cs="Arial"/>
        </w:rPr>
      </w:pPr>
      <w:r>
        <w:rPr>
          <w:rFonts w:cs="Arial" w:ascii="Calibri" w:hAnsi="Calibri"/>
        </w:rPr>
      </w:r>
    </w:p>
    <w:p>
      <w:pPr>
        <w:pStyle w:val="Normal"/>
        <w:jc w:val="center"/>
        <w:rPr>
          <w:rFonts w:ascii="Calibri" w:hAnsi="Calibri" w:cs="Arial"/>
          <w:b/>
          <w:b/>
        </w:rPr>
      </w:pPr>
      <w:r>
        <w:rPr>
          <w:rFonts w:cs="Arial" w:ascii="Calibri" w:hAnsi="Calibri"/>
          <w:b/>
        </w:rPr>
        <w:t>TABLE 2.3: Macerals in the Inertinite Maceral Group (following the ICCP System 1994 (ICCP, 2001), with some modifications)</w:t>
      </w:r>
    </w:p>
    <w:tbl>
      <w:tblPr>
        <w:tblStyle w:val="TableGrid"/>
        <w:tblW w:w="9724" w:type="dxa"/>
        <w:jc w:val="left"/>
        <w:tblInd w:w="0" w:type="dxa"/>
        <w:tblCellMar>
          <w:top w:w="0" w:type="dxa"/>
          <w:left w:w="108" w:type="dxa"/>
          <w:bottom w:w="0" w:type="dxa"/>
          <w:right w:w="108" w:type="dxa"/>
        </w:tblCellMar>
        <w:tblLook w:val="04a0" w:noVBand="1" w:noHBand="0" w:lastColumn="0" w:firstColumn="1" w:lastRow="0" w:firstRow="1"/>
      </w:tblPr>
      <w:tblGrid>
        <w:gridCol w:w="1322"/>
        <w:gridCol w:w="1739"/>
        <w:gridCol w:w="5552"/>
        <w:gridCol w:w="1110"/>
      </w:tblGrid>
      <w:tr>
        <w:trPr/>
        <w:tc>
          <w:tcPr>
            <w:tcW w:w="1322" w:type="dxa"/>
            <w:tcBorders/>
            <w:shd w:fill="auto" w:val="clear"/>
            <w:tcMar>
              <w:left w:w="108" w:type="dxa"/>
            </w:tcMar>
          </w:tcPr>
          <w:p>
            <w:pPr>
              <w:pStyle w:val="Normal"/>
              <w:jc w:val="center"/>
              <w:rPr>
                <w:rFonts w:ascii="Calibri" w:hAnsi="Calibri" w:cs="Arial"/>
                <w:b/>
                <w:b/>
              </w:rPr>
            </w:pPr>
            <w:r>
              <w:rPr>
                <w:rFonts w:cs="Arial" w:ascii="Calibri" w:hAnsi="Calibri"/>
                <w:b/>
              </w:rPr>
              <w:t>MACERAL SUBGROUP</w:t>
            </w:r>
          </w:p>
        </w:tc>
        <w:tc>
          <w:tcPr>
            <w:tcW w:w="1739" w:type="dxa"/>
            <w:tcBorders/>
            <w:shd w:fill="auto" w:val="clear"/>
            <w:tcMar>
              <w:left w:w="108" w:type="dxa"/>
            </w:tcMar>
          </w:tcPr>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MACERAL</w:t>
            </w:r>
          </w:p>
        </w:tc>
        <w:tc>
          <w:tcPr>
            <w:tcW w:w="5552" w:type="dxa"/>
            <w:tcBorders/>
            <w:shd w:fill="auto" w:val="clear"/>
            <w:tcMar>
              <w:left w:w="108" w:type="dxa"/>
            </w:tcMar>
          </w:tcPr>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FORM</w:t>
            </w:r>
          </w:p>
        </w:tc>
        <w:tc>
          <w:tcPr>
            <w:tcW w:w="1110" w:type="dxa"/>
            <w:tcBorders/>
            <w:shd w:fill="auto" w:val="clear"/>
            <w:tcMar>
              <w:left w:w="108" w:type="dxa"/>
            </w:tcMar>
          </w:tcPr>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PLATE</w:t>
            </w:r>
          </w:p>
        </w:tc>
      </w:tr>
      <w:tr>
        <w:trPr/>
        <w:tc>
          <w:tcPr>
            <w:tcW w:w="1322" w:type="dxa"/>
            <w:tcBorders/>
            <w:shd w:fill="auto" w:val="clear"/>
            <w:tcMar>
              <w:left w:w="108" w:type="dxa"/>
            </w:tcMar>
          </w:tcPr>
          <w:p>
            <w:pPr>
              <w:pStyle w:val="Normal"/>
              <w:rPr>
                <w:rFonts w:ascii="Calibri" w:hAnsi="Calibri" w:cs="Arial"/>
              </w:rPr>
            </w:pPr>
            <w:r>
              <w:rPr>
                <w:rFonts w:cs="Arial" w:ascii="Calibri" w:hAnsi="Calibri"/>
              </w:rPr>
              <w:t>With plant cell structures</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Macerals lacking plant cell structures</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Fragmented</w:t>
            </w:r>
          </w:p>
        </w:tc>
        <w:tc>
          <w:tcPr>
            <w:tcW w:w="1739" w:type="dxa"/>
            <w:tcBorders/>
            <w:shd w:fill="auto" w:val="clear"/>
            <w:tcMar>
              <w:left w:w="108" w:type="dxa"/>
            </w:tcMar>
          </w:tcPr>
          <w:p>
            <w:pPr>
              <w:pStyle w:val="Normal"/>
              <w:rPr>
                <w:rFonts w:ascii="Calibri" w:hAnsi="Calibri" w:cs="Arial"/>
              </w:rPr>
            </w:pPr>
            <w:r>
              <w:rPr>
                <w:rFonts w:cs="Arial" w:ascii="Calibri" w:hAnsi="Calibri"/>
              </w:rPr>
              <w:t>Fusinite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Semifusinite – inert (ISF)</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Semifusinite – reactive (RSF)</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Funginite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Secretinite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Micrinite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Macrinite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Inertodetrinite</w:t>
            </w:r>
          </w:p>
        </w:tc>
        <w:tc>
          <w:tcPr>
            <w:tcW w:w="5552" w:type="dxa"/>
            <w:tcBorders/>
            <w:shd w:fill="auto" w:val="clear"/>
            <w:tcMar>
              <w:left w:w="108" w:type="dxa"/>
            </w:tcMar>
          </w:tcPr>
          <w:p>
            <w:pPr>
              <w:pStyle w:val="Normal"/>
              <w:rPr>
                <w:rFonts w:ascii="Calibri" w:hAnsi="Calibri" w:cs="Arial"/>
              </w:rPr>
            </w:pPr>
            <w:r>
              <w:rPr>
                <w:rFonts w:cs="Arial" w:ascii="Calibri" w:hAnsi="Calibri"/>
              </w:rPr>
              <w:t>Highly reflecting, well preserved cellular structure often intact or fragmented (bogen structure); no fluorescence; hard; exact origin debated between incomplete combustion in peat fires, and / or advanced oxidation.</w:t>
            </w:r>
          </w:p>
          <w:p>
            <w:pPr>
              <w:pStyle w:val="Normal"/>
              <w:rPr>
                <w:rFonts w:ascii="Calibri" w:hAnsi="Calibri" w:cs="Arial"/>
              </w:rPr>
            </w:pPr>
            <w:r>
              <w:rPr/>
            </w:r>
          </w:p>
          <w:p>
            <w:pPr>
              <w:pStyle w:val="Normal"/>
              <w:rPr>
                <w:rFonts w:ascii="Calibri" w:hAnsi="Calibri" w:cs="Arial"/>
              </w:rPr>
            </w:pPr>
            <w:r>
              <w:rPr>
                <w:rFonts w:cs="Arial" w:ascii="Calibri" w:hAnsi="Calibri"/>
              </w:rPr>
              <w:t xml:space="preserve">Intermediate structure and reflectance between vitrinite and fusinite in the same coal; derived from wood (more Northern hemisphere coals) or leaves (especially Gondwana coals); shows irregular anisotropy; common component of southern African coals. </w:t>
            </w:r>
          </w:p>
          <w:p>
            <w:pPr>
              <w:pStyle w:val="Normal"/>
              <w:rPr>
                <w:rFonts w:ascii="Calibri" w:hAnsi="Calibri" w:cs="Arial"/>
              </w:rPr>
            </w:pPr>
            <w:r>
              <w:rPr/>
            </w:r>
          </w:p>
          <w:p>
            <w:pPr>
              <w:pStyle w:val="Normal"/>
              <w:rPr>
                <w:rFonts w:ascii="Calibri" w:hAnsi="Calibri" w:cs="Arial"/>
              </w:rPr>
            </w:pPr>
            <w:r>
              <w:rPr>
                <w:rFonts w:cs="Arial" w:ascii="Calibri" w:hAnsi="Calibri"/>
              </w:rPr>
              <w:t xml:space="preserve">RSF reflectance values close to vitrinite at same rank, but the maceral exhibits structure and possibly partial anisotropy. </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Fungal remains; highly reflecting single or multi-celled fungal spores, sclerotia, hyphae, mycelia. Almost completely absent in southern Africa coals, more common in Northern Hemisphere coals, and low rank coals of Asia.</w:t>
            </w:r>
          </w:p>
          <w:p>
            <w:pPr>
              <w:pStyle w:val="Normal"/>
              <w:rPr>
                <w:rFonts w:ascii="Calibri" w:hAnsi="Calibri" w:cs="Arial"/>
              </w:rPr>
            </w:pPr>
            <w:r>
              <w:rPr>
                <w:rFonts w:cs="Arial" w:ascii="Calibri" w:hAnsi="Calibri"/>
              </w:rPr>
              <w:t>Round to oblong, non-cellular, vesicled to non-vesicled forms with high reflectance; may exhibit low reflectance; previously referred to as sclerotinite; origin uncertain – maybe oxidised resins; common globally.</w:t>
            </w:r>
          </w:p>
          <w:p>
            <w:pPr>
              <w:pStyle w:val="Normal"/>
              <w:rPr>
                <w:rFonts w:ascii="Calibri" w:hAnsi="Calibri" w:cs="Arial"/>
              </w:rPr>
            </w:pPr>
            <w:r>
              <w:rPr>
                <w:rFonts w:cs="Arial" w:ascii="Calibri" w:hAnsi="Calibri"/>
              </w:rPr>
              <w: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t>
            </w:r>
          </w:p>
          <w:p>
            <w:pPr>
              <w:pStyle w:val="Normal"/>
              <w:rPr>
                <w:rFonts w:ascii="Calibri" w:hAnsi="Calibri" w:cs="Arial"/>
              </w:rPr>
            </w:pPr>
            <w:r>
              <w:rPr>
                <w:rFonts w:cs="Arial" w:ascii="Calibri" w:hAnsi="Calibri"/>
              </w:rPr>
              <w:t xml:space="preserve">Large compact, amorphous, structure-less inertinite of variable shape; variable origin, including metabolic products of fungi/bacteria, invertebrate excrement, or flocculated humic matrix substances partially oxidised; occurs globally, but generally rare. </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t>
            </w:r>
          </w:p>
        </w:tc>
        <w:tc>
          <w:tcPr>
            <w:tcW w:w="1110" w:type="dxa"/>
            <w:tcBorders/>
            <w:shd w:fill="auto" w:val="clear"/>
            <w:tcMar>
              <w:left w:w="108" w:type="dxa"/>
            </w:tcMar>
          </w:tcPr>
          <w:p>
            <w:pPr>
              <w:pStyle w:val="Normal"/>
              <w:jc w:val="center"/>
              <w:rPr>
                <w:rFonts w:ascii="Calibri" w:hAnsi="Calibri" w:cs="Arial"/>
              </w:rPr>
            </w:pPr>
            <w:r>
              <w:rPr>
                <w:rFonts w:cs="Arial" w:ascii="Calibri" w:hAnsi="Calibri"/>
              </w:rPr>
              <w:t>12-14</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15-16</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17-18</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19-21</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22</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23</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24-26</w:t>
            </w:r>
          </w:p>
        </w:tc>
      </w:tr>
    </w:tbl>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Liptinite exhibits lower reflectance than other organic components in the same sample of sedimentary rock and coal in low and medium rank coal, appearing black to dark grey or rusty brown in reflected white light. Under short wavelength radiation, such as ultraviolet or blue light fluorescence, liptinite is observed to autofluoresce, possibly with different intensities related to rank, maceral type, chemical composition, and degree of oxidation / alteration. A more orange fluorescence occurs at higher rank, with a more yellow (blue-light excitation) or greenish-yellow (UV excitation) at lower rank (Bustin </w:t>
      </w:r>
      <w:r>
        <w:rPr>
          <w:rFonts w:cs="Arial" w:ascii="Calibri" w:hAnsi="Calibri"/>
          <w:i/>
        </w:rPr>
        <w:t>et al.</w:t>
      </w:r>
      <w:r>
        <w:rPr>
          <w:rFonts w:cs="Arial" w:ascii="Calibri" w:hAnsi="Calibri"/>
        </w:rPr>
        <w:t xml:space="preserve">, 1983; Pickel </w:t>
      </w:r>
      <w:r>
        <w:rPr>
          <w:rFonts w:cs="Arial" w:ascii="Calibri" w:hAnsi="Calibri"/>
          <w:i/>
        </w:rPr>
        <w:t>et a</w:t>
      </w:r>
      <w:r>
        <w:rPr>
          <w:rFonts w:cs="Arial" w:ascii="Calibri" w:hAnsi="Calibri"/>
        </w:rPr>
        <w:t xml:space="preserve">l., 2017). Compared to the other maceral groups, the chemical structure of liptinite is more hydrogen-rich and aliphatic. At ranks above medium volatile bituminous, liptinite begins to fade out, becoming extinguished in more mature coals (typically above 1.5 RoVmr%)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Normal"/>
        <w:jc w:val="both"/>
        <w:rPr>
          <w:rFonts w:ascii="Calibri" w:hAnsi="Calibri" w:cs="Arial"/>
        </w:rPr>
      </w:pPr>
      <w:r>
        <w:rPr>
          <w:rFonts w:cs="Arial" w:ascii="Calibri" w:hAnsi="Calibri"/>
        </w:rPr>
      </w:r>
    </w:p>
    <w:p>
      <w:pPr>
        <w:pStyle w:val="Normal"/>
        <w:jc w:val="both"/>
        <w:rPr/>
      </w:pPr>
      <w:r>
        <w:rPr>
          <w:rFonts w:cs="Arial" w:ascii="Calibri" w:hAnsi="Calibri"/>
        </w:rPr>
        <w:t xml:space="preserve">A list of macerals in the liptinite group is given in Table 2.4. The ICCP recently updated the classification of liptinite (Pickel </w:t>
      </w:r>
      <w:r>
        <w:rPr>
          <w:rFonts w:cs="Arial" w:ascii="Calibri" w:hAnsi="Calibri"/>
          <w:i/>
        </w:rPr>
        <w:t>et al</w:t>
      </w:r>
      <w:r>
        <w:rPr>
          <w:rFonts w:cs="Arial" w:ascii="Calibri" w:hAnsi="Calibri"/>
        </w:rPr>
        <w:t xml:space="preserve">., 2017). Taylor </w:t>
      </w:r>
      <w:r>
        <w:rPr>
          <w:rFonts w:cs="Arial" w:ascii="Calibri" w:hAnsi="Calibri"/>
          <w:i/>
        </w:rPr>
        <w:t>et al</w:t>
      </w:r>
      <w:r>
        <w:rPr>
          <w:rFonts w:cs="Arial" w:ascii="Calibri" w:hAnsi="Calibri"/>
        </w:rPr>
        <w:t xml:space="preserve">. (1998) and O’Keefe </w:t>
      </w:r>
      <w:r>
        <w:rPr>
          <w:rFonts w:cs="Arial" w:ascii="Calibri" w:hAnsi="Calibri"/>
          <w:i/>
        </w:rPr>
        <w:t>et al</w:t>
      </w:r>
      <w:r>
        <w:rPr>
          <w:rFonts w:cs="Arial" w:ascii="Calibri" w:hAnsi="Calibri"/>
        </w:rPr>
        <w:t>. (2013) are useful references, and the reader is advised to follow the ICCP website (</w:t>
      </w:r>
      <w:hyperlink r:id="rId12">
        <w:r>
          <w:rPr>
            <w:webHidden/>
            <w:rStyle w:val="InternetLink"/>
            <w:rFonts w:cs="Arial" w:ascii="Calibri" w:hAnsi="Calibri"/>
          </w:rPr>
          <w:t>www.iccop.org</w:t>
        </w:r>
      </w:hyperlink>
      <w:r>
        <w:rPr>
          <w:rFonts w:cs="Arial" w:ascii="Calibri" w:hAnsi="Calibri"/>
        </w:rPr>
        <w:t xml:space="preserve">) for up to date changes in terminology and classification. All liptinite forms excluding suberinite and bituminite are observable in southern African coals, typically occurring as less than 10 vol %, although there are exceptions.  </w:t>
      </w:r>
    </w:p>
    <w:p>
      <w:pPr>
        <w:pStyle w:val="Normal"/>
        <w:jc w:val="both"/>
        <w:rPr>
          <w:rFonts w:ascii="Calibri" w:hAnsi="Calibri" w:cs="Arial"/>
        </w:rPr>
      </w:pPr>
      <w:r>
        <w:rPr>
          <w:rFonts w:cs="Arial" w:ascii="Calibri" w:hAnsi="Calibri"/>
        </w:rPr>
      </w:r>
    </w:p>
    <w:p>
      <w:pPr>
        <w:pStyle w:val="Normal"/>
        <w:rPr>
          <w:rFonts w:ascii="Calibri" w:hAnsi="Calibri" w:cs="Arial"/>
          <w:b/>
          <w:b/>
        </w:rPr>
      </w:pPr>
      <w:r>
        <w:rPr>
          <w:rFonts w:cs="Arial" w:ascii="Calibri" w:hAnsi="Calibri"/>
          <w:b/>
        </w:rPr>
        <w:t xml:space="preserve">TABLE 2.4: Macerals in the Liptinite Maceral Group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067"/>
        <w:gridCol w:w="5362"/>
        <w:gridCol w:w="1587"/>
      </w:tblGrid>
      <w:tr>
        <w:trPr/>
        <w:tc>
          <w:tcPr>
            <w:tcW w:w="2067" w:type="dxa"/>
            <w:tcBorders/>
            <w:shd w:fill="auto" w:val="clear"/>
            <w:tcMar>
              <w:left w:w="108" w:type="dxa"/>
            </w:tcMar>
          </w:tcPr>
          <w:p>
            <w:pPr>
              <w:pStyle w:val="Normal"/>
              <w:rPr>
                <w:rFonts w:ascii="Calibri" w:hAnsi="Calibri" w:cs="Arial"/>
                <w:b/>
                <w:b/>
              </w:rPr>
            </w:pPr>
            <w:r>
              <w:rPr>
                <w:rFonts w:cs="Arial" w:ascii="Calibri" w:hAnsi="Calibri"/>
                <w:b/>
              </w:rPr>
              <w:t>MACERAL SUBGROUP</w:t>
              <w:tab/>
            </w:r>
          </w:p>
        </w:tc>
        <w:tc>
          <w:tcPr>
            <w:tcW w:w="5362" w:type="dxa"/>
            <w:tcBorders/>
            <w:shd w:fill="auto" w:val="clear"/>
            <w:tcMar>
              <w:left w:w="108" w:type="dxa"/>
            </w:tcMar>
          </w:tcPr>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FORM</w:t>
            </w:r>
          </w:p>
        </w:tc>
        <w:tc>
          <w:tcPr>
            <w:tcW w:w="1587" w:type="dxa"/>
            <w:tcBorders/>
            <w:shd w:fill="auto" w:val="clear"/>
            <w:tcMar>
              <w:left w:w="108" w:type="dxa"/>
            </w:tcMar>
          </w:tcPr>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PLATE</w:t>
            </w:r>
          </w:p>
        </w:tc>
      </w:tr>
      <w:tr>
        <w:trPr>
          <w:trHeight w:val="2684" w:hRule="atLeast"/>
        </w:trPr>
        <w:tc>
          <w:tcPr>
            <w:tcW w:w="2067" w:type="dxa"/>
            <w:tcBorders/>
            <w:shd w:fill="auto" w:val="clear"/>
            <w:tcMar>
              <w:left w:w="108" w:type="dxa"/>
            </w:tcMar>
          </w:tcPr>
          <w:p>
            <w:pPr>
              <w:pStyle w:val="Normal"/>
              <w:rPr>
                <w:rFonts w:ascii="Calibri" w:hAnsi="Calibri" w:cs="Arial"/>
              </w:rPr>
            </w:pPr>
            <w:r>
              <w:rPr>
                <w:rFonts w:cs="Arial" w:ascii="Calibri" w:hAnsi="Calibri"/>
              </w:rPr>
              <w:t>Sporinite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pPr>
            <w:r>
              <w:rPr>
                <w:rFonts w:cs="Arial" w:ascii="Calibri" w:hAnsi="Calibri"/>
              </w:rPr>
              <w:t>Cutinite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Exudatinite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Resinite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Alginite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
          </w:p>
          <w:p>
            <w:pPr>
              <w:pStyle w:val="Normal"/>
              <w:rPr>
                <w:rFonts w:ascii="Calibri" w:hAnsi="Calibri" w:cs="Arial"/>
              </w:rPr>
            </w:pPr>
            <w:r>
              <w:rPr>
                <w:rFonts w:cs="Arial" w:ascii="Calibri" w:hAnsi="Calibri"/>
              </w:rPr>
              <w:t>Suberinite</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t>Liptodetrinite</w:t>
            </w:r>
          </w:p>
          <w:p>
            <w:pPr>
              <w:pStyle w:val="Normal"/>
              <w:rPr>
                <w:rFonts w:ascii="Calibri" w:hAnsi="Calibri" w:cs="Arial"/>
              </w:rPr>
            </w:pPr>
            <w:r>
              <w:rPr/>
            </w:r>
          </w:p>
          <w:p>
            <w:pPr>
              <w:pStyle w:val="Normal"/>
              <w:rPr>
                <w:rFonts w:ascii="Calibri" w:hAnsi="Calibri" w:cs="Arial"/>
              </w:rPr>
            </w:pPr>
            <w:r>
              <w:rPr>
                <w:rFonts w:cs="Arial" w:ascii="Calibri" w:hAnsi="Calibri"/>
              </w:rPr>
              <w:t>Bituminite</w:t>
            </w:r>
          </w:p>
        </w:tc>
        <w:tc>
          <w:tcPr>
            <w:tcW w:w="5362" w:type="dxa"/>
            <w:tcBorders/>
            <w:shd w:fill="auto" w:val="clear"/>
            <w:tcMar>
              <w:left w:w="108" w:type="dxa"/>
            </w:tcMar>
          </w:tcPr>
          <w:p>
            <w:pPr>
              <w:pStyle w:val="Normal"/>
              <w:rPr>
                <w:rFonts w:ascii="Calibri" w:hAnsi="Calibri" w:cs="Arial"/>
              </w:rPr>
            </w:pPr>
            <w:r>
              <w:rPr>
                <w:rFonts w:cs="Arial" w:ascii="Calibri" w:hAnsi="Calibri"/>
              </w:rPr>
              <w:t>Outer membranes (exines) of micro-, macro and megaspores; usually compressed at higher rank and aligned with sediments, well-preserved, variable shape and wall thickness, distinct botanical forms. Most common form of liptinite.</w:t>
            </w:r>
          </w:p>
          <w:p>
            <w:pPr>
              <w:pStyle w:val="Normal"/>
              <w:rPr>
                <w:rFonts w:ascii="Calibri" w:hAnsi="Calibri" w:cs="Arial"/>
              </w:rPr>
            </w:pPr>
            <w:r>
              <w:rPr/>
            </w:r>
          </w:p>
          <w:p>
            <w:pPr>
              <w:pStyle w:val="Normal"/>
              <w:rPr>
                <w:rFonts w:ascii="Calibri" w:hAnsi="Calibri" w:cs="Arial"/>
              </w:rPr>
            </w:pPr>
            <w:r>
              <w:rPr>
                <w:rFonts w:cs="Arial" w:ascii="Calibri" w:hAnsi="Calibri"/>
              </w:rPr>
              <w:t>From leaf and stem cuticles. Elongated, usually serrated, well preserved, distinct botanical forms, parallel to stratification. May exhibit serrations on one edge.</w:t>
            </w:r>
          </w:p>
          <w:p>
            <w:pPr>
              <w:pStyle w:val="Normal"/>
              <w:rPr>
                <w:rFonts w:ascii="Calibri" w:hAnsi="Calibri" w:cs="Arial"/>
              </w:rPr>
            </w:pPr>
            <w:r>
              <w:rPr/>
            </w:r>
          </w:p>
          <w:p>
            <w:pPr>
              <w:pStyle w:val="Normal"/>
              <w:rPr>
                <w:rFonts w:ascii="Calibri" w:hAnsi="Calibri" w:cs="Arial"/>
              </w:rPr>
            </w:pPr>
            <w:r>
              <w:rPr>
                <w:rFonts w:cs="Arial" w:ascii="Calibri" w:hAnsi="Calibri"/>
              </w:rPr>
              <w:t>A secondary maceral, infilling voids, cavities, empty cells; strong fluorescence. Derived from hydrogen-rich sources (e.g. liptinite).</w:t>
            </w:r>
          </w:p>
          <w:p>
            <w:pPr>
              <w:pStyle w:val="Normal"/>
              <w:rPr>
                <w:rFonts w:ascii="Calibri" w:hAnsi="Calibri" w:cs="Arial"/>
              </w:rPr>
            </w:pPr>
            <w:r>
              <w:rPr/>
            </w:r>
          </w:p>
          <w:p>
            <w:pPr>
              <w:pStyle w:val="Normal"/>
              <w:rPr>
                <w:rFonts w:ascii="Calibri" w:hAnsi="Calibri" w:cs="Arial"/>
              </w:rPr>
            </w:pPr>
            <w:r>
              <w:rPr>
                <w:rFonts w:cs="Arial" w:ascii="Calibri" w:hAnsi="Calibri"/>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p>
          <w:p>
            <w:pPr>
              <w:pStyle w:val="Normal"/>
              <w:rPr>
                <w:rFonts w:ascii="Calibri" w:hAnsi="Calibri" w:cs="Arial"/>
              </w:rPr>
            </w:pPr>
            <w:r>
              <w:rPr/>
            </w:r>
          </w:p>
          <w:p>
            <w:pPr>
              <w:pStyle w:val="Normal"/>
              <w:rPr>
                <w:rFonts w:ascii="Calibri" w:hAnsi="Calibri" w:cs="Arial"/>
              </w:rPr>
            </w:pPr>
            <w:r>
              <w:rPr>
                <w:rFonts w:cs="Arial" w:ascii="Calibri" w:hAnsi="Calibri"/>
              </w:rPr>
              <w:t>Algal colonies or solitary, of planktonic and benthic origin; rounded, elongated, semi-compressed, distinct and well-preserved in botanical form. Rare in humic coals; subcategories: telalginite being larger, more structurally distinct than lamalginite.</w:t>
            </w:r>
          </w:p>
          <w:p>
            <w:pPr>
              <w:pStyle w:val="Normal"/>
              <w:rPr>
                <w:rFonts w:ascii="Calibri" w:hAnsi="Calibri" w:cs="Arial"/>
              </w:rPr>
            </w:pPr>
            <w:r>
              <w:rPr/>
            </w:r>
          </w:p>
          <w:p>
            <w:pPr>
              <w:pStyle w:val="Normal"/>
              <w:rPr>
                <w:rFonts w:ascii="Calibri" w:hAnsi="Calibri" w:cs="Arial"/>
              </w:rPr>
            </w:pPr>
            <w:r>
              <w:rPr>
                <w:rFonts w:cs="Arial" w:ascii="Calibri" w:hAnsi="Calibri"/>
              </w:rPr>
              <w:t>A rare form in lignites, from suberous tissues, well defined cell structure; intense fluorescence. Not encountered in southern Africa due to rank.</w:t>
            </w:r>
          </w:p>
          <w:p>
            <w:pPr>
              <w:pStyle w:val="Normal"/>
              <w:rPr>
                <w:rFonts w:ascii="Calibri" w:hAnsi="Calibri" w:cs="Arial"/>
              </w:rPr>
            </w:pPr>
            <w:r>
              <w:rPr/>
            </w:r>
          </w:p>
          <w:p>
            <w:pPr>
              <w:pStyle w:val="Normal"/>
              <w:rPr>
                <w:rFonts w:ascii="Calibri" w:hAnsi="Calibri" w:cs="Arial"/>
              </w:rPr>
            </w:pPr>
            <w:r>
              <w:rPr>
                <w:rFonts w:cs="Arial" w:ascii="Calibri" w:hAnsi="Calibri"/>
              </w:rPr>
              <w:t>Small detrital fragments of the above macerals. Rare.</w:t>
            </w:r>
          </w:p>
          <w:p>
            <w:pPr>
              <w:pStyle w:val="Normal"/>
              <w:rPr>
                <w:rFonts w:ascii="Calibri" w:hAnsi="Calibri" w:cs="Arial"/>
              </w:rPr>
            </w:pPr>
            <w:r>
              <w:rPr>
                <w:rFonts w:cs="Arial" w:ascii="Calibri" w:hAnsi="Calibri"/>
              </w:rPr>
              <w:t>An amorphous degradation product, distinguished from vitrinite by lower reflectance and higher fluorescent intensity. Occurs as fine-granular groundmass, or laminae, streaks, whisps, bands, threads. Extremely rare.</w:t>
            </w:r>
          </w:p>
        </w:tc>
        <w:tc>
          <w:tcPr>
            <w:tcW w:w="1587" w:type="dxa"/>
            <w:tcBorders/>
            <w:shd w:fill="auto" w:val="clear"/>
            <w:tcMar>
              <w:left w:w="108" w:type="dxa"/>
            </w:tcMar>
          </w:tcPr>
          <w:p>
            <w:pPr>
              <w:pStyle w:val="Normal"/>
              <w:jc w:val="center"/>
              <w:rPr>
                <w:rFonts w:ascii="Calibri" w:hAnsi="Calibri" w:cs="Arial"/>
              </w:rPr>
            </w:pPr>
            <w:r>
              <w:rPr>
                <w:rFonts w:cs="Arial" w:ascii="Calibri" w:hAnsi="Calibri"/>
              </w:rPr>
              <w:t>28-31</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32-33</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34</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t>35</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rFonts w:ascii="Calibri" w:hAnsi="Calibri" w:cs="Arial"/>
              </w:rPr>
            </w:pPr>
            <w:r>
              <w:rPr/>
            </w:r>
          </w:p>
          <w:p>
            <w:pPr>
              <w:pStyle w:val="Normal"/>
              <w:jc w:val="center"/>
              <w:rPr>
                <w:rFonts w:ascii="Calibri" w:hAnsi="Calibri" w:cs="Arial"/>
              </w:rPr>
            </w:pPr>
            <w:r>
              <w:rPr>
                <w:rFonts w:cs="Arial" w:ascii="Calibri" w:hAnsi="Calibri"/>
              </w:rPr>
              <w:t>36</w:t>
            </w:r>
          </w:p>
          <w:p>
            <w:pPr>
              <w:pStyle w:val="Normal"/>
              <w:jc w:val="center"/>
              <w:rPr>
                <w:rFonts w:ascii="Calibri" w:hAnsi="Calibri" w:cs="Arial"/>
              </w:rPr>
            </w:pPr>
            <w:r>
              <w:rPr>
                <w:rFonts w:cs="Arial" w:ascii="Calibri" w:hAnsi="Calibri"/>
              </w:rPr>
            </w:r>
          </w:p>
          <w:p>
            <w:pPr>
              <w:pStyle w:val="Normal"/>
              <w:jc w:val="center"/>
              <w:rPr>
                <w:rFonts w:ascii="Calibri" w:hAnsi="Calibri" w:cs="Arial"/>
              </w:rPr>
            </w:pPr>
            <w:r>
              <w:rPr>
                <w:rFonts w:cs="Arial" w:ascii="Calibri" w:hAnsi="Calibri"/>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highlight w:val="yellow"/>
              </w:rPr>
            </w:pPr>
            <w:r>
              <w:rPr>
                <w:rFonts w:cs="Arial" w:ascii="Calibri" w:hAnsi="Calibri"/>
                <w:highlight w:val="yellow"/>
              </w:rPr>
            </w:r>
          </w:p>
          <w:p>
            <w:pPr>
              <w:pStyle w:val="Normal"/>
              <w:jc w:val="center"/>
              <w:rPr>
                <w:rFonts w:ascii="Calibri" w:hAnsi="Calibri" w:cs="Arial"/>
              </w:rPr>
            </w:pPr>
            <w:r>
              <w:rPr>
                <w:rFonts w:cs="Arial" w:ascii="Calibri" w:hAnsi="Calibri"/>
              </w:rPr>
            </w:r>
          </w:p>
        </w:tc>
      </w:tr>
    </w:tbl>
    <w:p>
      <w:pPr>
        <w:pStyle w:val="Normal"/>
        <w:rPr/>
      </w:pPr>
      <w:r>
        <w:rPr/>
      </w:r>
    </w:p>
    <w:p>
      <w:pPr>
        <w:pStyle w:val="Heading4"/>
        <w:numPr>
          <w:ilvl w:val="3"/>
          <w:numId w:val="11"/>
        </w:numPr>
        <w:rPr>
          <w:rFonts w:ascii="Calibri" w:hAnsi="Calibri"/>
        </w:rPr>
      </w:pPr>
      <w:bookmarkStart w:id="16" w:name="_Toc485644668"/>
      <w:bookmarkEnd w:id="16"/>
      <w:r>
        <w:rPr>
          <w:rFonts w:ascii="Calibri" w:hAnsi="Calibri"/>
        </w:rPr>
        <w:t>Minerals in coal (grade)</w:t>
      </w:r>
    </w:p>
    <w:p>
      <w:pPr>
        <w:pStyle w:val="ListParagraph"/>
        <w:spacing w:lineRule="auto" w:line="360"/>
        <w:ind w:left="645" w:hanging="0"/>
        <w:rPr>
          <w:sz w:val="20"/>
          <w:szCs w:val="20"/>
        </w:rPr>
      </w:pPr>
      <w:r>
        <w:rPr>
          <w:sz w:val="20"/>
          <w:szCs w:val="20"/>
        </w:rPr>
      </w:r>
    </w:p>
    <w:p>
      <w:pPr>
        <w:pStyle w:val="ListParagraph"/>
        <w:ind w:left="0" w:hanging="0"/>
        <w:jc w:val="both"/>
        <w:rPr>
          <w:rFonts w:ascii="Calibri" w:hAnsi="Calibri"/>
        </w:rPr>
      </w:pPr>
      <w:r>
        <w:rPr>
          <w:rFonts w:ascii="Calibri" w:hAnsi="Calibri"/>
        </w:rPr>
        <w:t>Minerals occur in several forms in coal, and are highly variable in physical appearance and chemical composition. Mineral matter may be deposited during peat formation either arising 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determined mineral matter.</w:t>
      </w:r>
    </w:p>
    <w:p>
      <w:pPr>
        <w:pStyle w:val="ListParagraph"/>
        <w:ind w:left="0" w:hanging="0"/>
        <w:jc w:val="both"/>
        <w:rPr>
          <w:rFonts w:ascii="Calibri" w:hAnsi="Calibri"/>
        </w:rPr>
      </w:pPr>
      <w:r>
        <w:rPr>
          <w:rFonts w:ascii="Calibri" w:hAnsi="Calibri"/>
        </w:rPr>
      </w:r>
    </w:p>
    <w:p>
      <w:pPr>
        <w:pStyle w:val="ListParagraph"/>
        <w:ind w:left="-426" w:hanging="0"/>
        <w:jc w:val="both"/>
        <w:rPr>
          <w:rFonts w:ascii="Calibri" w:hAnsi="Calibri"/>
        </w:rPr>
      </w:pPr>
      <w:r>
        <w:rPr>
          <w:rFonts w:ascii="Calibri" w:hAnsi="Calibri"/>
        </w:rPr>
      </w:r>
    </w:p>
    <w:p>
      <w:pPr>
        <w:pStyle w:val="Normal"/>
        <w:ind w:left="-142" w:hanging="0"/>
        <w:jc w:val="center"/>
        <w:rPr>
          <w:rFonts w:ascii="Calibri" w:hAnsi="Calibri"/>
          <w:b/>
          <w:b/>
          <w:sz w:val="20"/>
          <w:szCs w:val="20"/>
        </w:rPr>
      </w:pPr>
      <w:r>
        <w:rPr>
          <w:rFonts w:ascii="Calibri" w:hAnsi="Calibri"/>
          <w:b/>
          <w:sz w:val="20"/>
          <w:szCs w:val="20"/>
        </w:rPr>
        <w:t xml:space="preserve">Figure 2.7: The origins and types of mineral matter in coal (modified from </w:t>
      </w:r>
      <w:r>
        <w:rPr>
          <w:rFonts w:cs="Arial" w:ascii="Calibri" w:hAnsi="Calibri"/>
          <w:b/>
          <w:sz w:val="20"/>
          <w:szCs w:val="20"/>
        </w:rPr>
        <w:t>Falcon and Snyman, 1986)</w:t>
      </w:r>
    </w:p>
    <w:p>
      <w:pPr>
        <w:pStyle w:val="Normal"/>
        <w:jc w:val="center"/>
        <w:rPr>
          <w:rFonts w:ascii="Calibri" w:hAnsi="Calibri"/>
          <w:b/>
          <w:b/>
          <w:sz w:val="20"/>
          <w:szCs w:val="20"/>
        </w:rPr>
      </w:pPr>
      <w:r>
        <w:rPr>
          <w:rFonts w:ascii="Calibri" w:hAnsi="Calibri"/>
          <w:b/>
          <w:sz w:val="20"/>
          <w:szCs w:val="20"/>
        </w:rPr>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The forms in which minerals may occur in coal fall into two major categories (Fig. 2.7). The first category includes the </w:t>
      </w:r>
      <w:r>
        <w:rPr>
          <w:rFonts w:ascii="Calibri" w:hAnsi="Calibri"/>
          <w:i/>
        </w:rPr>
        <w:t>intrinsic</w:t>
      </w:r>
      <w:r>
        <w:rPr>
          <w:rFonts w:ascii="Calibri" w:hAnsi="Calibri"/>
        </w:rPr>
        <w:t xml:space="preserve">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minerals grains within the coally matrix (e.g. quartz, clays, and to a lesser extent feldspar, apatite, muscovite), introduced by means of wind and water or precipitation </w:t>
      </w:r>
      <w:r>
        <w:rPr>
          <w:rFonts w:ascii="Calibri" w:hAnsi="Calibri"/>
          <w:i/>
        </w:rPr>
        <w:t>in situ</w:t>
      </w:r>
      <w:r>
        <w:rPr>
          <w:rFonts w:ascii="Calibri" w:hAnsi="Calibri"/>
        </w:rPr>
        <w:t xml:space="preserve">.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are grains external to the coal seam, derived from the roof or the floor (Falcon, 2013), and are readily beneficiated, if included during mining. </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 xml:space="preserve">The second category includes the </w:t>
      </w:r>
      <w:r>
        <w:rPr>
          <w:rFonts w:ascii="Calibri" w:hAnsi="Calibri"/>
          <w:i/>
        </w:rPr>
        <w:t>extrinsic</w:t>
      </w:r>
      <w:r>
        <w:rPr>
          <w:rFonts w:ascii="Calibri" w:hAnsi="Calibri"/>
        </w:rPr>
        <w:t xml:space="preserve"> (epigenetic) or introduced forms of mineral matter</w:t>
      </w:r>
      <w:r>
        <w:rPr>
          <w:rFonts w:ascii="Calibri" w:hAnsi="Calibri"/>
          <w:i/>
        </w:rPr>
        <w:t xml:space="preserve">, </w:t>
      </w:r>
      <w:r>
        <w:rPr>
          <w:rFonts w:ascii="Calibri" w:hAnsi="Calibri"/>
        </w:rPr>
        <w:t xml:space="preserve">typically deposited by percolating waters into fractures, cavities and pores within the coal seam long after the initial accumulation of the peat. These minerals forms may occur as nodules, replace, transform, or encapsulate syngenetic minerals, and 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Mineral alterations due to oxidation and / or weathering can be observed petrographically, including mineral salts and jarosite (oxidation of pyrite).</w:t>
      </w:r>
    </w:p>
    <w:p>
      <w:pPr>
        <w:pStyle w:val="ListParagraph"/>
        <w:spacing w:lineRule="auto" w:line="360"/>
        <w:ind w:left="-142" w:hanging="0"/>
        <w:rPr>
          <w:color w:val="FF0000"/>
          <w:sz w:val="20"/>
          <w:szCs w:val="20"/>
        </w:rPr>
      </w:pPr>
      <w:r>
        <w:rPr>
          <w:color w:val="FF0000"/>
          <w:sz w:val="20"/>
          <w:szCs w:val="20"/>
        </w:rPr>
      </w:r>
    </w:p>
    <w:p>
      <w:pPr>
        <w:pStyle w:val="ListParagraph"/>
        <w:spacing w:before="0" w:after="0"/>
        <w:ind w:left="-142" w:hanging="0"/>
        <w:jc w:val="center"/>
        <w:rPr/>
      </w:pPr>
      <w:r>
        <w:rPr>
          <w:rFonts w:ascii="Calibri" w:hAnsi="Calibri"/>
          <w:b/>
        </w:rPr>
        <w:t xml:space="preserve">Table 2.5: Minerals found in coal (Hower </w:t>
      </w:r>
      <w:r>
        <w:rPr>
          <w:rFonts w:ascii="Calibri" w:hAnsi="Calibri"/>
          <w:b/>
          <w:i/>
        </w:rPr>
        <w:t>et al.,</w:t>
      </w:r>
      <w:r>
        <w:rPr>
          <w:rFonts w:ascii="Calibri" w:hAnsi="Calibri"/>
          <w:b/>
        </w:rPr>
        <w:t xml:space="preserve"> 1998); other minerals are possible. </w:t>
      </w:r>
    </w:p>
    <w:p>
      <w:pPr>
        <w:pStyle w:val="ListParagraph"/>
        <w:spacing w:before="0" w:after="0"/>
        <w:ind w:left="-142" w:hanging="0"/>
        <w:jc w:val="center"/>
        <w:rPr>
          <w:rFonts w:ascii="Calibri" w:hAnsi="Calibri"/>
          <w:b/>
          <w:b/>
        </w:rPr>
      </w:pPr>
      <w:r>
        <w:rPr>
          <w:rFonts w:ascii="Calibri" w:hAnsi="Calibri"/>
          <w:b/>
        </w:rPr>
        <w:t>(dom – dominant; ab-abundant; c – common; r – rare; v r – very rare)</w:t>
      </w:r>
    </w:p>
    <w:tbl>
      <w:tblPr>
        <w:tblStyle w:val="TableGrid"/>
        <w:tblW w:w="9218" w:type="dxa"/>
        <w:jc w:val="left"/>
        <w:tblInd w:w="0" w:type="dxa"/>
        <w:tblCellMar>
          <w:top w:w="0" w:type="dxa"/>
          <w:left w:w="108" w:type="dxa"/>
          <w:bottom w:w="0" w:type="dxa"/>
          <w:right w:w="108" w:type="dxa"/>
        </w:tblCellMar>
        <w:tblLook w:val="04a0" w:noVBand="1" w:noHBand="0" w:lastColumn="0" w:firstColumn="1" w:lastRow="0" w:firstRow="1"/>
      </w:tblPr>
      <w:tblGrid>
        <w:gridCol w:w="1273"/>
        <w:gridCol w:w="1655"/>
        <w:gridCol w:w="4860"/>
        <w:gridCol w:w="1429"/>
      </w:tblGrid>
      <w:tr>
        <w:trPr>
          <w:trHeight w:val="315" w:hRule="atLeast"/>
        </w:trPr>
        <w:tc>
          <w:tcPr>
            <w:tcW w:w="1273" w:type="dxa"/>
            <w:tcBorders/>
            <w:shd w:fill="auto" w:val="clear"/>
            <w:tcMar>
              <w:left w:w="108" w:type="dxa"/>
            </w:tcMar>
          </w:tcPr>
          <w:p>
            <w:pPr>
              <w:pStyle w:val="Normal"/>
              <w:rPr>
                <w:rFonts w:ascii="Arial" w:hAnsi="Arial" w:cs="Arial" w:asciiTheme="majorHAnsi" w:cstheme="majorHAnsi" w:hAnsiTheme="majorHAnsi"/>
                <w:b/>
                <w:b/>
                <w:bCs/>
                <w:sz w:val="18"/>
                <w:szCs w:val="18"/>
              </w:rPr>
            </w:pPr>
            <w:r>
              <w:rPr>
                <w:rFonts w:cs="Arial" w:cstheme="majorHAnsi"/>
                <w:b/>
                <w:bCs/>
                <w:sz w:val="18"/>
                <w:szCs w:val="18"/>
              </w:rPr>
              <w:t>Mineral Group</w:t>
            </w:r>
          </w:p>
        </w:tc>
        <w:tc>
          <w:tcPr>
            <w:tcW w:w="1655" w:type="dxa"/>
            <w:tcBorders/>
            <w:shd w:fill="auto" w:val="clear"/>
            <w:tcMar>
              <w:left w:w="108" w:type="dxa"/>
            </w:tcMar>
          </w:tcPr>
          <w:p>
            <w:pPr>
              <w:pStyle w:val="Normal"/>
              <w:rPr>
                <w:rFonts w:ascii="Arial" w:hAnsi="Arial" w:cs="Arial" w:asciiTheme="majorHAnsi" w:cstheme="majorHAnsi" w:hAnsiTheme="majorHAnsi"/>
                <w:b/>
                <w:b/>
                <w:bCs/>
                <w:sz w:val="18"/>
                <w:szCs w:val="18"/>
              </w:rPr>
            </w:pPr>
            <w:r>
              <w:rPr>
                <w:rFonts w:cs="Arial" w:cstheme="majorHAnsi"/>
                <w:b/>
                <w:bCs/>
                <w:sz w:val="18"/>
                <w:szCs w:val="18"/>
              </w:rPr>
              <w:t>Minerals</w:t>
            </w:r>
          </w:p>
        </w:tc>
        <w:tc>
          <w:tcPr>
            <w:tcW w:w="4860" w:type="dxa"/>
            <w:tcBorders/>
            <w:shd w:fill="auto" w:val="clear"/>
            <w:tcMar>
              <w:left w:w="108" w:type="dxa"/>
            </w:tcMar>
          </w:tcPr>
          <w:p>
            <w:pPr>
              <w:pStyle w:val="Normal"/>
              <w:rPr>
                <w:rFonts w:ascii="Arial" w:hAnsi="Arial" w:cs="Arial" w:asciiTheme="majorHAnsi" w:cstheme="majorHAnsi" w:hAnsiTheme="majorHAnsi"/>
                <w:b/>
                <w:b/>
                <w:bCs/>
                <w:sz w:val="18"/>
                <w:szCs w:val="18"/>
              </w:rPr>
            </w:pPr>
            <w:r>
              <w:rPr>
                <w:rFonts w:cs="Arial" w:cstheme="majorHAnsi"/>
                <w:b/>
                <w:bCs/>
                <w:sz w:val="18"/>
                <w:szCs w:val="18"/>
              </w:rPr>
              <w:t>Composition</w:t>
            </w:r>
          </w:p>
        </w:tc>
        <w:tc>
          <w:tcPr>
            <w:tcW w:w="1429" w:type="dxa"/>
            <w:tcBorders/>
            <w:shd w:fill="auto" w:val="clear"/>
            <w:tcMar>
              <w:left w:w="108" w:type="dxa"/>
            </w:tcMar>
          </w:tcPr>
          <w:p>
            <w:pPr>
              <w:pStyle w:val="Normal"/>
              <w:rPr>
                <w:rFonts w:ascii="Arial" w:hAnsi="Arial" w:cs="Arial" w:asciiTheme="majorHAnsi" w:cstheme="majorHAnsi" w:hAnsiTheme="majorHAnsi"/>
                <w:b/>
                <w:b/>
                <w:bCs/>
                <w:sz w:val="18"/>
                <w:szCs w:val="18"/>
              </w:rPr>
            </w:pPr>
            <w:r>
              <w:rPr>
                <w:rFonts w:cs="Arial" w:cstheme="majorHAnsi"/>
                <w:b/>
                <w:bCs/>
                <w:sz w:val="18"/>
                <w:szCs w:val="18"/>
              </w:rPr>
              <w:t>Occurrence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 xml:space="preserve">Clay </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illite-sericite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 H</w:t>
            </w:r>
            <w:r>
              <w:rPr>
                <w:rFonts w:cs="Arial" w:cstheme="majorHAnsi"/>
                <w:position w:val="-7"/>
                <w:sz w:val="18"/>
                <w:szCs w:val="18"/>
              </w:rPr>
              <w:t>3</w:t>
            </w:r>
            <w:r>
              <w:rPr>
                <w:rFonts w:cs="Arial" w:cstheme="majorHAnsi"/>
                <w:sz w:val="18"/>
                <w:szCs w:val="18"/>
              </w:rPr>
              <w:t>O)(Al, Mg, Fe)</w:t>
            </w:r>
            <w:r>
              <w:rPr>
                <w:rFonts w:cs="Arial" w:cstheme="majorHAnsi"/>
                <w:position w:val="-7"/>
                <w:sz w:val="18"/>
                <w:szCs w:val="18"/>
              </w:rPr>
              <w:t>2</w:t>
            </w:r>
            <w:r>
              <w:rPr>
                <w:rFonts w:cs="Arial" w:cstheme="majorHAnsi"/>
                <w:sz w:val="18"/>
                <w:szCs w:val="18"/>
              </w:rPr>
              <w:t>(Si,Al)</w:t>
            </w:r>
            <w:r>
              <w:rPr>
                <w:rFonts w:cs="Arial" w:cstheme="majorHAnsi"/>
                <w:position w:val="-7"/>
                <w:sz w:val="18"/>
                <w:szCs w:val="18"/>
              </w:rPr>
              <w:t>4</w:t>
            </w:r>
            <w:r>
              <w:rPr>
                <w:rFonts w:cs="Arial" w:cstheme="majorHAnsi"/>
                <w:sz w:val="18"/>
                <w:szCs w:val="18"/>
              </w:rPr>
              <w:t>O</w:t>
            </w:r>
            <w:r>
              <w:rPr>
                <w:rFonts w:cs="Arial" w:cstheme="majorHAnsi"/>
                <w:position w:val="-7"/>
                <w:sz w:val="18"/>
                <w:szCs w:val="18"/>
              </w:rPr>
              <w:t>10</w:t>
            </w:r>
            <w:r>
              <w:rPr>
                <w:rFonts w:cs="Arial" w:cstheme="majorHAnsi"/>
                <w:sz w:val="18"/>
                <w:szCs w:val="18"/>
              </w:rPr>
              <w:t>(OH)</w:t>
            </w:r>
            <w:r>
              <w:rPr>
                <w:rFonts w:cs="Arial" w:cstheme="majorHAnsi"/>
                <w:position w:val="-7"/>
                <w:sz w:val="18"/>
                <w:szCs w:val="18"/>
              </w:rPr>
              <w:t>2</w:t>
            </w:r>
            <w:r>
              <w:rPr>
                <w:rFonts w:cs="Arial" w:cstheme="majorHAnsi"/>
                <w:sz w:val="18"/>
                <w:szCs w:val="18"/>
              </w:rPr>
              <w:t>βnH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dom - ab</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montmorillonite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Al</w:t>
            </w:r>
            <w:r>
              <w:rPr>
                <w:rFonts w:cs="Arial" w:cstheme="majorHAnsi"/>
                <w:position w:val="-7"/>
                <w:sz w:val="18"/>
                <w:szCs w:val="18"/>
              </w:rPr>
              <w:t>4</w:t>
            </w:r>
            <w:r>
              <w:rPr>
                <w:rFonts w:cs="Arial" w:cstheme="majorHAnsi"/>
                <w:sz w:val="18"/>
                <w:szCs w:val="18"/>
              </w:rPr>
              <w:t>Si</w:t>
            </w:r>
            <w:r>
              <w:rPr>
                <w:rFonts w:cs="Arial" w:cstheme="majorHAnsi"/>
                <w:position w:val="-7"/>
                <w:sz w:val="18"/>
                <w:szCs w:val="18"/>
              </w:rPr>
              <w:t>4</w:t>
            </w:r>
            <w:r>
              <w:rPr>
                <w:rFonts w:cs="Arial" w:cstheme="majorHAnsi"/>
                <w:sz w:val="18"/>
                <w:szCs w:val="18"/>
              </w:rPr>
              <w:t>O</w:t>
            </w:r>
            <w:r>
              <w:rPr>
                <w:rFonts w:cs="Arial" w:cstheme="majorHAnsi"/>
                <w:position w:val="-7"/>
                <w:sz w:val="18"/>
                <w:szCs w:val="18"/>
              </w:rPr>
              <w:t>10</w:t>
            </w:r>
            <w:r>
              <w:rPr>
                <w:rFonts w:cs="Arial" w:cstheme="majorHAnsi"/>
                <w:sz w:val="18"/>
                <w:szCs w:val="18"/>
              </w:rPr>
              <w:t>(OH)</w:t>
            </w:r>
            <w:r>
              <w:rPr>
                <w:rFonts w:cs="Arial" w:cstheme="majorHAnsi"/>
                <w:position w:val="-7"/>
                <w:sz w:val="18"/>
                <w:szCs w:val="18"/>
              </w:rPr>
              <w:t>2</w:t>
            </w:r>
            <w:r>
              <w:rPr>
                <w:rFonts w:cs="Arial" w:cstheme="majorHAnsi"/>
                <w:sz w:val="18"/>
                <w:szCs w:val="18"/>
              </w:rPr>
              <w:t>βnH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kaolinite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Al</w:t>
            </w:r>
            <w:r>
              <w:rPr>
                <w:rFonts w:cs="Arial" w:cstheme="majorHAnsi"/>
                <w:position w:val="-7"/>
                <w:sz w:val="18"/>
                <w:szCs w:val="18"/>
              </w:rPr>
              <w:t>4</w:t>
            </w:r>
            <w:r>
              <w:rPr>
                <w:rFonts w:cs="Arial" w:cstheme="majorHAnsi"/>
                <w:sz w:val="18"/>
                <w:szCs w:val="18"/>
              </w:rPr>
              <w:t>Si</w:t>
            </w:r>
            <w:r>
              <w:rPr>
                <w:rFonts w:cs="Arial" w:cstheme="majorHAnsi"/>
                <w:position w:val="-7"/>
                <w:sz w:val="18"/>
                <w:szCs w:val="18"/>
              </w:rPr>
              <w:t>4</w:t>
            </w:r>
            <w:r>
              <w:rPr>
                <w:rFonts w:cs="Arial" w:cstheme="majorHAnsi"/>
                <w:sz w:val="18"/>
                <w:szCs w:val="18"/>
              </w:rPr>
              <w:t>O</w:t>
            </w:r>
            <w:r>
              <w:rPr>
                <w:rFonts w:cs="Arial" w:cstheme="majorHAnsi"/>
                <w:position w:val="-7"/>
                <w:sz w:val="18"/>
                <w:szCs w:val="18"/>
              </w:rPr>
              <w:t>10</w:t>
            </w:r>
            <w:r>
              <w:rPr>
                <w:rFonts w:cs="Arial" w:cstheme="majorHAnsi"/>
                <w:sz w:val="18"/>
                <w:szCs w:val="18"/>
              </w:rPr>
              <w:t>(OH)</w:t>
            </w:r>
            <w:r>
              <w:rPr>
                <w:rFonts w:cs="Arial" w:cstheme="majorHAnsi"/>
                <w:position w:val="-7"/>
                <w:sz w:val="18"/>
                <w:szCs w:val="18"/>
              </w:rPr>
              <w:t>8</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 - v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halloysite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Al</w:t>
            </w:r>
            <w:r>
              <w:rPr>
                <w:rFonts w:cs="Arial" w:cstheme="majorHAnsi"/>
                <w:position w:val="-7"/>
                <w:sz w:val="18"/>
                <w:szCs w:val="18"/>
              </w:rPr>
              <w:t>2</w:t>
            </w:r>
            <w:r>
              <w:rPr>
                <w:rFonts w:cs="Arial" w:cstheme="majorHAnsi"/>
                <w:sz w:val="18"/>
                <w:szCs w:val="18"/>
              </w:rPr>
              <w:t>Si</w:t>
            </w:r>
            <w:r>
              <w:rPr>
                <w:rFonts w:cs="Arial" w:cstheme="majorHAnsi"/>
                <w:position w:val="-7"/>
                <w:sz w:val="18"/>
                <w:szCs w:val="18"/>
              </w:rPr>
              <w:t>2</w:t>
            </w:r>
            <w:r>
              <w:rPr>
                <w:rFonts w:cs="Arial" w:cstheme="majorHAnsi"/>
                <w:sz w:val="18"/>
                <w:szCs w:val="18"/>
              </w:rPr>
              <w:t>O</w:t>
            </w:r>
            <w:r>
              <w:rPr>
                <w:rFonts w:cs="Arial" w:cstheme="majorHAnsi"/>
                <w:position w:val="-7"/>
                <w:sz w:val="18"/>
                <w:szCs w:val="18"/>
              </w:rPr>
              <w:t>5</w:t>
            </w:r>
            <w:r>
              <w:rPr>
                <w:rFonts w:cs="Arial" w:cstheme="majorHAnsi"/>
                <w:sz w:val="18"/>
                <w:szCs w:val="18"/>
              </w:rPr>
              <w:t>(OH)</w:t>
            </w:r>
            <w:r>
              <w:rPr>
                <w:rFonts w:cs="Arial" w:cstheme="majorHAnsi"/>
                <w:position w:val="-7"/>
                <w:sz w:val="18"/>
                <w:szCs w:val="18"/>
              </w:rPr>
              <w:t>4</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Iron disulfides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pyrite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FeS</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marcasite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FeS</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melnikovite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FeS</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Carbonates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siderite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FeCO</w:t>
            </w:r>
            <w:r>
              <w:rPr>
                <w:rFonts w:cs="Arial" w:cstheme="majorHAnsi"/>
                <w:position w:val="-7"/>
                <w:sz w:val="18"/>
                <w:szCs w:val="18"/>
              </w:rPr>
              <w:t>3</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 - v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ankerite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CaFe(CO</w:t>
            </w:r>
            <w:r>
              <w:rPr>
                <w:rFonts w:cs="Arial" w:cstheme="majorHAnsi"/>
                <w:position w:val="-7"/>
                <w:sz w:val="18"/>
                <w:szCs w:val="18"/>
              </w:rPr>
              <w:t>3</w:t>
            </w:r>
            <w:r>
              <w:rPr>
                <w:rFonts w:cs="Arial" w:cstheme="majorHAnsi"/>
                <w:sz w:val="18"/>
                <w:szCs w:val="18"/>
              </w:rPr>
              <w:t>)</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 - v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calcite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CaCO</w:t>
            </w:r>
            <w:r>
              <w:rPr>
                <w:rFonts w:cs="Arial" w:cstheme="majorHAnsi"/>
                <w:position w:val="-7"/>
                <w:sz w:val="18"/>
                <w:szCs w:val="18"/>
              </w:rPr>
              <w:t>3</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 - v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dolomite</w:t>
            </w:r>
          </w:p>
        </w:tc>
        <w:tc>
          <w:tcPr>
            <w:tcW w:w="4860" w:type="dxa"/>
            <w:tcBorders/>
            <w:shd w:fill="auto" w:val="clear"/>
            <w:tcMar>
              <w:left w:w="108" w:type="dxa"/>
            </w:tcMar>
          </w:tcPr>
          <w:p>
            <w:pPr>
              <w:pStyle w:val="Normal"/>
              <w:rPr/>
            </w:pPr>
            <w:r>
              <w:rPr>
                <w:rFonts w:cs="Arial" w:cstheme="majorHAnsi"/>
                <w:sz w:val="18"/>
                <w:szCs w:val="18"/>
              </w:rPr>
              <w:t>CaMg(CO</w:t>
            </w:r>
            <w:r>
              <w:rPr>
                <w:rFonts w:cs="Arial" w:cstheme="majorHAnsi"/>
                <w:position w:val="-7"/>
                <w:sz w:val="18"/>
                <w:szCs w:val="18"/>
              </w:rPr>
              <w:t>3</w:t>
            </w:r>
            <w:r>
              <w:rPr>
                <w:rFonts w:cs="Arial" w:cstheme="majorHAnsi"/>
                <w:sz w:val="18"/>
                <w:szCs w:val="18"/>
              </w:rPr>
              <w:t>)</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 - c</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 xml:space="preserve">Oxides </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hematite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w:t>
            </w:r>
            <w:r>
              <w:rPr>
                <w:rFonts w:cs="Arial" w:cstheme="majorHAnsi"/>
                <w:position w:val="-7"/>
                <w:sz w:val="18"/>
                <w:szCs w:val="18"/>
              </w:rPr>
              <w:t>2</w:t>
            </w:r>
            <w:r>
              <w:rPr>
                <w:rFonts w:cs="Arial" w:cstheme="majorHAnsi"/>
                <w:sz w:val="18"/>
                <w:szCs w:val="18"/>
              </w:rPr>
              <w:t>O</w:t>
            </w:r>
            <w:r>
              <w:rPr>
                <w:rFonts w:cs="Arial" w:cstheme="majorHAnsi"/>
                <w:position w:val="-7"/>
                <w:sz w:val="18"/>
                <w:szCs w:val="18"/>
              </w:rPr>
              <w:t>3</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magnetite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FeFe</w:t>
            </w:r>
            <w:r>
              <w:rPr>
                <w:rFonts w:cs="Arial" w:cstheme="majorHAnsi"/>
                <w:position w:val="-7"/>
                <w:sz w:val="18"/>
                <w:szCs w:val="18"/>
              </w:rPr>
              <w:t>2</w:t>
            </w:r>
            <w:r>
              <w:rPr>
                <w:rFonts w:cs="Arial" w:cstheme="majorHAnsi"/>
                <w:sz w:val="18"/>
                <w:szCs w:val="18"/>
              </w:rPr>
              <w:t>O</w:t>
            </w:r>
            <w:r>
              <w:rPr>
                <w:rFonts w:cs="Arial" w:cstheme="majorHAnsi"/>
                <w:position w:val="-7"/>
                <w:sz w:val="18"/>
                <w:szCs w:val="18"/>
              </w:rPr>
              <w:t>4</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rutile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TiO</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 xml:space="preserve">Hydroxides </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limonite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HFeO</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goethite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HFeO</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diaspore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HAIO</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Sulfides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sphalerite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ZnS</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galena</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PbS</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chalcopyrite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CuFeS</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pyrrhotite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FeS</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Phosphates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apatite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w:t>
            </w:r>
            <w:r>
              <w:rPr>
                <w:rFonts w:cs="Arial" w:cstheme="majorHAnsi"/>
                <w:position w:val="-7"/>
                <w:sz w:val="18"/>
                <w:szCs w:val="18"/>
              </w:rPr>
              <w:t>5</w:t>
            </w:r>
            <w:r>
              <w:rPr>
                <w:rFonts w:cs="Arial" w:cstheme="majorHAnsi"/>
                <w:sz w:val="18"/>
                <w:szCs w:val="18"/>
              </w:rPr>
              <w:t>(PO</w:t>
            </w:r>
            <w:r>
              <w:rPr>
                <w:rFonts w:cs="Arial" w:cstheme="majorHAnsi"/>
                <w:position w:val="-7"/>
                <w:sz w:val="18"/>
                <w:szCs w:val="18"/>
              </w:rPr>
              <w:t>4</w:t>
            </w:r>
            <w:r>
              <w:rPr>
                <w:rFonts w:cs="Arial" w:cstheme="majorHAnsi"/>
                <w:sz w:val="18"/>
                <w:szCs w:val="18"/>
              </w:rPr>
              <w:t>)</w:t>
            </w:r>
            <w:r>
              <w:rPr>
                <w:rFonts w:cs="Arial" w:cstheme="majorHAnsi"/>
                <w:position w:val="-7"/>
                <w:sz w:val="18"/>
                <w:szCs w:val="18"/>
              </w:rPr>
              <w:t>3</w:t>
            </w:r>
            <w:r>
              <w:rPr>
                <w:rFonts w:cs="Arial" w:cstheme="majorHAnsi"/>
                <w:sz w:val="18"/>
                <w:szCs w:val="18"/>
              </w:rPr>
              <w:t>(F, Cl, OH)</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crandallite group</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(Ba, Ca, Ce, Nd, Pb, Sr, Th)(Al, Fe)</w:t>
            </w:r>
            <w:r>
              <w:rPr>
                <w:rFonts w:cs="Arial" w:cstheme="majorHAnsi"/>
                <w:position w:val="-7"/>
                <w:sz w:val="18"/>
                <w:szCs w:val="18"/>
              </w:rPr>
              <w:t>3</w:t>
            </w:r>
            <w:r>
              <w:rPr>
                <w:rFonts w:cs="Arial" w:cstheme="majorHAnsi"/>
                <w:sz w:val="18"/>
                <w:szCs w:val="18"/>
              </w:rPr>
              <w:t>[(P, As)O</w:t>
            </w:r>
            <w:r>
              <w:rPr>
                <w:rFonts w:cs="Arial" w:cstheme="majorHAnsi"/>
                <w:position w:val="-7"/>
                <w:sz w:val="18"/>
                <w:szCs w:val="18"/>
              </w:rPr>
              <w:t>4</w:t>
            </w:r>
            <w:r>
              <w:rPr>
                <w:rFonts w:cs="Arial" w:cstheme="majorHAnsi"/>
                <w:sz w:val="18"/>
                <w:szCs w:val="18"/>
              </w:rPr>
              <w:t>]</w:t>
            </w:r>
            <w:r>
              <w:rPr>
                <w:rFonts w:cs="Arial" w:cstheme="majorHAnsi"/>
                <w:position w:val="-7"/>
                <w:sz w:val="18"/>
                <w:szCs w:val="18"/>
              </w:rPr>
              <w:t>2</w:t>
            </w:r>
            <w:r>
              <w:rPr>
                <w:rFonts w:cs="Arial" w:cstheme="majorHAnsi"/>
                <w:sz w:val="18"/>
                <w:szCs w:val="18"/>
              </w:rPr>
              <w:t>(OH)</w:t>
            </w:r>
            <w:r>
              <w:rPr>
                <w:rFonts w:cs="Arial" w:cstheme="majorHAnsi"/>
                <w:position w:val="-7"/>
                <w:sz w:val="18"/>
                <w:szCs w:val="18"/>
              </w:rPr>
              <w:t>5</w:t>
            </w:r>
            <w:r>
              <w:rPr>
                <w:rFonts w:cs="Arial" w:cstheme="majorHAnsi"/>
                <w:sz w:val="18"/>
                <w:szCs w:val="18"/>
              </w:rPr>
              <w:t xml:space="preserve"> with or without 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Sulfates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barite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BaSO</w:t>
            </w:r>
            <w:r>
              <w:rPr>
                <w:rFonts w:cs="Arial" w:cstheme="majorHAnsi"/>
                <w:position w:val="-7"/>
                <w:sz w:val="18"/>
                <w:szCs w:val="18"/>
              </w:rPr>
              <w:t>4</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gypsum</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CaSO</w:t>
            </w:r>
            <w:r>
              <w:rPr>
                <w:rFonts w:cs="Arial" w:cstheme="majorHAnsi"/>
                <w:position w:val="-7"/>
                <w:sz w:val="18"/>
                <w:szCs w:val="18"/>
              </w:rPr>
              <w:t>4</w:t>
            </w:r>
            <w:r>
              <w:rPr>
                <w:rFonts w:cs="Arial" w:cstheme="majorHAnsi"/>
                <w:sz w:val="18"/>
                <w:szCs w:val="18"/>
              </w:rPr>
              <w:t xml:space="preserve">β </w:t>
            </w:r>
            <w:r>
              <w:rPr>
                <w:rFonts w:cs="Arial" w:cstheme="majorHAnsi"/>
                <w:position w:val="-7"/>
                <w:sz w:val="18"/>
                <w:szCs w:val="18"/>
              </w:rPr>
              <w:t>2</w:t>
            </w:r>
            <w:r>
              <w:rPr>
                <w:rFonts w:cs="Arial" w:cstheme="majorHAnsi"/>
                <w:sz w:val="18"/>
                <w:szCs w:val="18"/>
              </w:rPr>
              <w:t>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Silicates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quartz</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SiO</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zircon</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ZrSiO</w:t>
            </w:r>
            <w:r>
              <w:rPr>
                <w:rFonts w:cs="Arial" w:cstheme="majorHAnsi"/>
                <w:position w:val="-7"/>
                <w:sz w:val="18"/>
                <w:szCs w:val="18"/>
              </w:rPr>
              <w:t>4</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biotite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K(Mg, Fe)</w:t>
            </w:r>
            <w:r>
              <w:rPr>
                <w:rFonts w:cs="Arial" w:cstheme="majorHAnsi"/>
                <w:position w:val="-7"/>
                <w:sz w:val="18"/>
                <w:szCs w:val="18"/>
              </w:rPr>
              <w:t>3</w:t>
            </w:r>
            <w:r>
              <w:rPr>
                <w:rFonts w:cs="Arial" w:cstheme="majorHAnsi"/>
                <w:sz w:val="18"/>
                <w:szCs w:val="18"/>
              </w:rPr>
              <w:t>(AlSi</w:t>
            </w:r>
            <w:r>
              <w:rPr>
                <w:rFonts w:cs="Arial" w:cstheme="majorHAnsi"/>
                <w:position w:val="-7"/>
                <w:sz w:val="18"/>
                <w:szCs w:val="18"/>
              </w:rPr>
              <w:t>3</w:t>
            </w:r>
            <w:r>
              <w:rPr>
                <w:rFonts w:cs="Arial" w:cstheme="majorHAnsi"/>
                <w:sz w:val="18"/>
                <w:szCs w:val="18"/>
              </w:rPr>
              <w:t>O</w:t>
            </w:r>
            <w:r>
              <w:rPr>
                <w:rFonts w:cs="Arial" w:cstheme="majorHAnsi"/>
                <w:position w:val="-7"/>
                <w:sz w:val="18"/>
                <w:szCs w:val="18"/>
              </w:rPr>
              <w:t>10</w:t>
            </w:r>
            <w:r>
              <w:rPr>
                <w:rFonts w:cs="Arial" w:cstheme="majorHAnsi"/>
                <w:sz w:val="18"/>
                <w:szCs w:val="18"/>
              </w:rPr>
              <w:t>)(OH)</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staurolite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w:t>
            </w:r>
            <w:r>
              <w:rPr>
                <w:rFonts w:cs="Arial" w:cstheme="majorHAnsi"/>
                <w:position w:val="-7"/>
                <w:sz w:val="18"/>
                <w:szCs w:val="18"/>
              </w:rPr>
              <w:t>2</w:t>
            </w:r>
            <w:r>
              <w:rPr>
                <w:rFonts w:cs="Arial" w:cstheme="majorHAnsi"/>
                <w:sz w:val="18"/>
                <w:szCs w:val="18"/>
              </w:rPr>
              <w:t>Al</w:t>
            </w:r>
            <w:r>
              <w:rPr>
                <w:rFonts w:cs="Arial" w:cstheme="majorHAnsi"/>
                <w:position w:val="-7"/>
                <w:sz w:val="18"/>
                <w:szCs w:val="18"/>
              </w:rPr>
              <w:t>9</w:t>
            </w:r>
            <w:r>
              <w:rPr>
                <w:rFonts w:cs="Arial" w:cstheme="majorHAnsi"/>
                <w:sz w:val="18"/>
                <w:szCs w:val="18"/>
              </w:rPr>
              <w:t>O</w:t>
            </w:r>
            <w:r>
              <w:rPr>
                <w:rFonts w:cs="Arial" w:cstheme="majorHAnsi"/>
                <w:position w:val="-7"/>
                <w:sz w:val="18"/>
                <w:szCs w:val="18"/>
              </w:rPr>
              <w:t>6</w:t>
            </w:r>
            <w:r>
              <w:rPr>
                <w:rFonts w:cs="Arial" w:cstheme="majorHAnsi"/>
                <w:sz w:val="18"/>
                <w:szCs w:val="18"/>
              </w:rPr>
              <w:t>(SiO</w:t>
            </w:r>
            <w:r>
              <w:rPr>
                <w:rFonts w:cs="Arial" w:cstheme="majorHAnsi"/>
                <w:position w:val="-7"/>
                <w:sz w:val="18"/>
                <w:szCs w:val="18"/>
              </w:rPr>
              <w:t>4</w:t>
            </w:r>
            <w:r>
              <w:rPr>
                <w:rFonts w:cs="Arial" w:cstheme="majorHAnsi"/>
                <w:sz w:val="18"/>
                <w:szCs w:val="18"/>
              </w:rPr>
              <w:t>)</w:t>
            </w:r>
            <w:r>
              <w:rPr>
                <w:rFonts w:cs="Arial" w:cstheme="majorHAnsi"/>
                <w:position w:val="-7"/>
                <w:sz w:val="18"/>
                <w:szCs w:val="18"/>
              </w:rPr>
              <w:t>4</w:t>
            </w:r>
            <w:r>
              <w:rPr>
                <w:rFonts w:cs="Arial" w:cstheme="majorHAnsi"/>
                <w:sz w:val="18"/>
                <w:szCs w:val="18"/>
              </w:rPr>
              <w:t>(O, OH)</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tourmaline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Na(Mg, Fe)</w:t>
            </w:r>
            <w:r>
              <w:rPr>
                <w:rFonts w:cs="Arial" w:cstheme="majorHAnsi"/>
                <w:position w:val="-7"/>
                <w:sz w:val="18"/>
                <w:szCs w:val="18"/>
              </w:rPr>
              <w:t>3</w:t>
            </w:r>
            <w:r>
              <w:rPr>
                <w:rFonts w:cs="Arial" w:cstheme="majorHAnsi"/>
                <w:sz w:val="18"/>
                <w:szCs w:val="18"/>
              </w:rPr>
              <w:t>Al</w:t>
            </w:r>
            <w:r>
              <w:rPr>
                <w:rFonts w:cs="Arial" w:cstheme="majorHAnsi"/>
                <w:position w:val="-7"/>
                <w:sz w:val="18"/>
                <w:szCs w:val="18"/>
              </w:rPr>
              <w:t>6</w:t>
            </w:r>
            <w:r>
              <w:rPr>
                <w:rFonts w:cs="Arial" w:cstheme="majorHAnsi"/>
                <w:sz w:val="18"/>
                <w:szCs w:val="18"/>
              </w:rPr>
              <w:t>(BO</w:t>
            </w:r>
            <w:r>
              <w:rPr>
                <w:rFonts w:cs="Arial" w:cstheme="majorHAnsi"/>
                <w:position w:val="-7"/>
                <w:sz w:val="18"/>
                <w:szCs w:val="18"/>
              </w:rPr>
              <w:t>3</w:t>
            </w:r>
            <w:r>
              <w:rPr>
                <w:rFonts w:cs="Arial" w:cstheme="majorHAnsi"/>
                <w:sz w:val="18"/>
                <w:szCs w:val="18"/>
              </w:rPr>
              <w:t>)</w:t>
            </w:r>
            <w:r>
              <w:rPr>
                <w:rFonts w:cs="Arial" w:cstheme="majorHAnsi"/>
                <w:position w:val="-7"/>
                <w:sz w:val="18"/>
                <w:szCs w:val="18"/>
              </w:rPr>
              <w:t>3</w:t>
            </w:r>
            <w:r>
              <w:rPr>
                <w:rFonts w:cs="Arial" w:cstheme="majorHAnsi"/>
                <w:sz w:val="18"/>
                <w:szCs w:val="18"/>
              </w:rPr>
              <w:t>(Si</w:t>
            </w:r>
            <w:r>
              <w:rPr>
                <w:rFonts w:cs="Arial" w:cstheme="majorHAnsi"/>
                <w:position w:val="-7"/>
                <w:sz w:val="18"/>
                <w:szCs w:val="18"/>
              </w:rPr>
              <w:t>6</w:t>
            </w:r>
            <w:r>
              <w:rPr>
                <w:rFonts w:cs="Arial" w:cstheme="majorHAnsi"/>
                <w:sz w:val="18"/>
                <w:szCs w:val="18"/>
              </w:rPr>
              <w:t>O1</w:t>
            </w:r>
            <w:r>
              <w:rPr>
                <w:rFonts w:cs="Arial" w:cstheme="majorHAnsi"/>
                <w:position w:val="-7"/>
                <w:sz w:val="18"/>
                <w:szCs w:val="18"/>
              </w:rPr>
              <w:t>8</w:t>
            </w:r>
            <w:r>
              <w:rPr>
                <w:rFonts w:cs="Arial" w:cstheme="majorHAnsi"/>
                <w:sz w:val="18"/>
                <w:szCs w:val="18"/>
              </w:rPr>
              <w:t>)(OH)</w:t>
            </w:r>
            <w:r>
              <w:rPr>
                <w:rFonts w:cs="Arial" w:cstheme="majorHAnsi"/>
                <w:position w:val="-7"/>
                <w:sz w:val="18"/>
                <w:szCs w:val="18"/>
              </w:rPr>
              <w:t>4</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garnet</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 Mg, Ca, Mn)</w:t>
            </w:r>
            <w:r>
              <w:rPr>
                <w:rFonts w:cs="Arial" w:cstheme="majorHAnsi"/>
                <w:position w:val="-7"/>
                <w:sz w:val="18"/>
                <w:szCs w:val="18"/>
              </w:rPr>
              <w:t>3</w:t>
            </w:r>
            <w:r>
              <w:rPr>
                <w:rFonts w:cs="Arial" w:cstheme="majorHAnsi"/>
                <w:sz w:val="18"/>
                <w:szCs w:val="18"/>
              </w:rPr>
              <w:t>(Al. Fe, Cr)</w:t>
            </w:r>
            <w:r>
              <w:rPr>
                <w:rFonts w:cs="Arial" w:cstheme="majorHAnsi"/>
                <w:position w:val="-7"/>
                <w:sz w:val="18"/>
                <w:szCs w:val="18"/>
              </w:rPr>
              <w:t>2</w:t>
            </w:r>
            <w:r>
              <w:rPr>
                <w:rFonts w:cs="Arial" w:cstheme="majorHAnsi"/>
                <w:sz w:val="18"/>
                <w:szCs w:val="18"/>
              </w:rPr>
              <w:t>(SiO</w:t>
            </w:r>
            <w:r>
              <w:rPr>
                <w:rFonts w:cs="Arial" w:cstheme="majorHAnsi"/>
                <w:position w:val="-7"/>
                <w:sz w:val="18"/>
                <w:szCs w:val="18"/>
              </w:rPr>
              <w:t>4</w:t>
            </w:r>
            <w:r>
              <w:rPr>
                <w:rFonts w:cs="Arial" w:cstheme="majorHAnsi"/>
                <w:sz w:val="18"/>
                <w:szCs w:val="18"/>
              </w:rPr>
              <w:t>)</w:t>
            </w:r>
            <w:r>
              <w:rPr>
                <w:rFonts w:cs="Arial" w:cstheme="majorHAnsi"/>
                <w:position w:val="-7"/>
                <w:sz w:val="18"/>
                <w:szCs w:val="18"/>
              </w:rPr>
              <w:t>3</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epidote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w:t>
            </w:r>
            <w:r>
              <w:rPr>
                <w:rFonts w:cs="Arial" w:cstheme="majorHAnsi"/>
                <w:position w:val="-7"/>
                <w:sz w:val="18"/>
                <w:szCs w:val="18"/>
              </w:rPr>
              <w:t>2</w:t>
            </w:r>
            <w:r>
              <w:rPr>
                <w:rFonts w:cs="Arial" w:cstheme="majorHAnsi"/>
                <w:sz w:val="18"/>
                <w:szCs w:val="18"/>
              </w:rPr>
              <w:t>(Al, Fe)Al</w:t>
            </w:r>
            <w:r>
              <w:rPr>
                <w:rFonts w:cs="Arial" w:cstheme="majorHAnsi"/>
                <w:position w:val="-7"/>
                <w:sz w:val="18"/>
                <w:szCs w:val="18"/>
              </w:rPr>
              <w:t>2</w:t>
            </w:r>
            <w:r>
              <w:rPr>
                <w:rFonts w:cs="Arial" w:cstheme="majorHAnsi"/>
                <w:sz w:val="18"/>
                <w:szCs w:val="18"/>
              </w:rPr>
              <w:t>O(SiO</w:t>
            </w:r>
            <w:r>
              <w:rPr>
                <w:rFonts w:cs="Arial" w:cstheme="majorHAnsi"/>
                <w:position w:val="-7"/>
                <w:sz w:val="18"/>
                <w:szCs w:val="18"/>
              </w:rPr>
              <w:t>4</w:t>
            </w:r>
            <w:r>
              <w:rPr>
                <w:rFonts w:cs="Arial" w:cstheme="majorHAnsi"/>
                <w:sz w:val="18"/>
                <w:szCs w:val="18"/>
              </w:rPr>
              <w:t>)(Si</w:t>
            </w:r>
            <w:r>
              <w:rPr>
                <w:rFonts w:cs="Arial" w:cstheme="majorHAnsi"/>
                <w:position w:val="-7"/>
                <w:sz w:val="18"/>
                <w:szCs w:val="18"/>
              </w:rPr>
              <w:t>2</w:t>
            </w:r>
            <w:r>
              <w:rPr>
                <w:rFonts w:cs="Arial" w:cstheme="majorHAnsi"/>
                <w:sz w:val="18"/>
                <w:szCs w:val="18"/>
              </w:rPr>
              <w:t>O</w:t>
            </w:r>
            <w:r>
              <w:rPr>
                <w:rFonts w:cs="Arial" w:cstheme="majorHAnsi"/>
                <w:position w:val="-7"/>
                <w:sz w:val="18"/>
                <w:szCs w:val="18"/>
              </w:rPr>
              <w:t>7</w:t>
            </w:r>
            <w:r>
              <w:rPr>
                <w:rFonts w:cs="Arial" w:cstheme="majorHAnsi"/>
                <w:sz w:val="18"/>
                <w:szCs w:val="18"/>
              </w:rPr>
              <w:t>)(OH)</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sanidine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KAlSi</w:t>
            </w:r>
            <w:r>
              <w:rPr>
                <w:rFonts w:cs="Arial" w:cstheme="majorHAnsi"/>
                <w:position w:val="-7"/>
                <w:sz w:val="18"/>
                <w:szCs w:val="18"/>
              </w:rPr>
              <w:t>3</w:t>
            </w:r>
            <w:r>
              <w:rPr>
                <w:rFonts w:cs="Arial" w:cstheme="majorHAnsi"/>
                <w:sz w:val="18"/>
                <w:szCs w:val="18"/>
              </w:rPr>
              <w:t>O</w:t>
            </w:r>
            <w:r>
              <w:rPr>
                <w:rFonts w:cs="Arial" w:cstheme="majorHAnsi"/>
                <w:position w:val="-7"/>
                <w:sz w:val="18"/>
                <w:szCs w:val="18"/>
              </w:rPr>
              <w:t>8</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orthoclase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KAlSi</w:t>
            </w:r>
            <w:r>
              <w:rPr>
                <w:rFonts w:cs="Arial" w:cstheme="majorHAnsi"/>
                <w:position w:val="-7"/>
                <w:sz w:val="18"/>
                <w:szCs w:val="18"/>
              </w:rPr>
              <w:t>3</w:t>
            </w:r>
            <w:r>
              <w:rPr>
                <w:rFonts w:cs="Arial" w:cstheme="majorHAnsi"/>
                <w:sz w:val="18"/>
                <w:szCs w:val="18"/>
              </w:rPr>
              <w:t>O</w:t>
            </w:r>
            <w:r>
              <w:rPr>
                <w:rFonts w:cs="Arial" w:cstheme="majorHAnsi"/>
                <w:position w:val="-7"/>
                <w:sz w:val="18"/>
                <w:szCs w:val="18"/>
              </w:rPr>
              <w:t>8</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augite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Ca(Mg, Fe, Al)(Al, Si)</w:t>
            </w:r>
            <w:r>
              <w:rPr>
                <w:rFonts w:cs="Arial" w:cstheme="majorHAnsi"/>
                <w:position w:val="-7"/>
                <w:sz w:val="18"/>
                <w:szCs w:val="18"/>
              </w:rPr>
              <w:t>2</w:t>
            </w:r>
            <w:r>
              <w:rPr>
                <w:rFonts w:cs="Arial" w:cstheme="majorHAnsi"/>
                <w:sz w:val="18"/>
                <w:szCs w:val="18"/>
              </w:rPr>
              <w:t>O</w:t>
            </w:r>
            <w:r>
              <w:rPr>
                <w:rFonts w:cs="Arial" w:cstheme="majorHAnsi"/>
                <w:position w:val="-7"/>
                <w:sz w:val="18"/>
                <w:szCs w:val="18"/>
              </w:rPr>
              <w:t>6</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amphibole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(Na, Ca)</w:t>
            </w:r>
            <w:r>
              <w:rPr>
                <w:rFonts w:cs="Arial" w:cstheme="majorHAnsi"/>
                <w:position w:val="-7"/>
                <w:sz w:val="18"/>
                <w:szCs w:val="18"/>
              </w:rPr>
              <w:t>2</w:t>
            </w:r>
            <w:r>
              <w:rPr>
                <w:rFonts w:cs="Arial" w:cstheme="majorHAnsi"/>
                <w:sz w:val="18"/>
                <w:szCs w:val="18"/>
              </w:rPr>
              <w:t>(Mg, Fe, Al)</w:t>
            </w:r>
            <w:r>
              <w:rPr>
                <w:rFonts w:cs="Arial" w:cstheme="majorHAnsi"/>
                <w:position w:val="-7"/>
                <w:sz w:val="18"/>
                <w:szCs w:val="18"/>
              </w:rPr>
              <w:t>5</w:t>
            </w:r>
            <w:r>
              <w:rPr>
                <w:rFonts w:cs="Arial" w:cstheme="majorHAnsi"/>
                <w:sz w:val="18"/>
                <w:szCs w:val="18"/>
              </w:rPr>
              <w:t>(Si, Al)</w:t>
            </w:r>
            <w:r>
              <w:rPr>
                <w:rFonts w:cs="Arial" w:cstheme="majorHAnsi"/>
                <w:position w:val="-7"/>
                <w:sz w:val="18"/>
                <w:szCs w:val="18"/>
              </w:rPr>
              <w:t>8</w:t>
            </w:r>
            <w:r>
              <w:rPr>
                <w:rFonts w:cs="Arial" w:cstheme="majorHAnsi"/>
                <w:sz w:val="18"/>
                <w:szCs w:val="18"/>
              </w:rPr>
              <w:t>O</w:t>
            </w:r>
            <w:r>
              <w:rPr>
                <w:rFonts w:cs="Arial" w:cstheme="majorHAnsi"/>
                <w:position w:val="-7"/>
                <w:sz w:val="18"/>
                <w:szCs w:val="18"/>
              </w:rPr>
              <w:t>22</w:t>
            </w:r>
            <w:r>
              <w:rPr>
                <w:rFonts w:cs="Arial" w:cstheme="majorHAnsi"/>
                <w:sz w:val="18"/>
                <w:szCs w:val="18"/>
              </w:rPr>
              <w:t>(OH)</w:t>
            </w:r>
            <w:r>
              <w:rPr>
                <w:rFonts w:cs="Arial" w:cstheme="majorHAnsi"/>
                <w:position w:val="-7"/>
                <w:sz w:val="18"/>
                <w:szCs w:val="18"/>
              </w:rPr>
              <w:t>2</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kyanite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Al</w:t>
            </w:r>
            <w:r>
              <w:rPr>
                <w:rFonts w:cs="Arial" w:cstheme="majorHAnsi"/>
                <w:position w:val="-7"/>
                <w:sz w:val="18"/>
                <w:szCs w:val="18"/>
              </w:rPr>
              <w:t>2</w:t>
            </w:r>
            <w:r>
              <w:rPr>
                <w:rFonts w:cs="Arial" w:cstheme="majorHAnsi"/>
                <w:sz w:val="18"/>
                <w:szCs w:val="18"/>
              </w:rPr>
              <w:t>SiO</w:t>
            </w:r>
            <w:r>
              <w:rPr>
                <w:rFonts w:cs="Arial" w:cstheme="majorHAnsi"/>
                <w:position w:val="-7"/>
                <w:sz w:val="18"/>
                <w:szCs w:val="18"/>
              </w:rPr>
              <w:t>5</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chlorite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(Mg, Fe, Al)</w:t>
            </w:r>
            <w:r>
              <w:rPr>
                <w:rFonts w:cs="Arial" w:cstheme="majorHAnsi"/>
                <w:position w:val="-7"/>
                <w:sz w:val="18"/>
                <w:szCs w:val="18"/>
              </w:rPr>
              <w:t>6</w:t>
            </w:r>
            <w:r>
              <w:rPr>
                <w:rFonts w:cs="Arial" w:cstheme="majorHAnsi"/>
                <w:sz w:val="18"/>
                <w:szCs w:val="18"/>
              </w:rPr>
              <w:t>(Al, Si)</w:t>
            </w:r>
            <w:r>
              <w:rPr>
                <w:rFonts w:cs="Arial" w:cstheme="majorHAnsi"/>
                <w:position w:val="-7"/>
                <w:sz w:val="18"/>
                <w:szCs w:val="18"/>
              </w:rPr>
              <w:t>4</w:t>
            </w:r>
            <w:r>
              <w:rPr>
                <w:rFonts w:cs="Arial" w:cstheme="majorHAnsi"/>
                <w:sz w:val="18"/>
                <w:szCs w:val="18"/>
              </w:rPr>
              <w:t>O</w:t>
            </w:r>
            <w:r>
              <w:rPr>
                <w:rFonts w:cs="Arial" w:cstheme="majorHAnsi"/>
                <w:position w:val="-7"/>
                <w:sz w:val="18"/>
                <w:szCs w:val="18"/>
              </w:rPr>
              <w:t>10</w:t>
            </w:r>
            <w:r>
              <w:rPr>
                <w:rFonts w:cs="Arial" w:cstheme="majorHAnsi"/>
                <w:sz w:val="18"/>
                <w:szCs w:val="18"/>
              </w:rPr>
              <w:t>(OH)</w:t>
            </w:r>
            <w:r>
              <w:rPr>
                <w:rFonts w:cs="Arial" w:cstheme="majorHAnsi"/>
                <w:position w:val="-7"/>
                <w:sz w:val="18"/>
                <w:szCs w:val="18"/>
              </w:rPr>
              <w:t>8</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rare</w:t>
            </w:r>
          </w:p>
        </w:tc>
      </w:tr>
      <w:tr>
        <w:trPr>
          <w:trHeight w:val="300" w:hRule="atLeast"/>
        </w:trPr>
        <w:tc>
          <w:tcPr>
            <w:tcW w:w="1273" w:type="dxa"/>
            <w:vMerge w:val="restart"/>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Salts</w:t>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syvite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KCl</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halite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NaCl</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 - c</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kieserite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MgSO</w:t>
            </w:r>
            <w:r>
              <w:rPr>
                <w:rFonts w:cs="Arial" w:cstheme="majorHAnsi"/>
                <w:position w:val="-7"/>
                <w:sz w:val="18"/>
                <w:szCs w:val="18"/>
              </w:rPr>
              <w:t>4</w:t>
            </w:r>
            <w:r>
              <w:rPr>
                <w:rFonts w:cs="Arial" w:cstheme="majorHAnsi"/>
                <w:sz w:val="18"/>
                <w:szCs w:val="18"/>
              </w:rPr>
              <w:t>BH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 - 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mirabilite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Na</w:t>
            </w:r>
            <w:r>
              <w:rPr>
                <w:rFonts w:cs="Arial" w:cstheme="majorHAnsi"/>
                <w:position w:val="-7"/>
                <w:sz w:val="18"/>
                <w:szCs w:val="18"/>
              </w:rPr>
              <w:t>2</w:t>
            </w:r>
            <w:r>
              <w:rPr>
                <w:rFonts w:cs="Arial" w:cstheme="majorHAnsi"/>
                <w:sz w:val="18"/>
                <w:szCs w:val="18"/>
              </w:rPr>
              <w:t>SO</w:t>
            </w:r>
            <w:r>
              <w:rPr>
                <w:rFonts w:cs="Arial" w:cstheme="majorHAnsi"/>
                <w:position w:val="-7"/>
                <w:sz w:val="18"/>
                <w:szCs w:val="18"/>
              </w:rPr>
              <w:t>4</w:t>
            </w:r>
            <w:r>
              <w:rPr>
                <w:rFonts w:cs="Arial" w:cstheme="majorHAnsi"/>
                <w:sz w:val="18"/>
                <w:szCs w:val="18"/>
              </w:rPr>
              <w:t>B</w:t>
            </w:r>
            <w:r>
              <w:rPr>
                <w:rFonts w:cs="Arial" w:cstheme="majorHAnsi"/>
                <w:position w:val="-7"/>
                <w:sz w:val="18"/>
                <w:szCs w:val="18"/>
              </w:rPr>
              <w:t>10</w:t>
            </w:r>
            <w:r>
              <w:rPr>
                <w:rFonts w:cs="Arial" w:cstheme="majorHAnsi"/>
                <w:sz w:val="18"/>
                <w:szCs w:val="18"/>
              </w:rPr>
              <w:t>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 - rare</w:t>
            </w:r>
          </w:p>
        </w:tc>
      </w:tr>
      <w:tr>
        <w:trPr>
          <w:trHeight w:val="300" w:hRule="atLeast"/>
        </w:trPr>
        <w:tc>
          <w:tcPr>
            <w:tcW w:w="1273" w:type="dxa"/>
            <w:vMerge w:val="continue"/>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r>
          </w:p>
        </w:tc>
        <w:tc>
          <w:tcPr>
            <w:tcW w:w="1655"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melanterite</w:t>
            </w:r>
          </w:p>
        </w:tc>
        <w:tc>
          <w:tcPr>
            <w:tcW w:w="4860"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FeSO</w:t>
            </w:r>
            <w:r>
              <w:rPr>
                <w:rFonts w:cs="Arial" w:cstheme="majorHAnsi"/>
                <w:position w:val="-7"/>
                <w:sz w:val="18"/>
                <w:szCs w:val="18"/>
              </w:rPr>
              <w:t>4</w:t>
            </w:r>
            <w:r>
              <w:rPr>
                <w:rFonts w:cs="Arial" w:cstheme="majorHAnsi"/>
                <w:sz w:val="18"/>
                <w:szCs w:val="18"/>
              </w:rPr>
              <w:t>B</w:t>
            </w:r>
            <w:r>
              <w:rPr>
                <w:rFonts w:cs="Arial" w:cstheme="majorHAnsi"/>
                <w:position w:val="-7"/>
                <w:sz w:val="18"/>
                <w:szCs w:val="18"/>
              </w:rPr>
              <w:t>7</w:t>
            </w:r>
            <w:r>
              <w:rPr>
                <w:rFonts w:cs="Arial" w:cstheme="majorHAnsi"/>
                <w:sz w:val="18"/>
                <w:szCs w:val="18"/>
              </w:rPr>
              <w:t>H</w:t>
            </w:r>
            <w:r>
              <w:rPr>
                <w:rFonts w:cs="Arial" w:cstheme="majorHAnsi"/>
                <w:position w:val="-7"/>
                <w:sz w:val="18"/>
                <w:szCs w:val="18"/>
              </w:rPr>
              <w:t>2</w:t>
            </w:r>
            <w:r>
              <w:rPr>
                <w:rFonts w:cs="Arial" w:cstheme="majorHAnsi"/>
                <w:sz w:val="18"/>
                <w:szCs w:val="18"/>
              </w:rPr>
              <w:t>O</w:t>
            </w:r>
          </w:p>
        </w:tc>
        <w:tc>
          <w:tcPr>
            <w:tcW w:w="1429" w:type="dxa"/>
            <w:tcBorders/>
            <w:shd w:fill="auto" w:val="clear"/>
            <w:tcMar>
              <w:left w:w="108" w:type="dxa"/>
            </w:tcMar>
          </w:tcPr>
          <w:p>
            <w:pPr>
              <w:pStyle w:val="Normal"/>
              <w:rPr>
                <w:rFonts w:ascii="Arial" w:hAnsi="Arial" w:cs="Arial" w:asciiTheme="majorHAnsi" w:cstheme="majorHAnsi" w:hAnsiTheme="majorHAnsi"/>
                <w:sz w:val="18"/>
                <w:szCs w:val="18"/>
              </w:rPr>
            </w:pPr>
            <w:r>
              <w:rPr>
                <w:rFonts w:cs="Arial" w:cstheme="majorHAnsi"/>
                <w:sz w:val="18"/>
                <w:szCs w:val="18"/>
              </w:rPr>
              <w:t>v r</w:t>
            </w:r>
          </w:p>
        </w:tc>
      </w:tr>
    </w:tbl>
    <w:p>
      <w:pPr>
        <w:pStyle w:val="ListParagraph"/>
        <w:spacing w:lineRule="auto" w:line="360"/>
        <w:ind w:left="-142" w:hanging="0"/>
        <w:rPr>
          <w:sz w:val="20"/>
          <w:szCs w:val="20"/>
        </w:rPr>
      </w:pPr>
      <w:r>
        <w:rPr>
          <w:sz w:val="20"/>
          <w:szCs w:val="20"/>
        </w:rPr>
      </w:r>
    </w:p>
    <w:p>
      <w:pPr>
        <w:pStyle w:val="ListParagraph"/>
        <w:ind w:left="0" w:hanging="0"/>
        <w:jc w:val="both"/>
        <w:rPr>
          <w:rFonts w:ascii="Calibri" w:hAnsi="Calibri"/>
        </w:rPr>
      </w:pPr>
      <w:r>
        <w:rPr>
          <w:rFonts w:ascii="Calibri" w:hAnsi="Calibri"/>
        </w:rPr>
        <w:t xml:space="preserve">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  As stated by Pinetown </w:t>
      </w:r>
      <w:r>
        <w:rPr>
          <w:rFonts w:ascii="Calibri" w:hAnsi="Calibri"/>
          <w:i/>
        </w:rPr>
        <w:t>et al</w:t>
      </w:r>
      <w:r>
        <w:rPr>
          <w:rFonts w:ascii="Calibri" w:hAnsi="Calibri"/>
        </w:rPr>
        <w:t xml:space="preserve">. (2007), mineral matter typically makes up between 8 – 35 weight % in coals from the Mpumalanga coalfields, dominated by clays. </w:t>
      </w:r>
      <w:r>
        <w:rPr>
          <w:rFonts w:cs="Arial" w:ascii="Calibri" w:hAnsi="Calibri"/>
        </w:rPr>
        <w:t>Photographic illustrations of the most common southern African mineral forms may be found in Plates 37 – 43, and associated with carbominerites in Plate 47. Table 2.6 highlights the optical properties of certain minerals as observed petrographically.</w:t>
      </w:r>
    </w:p>
    <w:p>
      <w:pPr>
        <w:pStyle w:val="Normal"/>
        <w:spacing w:lineRule="auto" w:line="360"/>
        <w:rPr>
          <w:rFonts w:ascii="Arial" w:hAnsi="Arial" w:cs="Arial"/>
          <w:sz w:val="20"/>
          <w:szCs w:val="20"/>
        </w:rPr>
      </w:pPr>
      <w:r>
        <w:rPr>
          <w:rFonts w:cs="Arial"/>
          <w:sz w:val="20"/>
          <w:szCs w:val="20"/>
        </w:rPr>
      </w:r>
    </w:p>
    <w:p>
      <w:pPr>
        <w:pStyle w:val="Heading4"/>
        <w:rPr/>
      </w:pPr>
      <w:bookmarkStart w:id="17" w:name="_Toc485644669"/>
      <w:bookmarkEnd w:id="17"/>
      <w:r>
        <w:rPr/>
        <w:t>Clay</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Clay is overall the most abundant and widely-spread mineral occurring in coal globally and in southern Africa, often comprising up to 80% of the minerals present (Falcon, 2013). It occurs as minute grains (1-2 µm), as small lenses, microscopically visible bands, infilling cell cavities (flocculated clays),  replacing cell structures to form clay petrifications, and as veins. Kaolinite is a common syngenetic clay mineral, with illite and montmorillonite also being determined in many coalfields. In some coals, the clay occurs in vermicular form, or flocculated form infilling cell lumens, or infilling worm burrows. In reflected light, under oil immersion, clay has a very variable appearance. It can appear from almost white (due to internal reflections) to orange-brown with an uneven granular texture (most common form), to almost black with an even, matt surface. However, it is most commonly brown and granular and occurs in small lenses.</w:t>
      </w:r>
    </w:p>
    <w:p>
      <w:pPr>
        <w:pStyle w:val="Normal"/>
        <w:jc w:val="both"/>
        <w:rPr>
          <w:rFonts w:ascii="Calibri" w:hAnsi="Calibri" w:cs="Arial"/>
        </w:rPr>
      </w:pPr>
      <w:r>
        <w:rPr>
          <w:rFonts w:cs="Arial" w:ascii="Calibri" w:hAnsi="Calibri"/>
        </w:rPr>
      </w:r>
    </w:p>
    <w:p>
      <w:pPr>
        <w:pStyle w:val="Heading4"/>
        <w:rPr/>
      </w:pPr>
      <w:bookmarkStart w:id="18" w:name="_Toc485644670"/>
      <w:bookmarkEnd w:id="18"/>
      <w:r>
        <w:rPr/>
        <w:t>Quartz</w:t>
      </w:r>
    </w:p>
    <w:p>
      <w:pPr>
        <w:pStyle w:val="Normal"/>
        <w:jc w:val="both"/>
        <w:rPr>
          <w:rFonts w:ascii="Calibri" w:hAnsi="Calibri" w:cs="Arial"/>
          <w:i/>
          <w:i/>
        </w:rPr>
      </w:pPr>
      <w:r>
        <w:rPr>
          <w:rFonts w:cs="Arial" w:ascii="Calibri" w:hAnsi="Calibri"/>
          <w:i/>
        </w:rPr>
      </w:r>
    </w:p>
    <w:p>
      <w:pPr>
        <w:pStyle w:val="Normal"/>
        <w:jc w:val="both"/>
        <w:rPr>
          <w:rFonts w:ascii="Calibri" w:hAnsi="Calibri" w:cs="Arial"/>
        </w:rPr>
      </w:pPr>
      <w:r>
        <w:rPr>
          <w:rFonts w:cs="Arial" w:ascii="Calibri" w:hAnsi="Calibri"/>
        </w:rPr>
        <w:t>Quartz occurs in most coals globally, but generally only in small quantities.  It may be found as small (5 - 20µm)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 in some particles.</w:t>
      </w:r>
    </w:p>
    <w:p>
      <w:pPr>
        <w:pStyle w:val="Normal"/>
        <w:jc w:val="both"/>
        <w:rPr>
          <w:rFonts w:ascii="Calibri" w:hAnsi="Calibri" w:cs="Arial"/>
        </w:rPr>
      </w:pPr>
      <w:r>
        <w:rPr>
          <w:rFonts w:cs="Arial" w:ascii="Calibri" w:hAnsi="Calibri"/>
        </w:rPr>
      </w:r>
    </w:p>
    <w:p>
      <w:pPr>
        <w:pStyle w:val="Heading4"/>
        <w:rPr/>
      </w:pPr>
      <w:bookmarkStart w:id="19" w:name="_Toc485644671"/>
      <w:bookmarkEnd w:id="19"/>
      <w:r>
        <w:rPr/>
        <w:t>Carbonates</w:t>
      </w:r>
    </w:p>
    <w:p>
      <w:pPr>
        <w:pStyle w:val="Normal"/>
        <w:jc w:val="both"/>
        <w:rPr>
          <w:rFonts w:ascii="Calibri" w:hAnsi="Calibri" w:cs="Arial"/>
          <w:i/>
          <w:i/>
        </w:rPr>
      </w:pPr>
      <w:r>
        <w:rPr>
          <w:rFonts w:cs="Arial" w:ascii="Calibri" w:hAnsi="Calibri"/>
          <w:i/>
        </w:rPr>
      </w:r>
    </w:p>
    <w:p>
      <w:pPr>
        <w:pStyle w:val="Normal"/>
        <w:jc w:val="both"/>
        <w:rPr>
          <w:rFonts w:ascii="Calibri" w:hAnsi="Calibri" w:cs="Arial"/>
        </w:rPr>
      </w:pPr>
      <w:r>
        <w:rPr>
          <w:rFonts w:cs="Arial" w:ascii="Calibri" w:hAnsi="Calibri"/>
        </w:rPr>
        <w:t>Carbonate minerals occurs as nodules, usually of siderite, and as veins and cell fillings of calcite, dolomite, and ankerite. They can be syngenetic or epigenetic, with significant occurrences occurring in southern African coals associated with hydrothermal fluid precipitation. In reflected light, under oil immersion, siderites are typically brownish grey and very anisotropic, occasionally showing crystalline textures. Calcite may be lighter, and may exhibit twinning.</w:t>
      </w:r>
    </w:p>
    <w:p>
      <w:pPr>
        <w:pStyle w:val="Normal"/>
        <w:rPr/>
      </w:pPr>
      <w:r>
        <w:rPr/>
      </w:r>
    </w:p>
    <w:p>
      <w:pPr>
        <w:pStyle w:val="Normal"/>
        <w:jc w:val="both"/>
        <w:rPr>
          <w:rFonts w:ascii="Calibri" w:hAnsi="Calibri" w:cs="Arial"/>
        </w:rPr>
      </w:pPr>
      <w:r>
        <w:rPr>
          <w:rFonts w:cs="Arial" w:ascii="Calibri" w:hAnsi="Calibri"/>
        </w:rPr>
      </w:r>
    </w:p>
    <w:p>
      <w:pPr>
        <w:pStyle w:val="Normal"/>
        <w:spacing w:lineRule="auto" w:line="360"/>
        <w:rPr>
          <w:rFonts w:ascii="Arial" w:hAnsi="Arial" w:cs="Arial"/>
          <w:b/>
          <w:b/>
          <w:color w:val="FF0000"/>
          <w:sz w:val="20"/>
          <w:szCs w:val="20"/>
        </w:rPr>
      </w:pPr>
      <w:r>
        <w:rPr>
          <w:rFonts w:cs="Arial"/>
          <w:b/>
          <w:sz w:val="20"/>
          <w:szCs w:val="20"/>
        </w:rPr>
        <w:t xml:space="preserve">TABLE 2.6: Optical properties of common minerals observed petrographically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528"/>
        <w:gridCol w:w="1500"/>
        <w:gridCol w:w="1418"/>
        <w:gridCol w:w="1761"/>
        <w:gridCol w:w="1528"/>
        <w:gridCol w:w="1280"/>
      </w:tblGrid>
      <w:tr>
        <w:trPr/>
        <w:tc>
          <w:tcPr>
            <w:tcW w:w="1528"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MINERALS</w:t>
            </w:r>
          </w:p>
        </w:tc>
        <w:tc>
          <w:tcPr>
            <w:tcW w:w="1500" w:type="dxa"/>
            <w:tcBorders/>
            <w:shd w:fill="auto" w:val="clear"/>
            <w:tcMar>
              <w:left w:w="108" w:type="dxa"/>
            </w:tcMar>
          </w:tcPr>
          <w:p>
            <w:pPr>
              <w:pStyle w:val="Normal"/>
              <w:jc w:val="center"/>
              <w:rPr>
                <w:rFonts w:ascii="Arial" w:hAnsi="Arial" w:cs="Arial"/>
                <w:b/>
                <w:b/>
                <w:sz w:val="20"/>
                <w:szCs w:val="20"/>
              </w:rPr>
            </w:pPr>
            <w:r>
              <w:rPr>
                <w:rFonts w:cs="Arial"/>
                <w:b/>
                <w:sz w:val="20"/>
                <w:szCs w:val="20"/>
              </w:rPr>
              <w:t>INTENSITY</w:t>
            </w:r>
          </w:p>
          <w:p>
            <w:pPr>
              <w:pStyle w:val="Normal"/>
              <w:jc w:val="center"/>
              <w:rPr>
                <w:rFonts w:ascii="Arial" w:hAnsi="Arial" w:cs="Arial"/>
                <w:b/>
                <w:b/>
                <w:sz w:val="20"/>
                <w:szCs w:val="20"/>
              </w:rPr>
            </w:pPr>
            <w:r>
              <w:rPr>
                <w:rFonts w:cs="Arial"/>
                <w:b/>
                <w:sz w:val="20"/>
                <w:szCs w:val="20"/>
              </w:rPr>
              <w:t>OF LIGHT</w:t>
            </w:r>
          </w:p>
          <w:p>
            <w:pPr>
              <w:pStyle w:val="Normal"/>
              <w:jc w:val="center"/>
              <w:rPr>
                <w:rFonts w:ascii="Arial" w:hAnsi="Arial" w:cs="Arial"/>
                <w:b/>
                <w:b/>
                <w:sz w:val="20"/>
                <w:szCs w:val="20"/>
              </w:rPr>
            </w:pPr>
            <w:r>
              <w:rPr>
                <w:rFonts w:cs="Arial"/>
                <w:b/>
                <w:sz w:val="20"/>
                <w:szCs w:val="20"/>
              </w:rPr>
              <w:t>REFLECTION</w:t>
            </w:r>
          </w:p>
          <w:p>
            <w:pPr>
              <w:pStyle w:val="Normal"/>
              <w:jc w:val="center"/>
              <w:rPr>
                <w:rFonts w:ascii="Arial" w:hAnsi="Arial" w:cs="Arial"/>
                <w:b/>
                <w:b/>
                <w:sz w:val="20"/>
                <w:szCs w:val="20"/>
              </w:rPr>
            </w:pPr>
            <w:r>
              <w:rPr>
                <w:rFonts w:cs="Arial"/>
                <w:b/>
                <w:sz w:val="20"/>
                <w:szCs w:val="20"/>
              </w:rPr>
            </w:r>
          </w:p>
        </w:tc>
        <w:tc>
          <w:tcPr>
            <w:tcW w:w="1418"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COLOUR</w:t>
            </w:r>
          </w:p>
        </w:tc>
        <w:tc>
          <w:tcPr>
            <w:tcW w:w="1761"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ANISOTROPISM</w:t>
            </w:r>
          </w:p>
        </w:tc>
        <w:tc>
          <w:tcPr>
            <w:tcW w:w="1528" w:type="dxa"/>
            <w:tcBorders/>
            <w:shd w:fill="auto" w:val="clear"/>
            <w:tcMar>
              <w:left w:w="108" w:type="dxa"/>
            </w:tcMar>
          </w:tcPr>
          <w:p>
            <w:pPr>
              <w:pStyle w:val="Normal"/>
              <w:jc w:val="center"/>
              <w:rPr>
                <w:rFonts w:ascii="Arial" w:hAnsi="Arial" w:cs="Arial"/>
                <w:b/>
                <w:b/>
                <w:sz w:val="20"/>
                <w:szCs w:val="20"/>
              </w:rPr>
            </w:pPr>
            <w:r>
              <w:rPr>
                <w:rFonts w:cs="Arial"/>
                <w:b/>
                <w:sz w:val="20"/>
                <w:szCs w:val="20"/>
              </w:rPr>
              <w:t>PHYSICAL DISPOSITION AND HARDNESS</w:t>
            </w:r>
          </w:p>
        </w:tc>
        <w:tc>
          <w:tcPr>
            <w:tcW w:w="1280" w:type="dxa"/>
            <w:tcBorders/>
            <w:shd w:fill="auto" w:val="clear"/>
            <w:tcMar>
              <w:left w:w="108" w:type="dxa"/>
            </w:tcMar>
          </w:tcPr>
          <w:p>
            <w:pPr>
              <w:pStyle w:val="Normal"/>
              <w:jc w:val="center"/>
              <w:rPr>
                <w:rFonts w:ascii="Arial" w:hAnsi="Arial" w:cs="Arial"/>
                <w:b/>
                <w:b/>
                <w:sz w:val="20"/>
                <w:szCs w:val="20"/>
              </w:rPr>
            </w:pPr>
            <w:r>
              <w:rPr>
                <w:rFonts w:cs="Arial"/>
                <w:b/>
                <w:sz w:val="20"/>
                <w:szCs w:val="20"/>
              </w:rPr>
              <w:t>Plate</w:t>
            </w:r>
          </w:p>
          <w:p>
            <w:pPr>
              <w:pStyle w:val="Normal"/>
              <w:jc w:val="center"/>
              <w:rPr>
                <w:rFonts w:ascii="Arial" w:hAnsi="Arial" w:cs="Arial"/>
                <w:b/>
                <w:b/>
                <w:sz w:val="20"/>
                <w:szCs w:val="20"/>
              </w:rPr>
            </w:pPr>
            <w:r>
              <w:rPr>
                <w:rFonts w:cs="Arial"/>
                <w:b/>
                <w:sz w:val="20"/>
                <w:szCs w:val="20"/>
              </w:rPr>
              <w:t>No.</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t>Kaolinite</w:t>
            </w:r>
          </w:p>
          <w:p>
            <w:pPr>
              <w:pStyle w:val="Normal"/>
              <w:rPr>
                <w:rFonts w:ascii="Arial" w:hAnsi="Arial" w:cs="Arial"/>
                <w:sz w:val="20"/>
                <w:szCs w:val="20"/>
              </w:rPr>
            </w:pPr>
            <w:r>
              <w:rPr>
                <w:rFonts w:cs="Arial"/>
                <w:sz w:val="20"/>
                <w:szCs w:val="20"/>
              </w:rPr>
              <w:t>Illite</w:t>
            </w:r>
          </w:p>
          <w:p>
            <w:pPr>
              <w:pStyle w:val="Normal"/>
              <w:rPr>
                <w:rFonts w:ascii="Arial" w:hAnsi="Arial" w:cs="Arial"/>
                <w:sz w:val="20"/>
                <w:szCs w:val="20"/>
              </w:rPr>
            </w:pPr>
            <w:r>
              <w:rPr>
                <w:rFonts w:cs="Arial"/>
                <w:sz w:val="20"/>
                <w:szCs w:val="20"/>
              </w:rPr>
              <w:t>Montmorilonite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t>No Reflection</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t>Light to dark brown to black, granular</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Isotropic</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Scaly, soft; can swell in water</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t>37</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t>Quartz</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t>Low</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t>Glassy</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Weakly anisotropic, internal reflection</w:t>
            </w:r>
          </w:p>
          <w:p>
            <w:pPr>
              <w:pStyle w:val="Normal"/>
              <w:rPr>
                <w:rFonts w:ascii="Arial" w:hAnsi="Arial" w:cs="Arial"/>
                <w:sz w:val="20"/>
                <w:szCs w:val="20"/>
              </w:rPr>
            </w:pPr>
            <w:r>
              <w:rPr>
                <w:rFonts w:cs="Arial"/>
                <w:sz w:val="20"/>
                <w:szCs w:val="20"/>
              </w:rPr>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Granular, hard</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t>38</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t>Pyrite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t>Very high</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t>Yellow to bronze</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Isotropic</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Granular or massive, hard</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t>39-40</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Marcasite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Very high</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Pale bronze-yellow</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Highly anisotropic</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Tabular, often repeatedly twinned, radiating aggregates, hard</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rHeight w:val="840" w:hRule="atLeast"/>
        </w:trPr>
        <w:tc>
          <w:tcPr>
            <w:tcW w:w="152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Siderite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High</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Yellow-brown</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Highly anisotropic, white-brown reflections</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Rhombohedral cleavage, compact or nodular, medium hardness</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t>41</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t>Calcite</w:t>
            </w:r>
          </w:p>
          <w:p>
            <w:pPr>
              <w:pStyle w:val="Normal"/>
              <w:rPr>
                <w:rFonts w:ascii="Arial" w:hAnsi="Arial" w:cs="Arial"/>
                <w:sz w:val="20"/>
                <w:szCs w:val="20"/>
              </w:rPr>
            </w:pPr>
            <w:r>
              <w:rPr>
                <w:rFonts w:cs="Arial"/>
                <w:sz w:val="20"/>
                <w:szCs w:val="20"/>
              </w:rPr>
              <w:t>Dolomite</w:t>
            </w:r>
          </w:p>
          <w:p>
            <w:pPr>
              <w:pStyle w:val="Normal"/>
              <w:rPr>
                <w:rFonts w:ascii="Arial" w:hAnsi="Arial" w:cs="Arial"/>
                <w:sz w:val="20"/>
                <w:szCs w:val="20"/>
              </w:rPr>
            </w:pPr>
            <w:r>
              <w:rPr>
                <w:rFonts w:cs="Arial"/>
                <w:sz w:val="20"/>
                <w:szCs w:val="20"/>
              </w:rPr>
              <w:t>Ankerite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Medium</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t>Colourless to white-yellow-brownish</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Highly anisotropic, white internal reflections</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Rhombohedral cleavage, twinning, medium hardness</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t>42</w:t>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Haematite (secondary mineral)</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High</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t>White to blue-red without immersion, steel-grey in immersion</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Strong anisotropism, red internal reflections</w:t>
            </w:r>
          </w:p>
          <w:p>
            <w:pPr>
              <w:pStyle w:val="Normal"/>
              <w:rPr>
                <w:rFonts w:ascii="Arial" w:hAnsi="Arial" w:cs="Arial"/>
                <w:sz w:val="20"/>
                <w:szCs w:val="20"/>
              </w:rPr>
            </w:pPr>
            <w:r>
              <w:rPr>
                <w:rFonts w:cs="Arial"/>
                <w:sz w:val="20"/>
                <w:szCs w:val="20"/>
              </w:rPr>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Tabular, granular, fibrous, hard</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c>
          <w:tcPr>
            <w:tcW w:w="152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Limonite-Goethite</w:t>
            </w:r>
          </w:p>
        </w:tc>
        <w:tc>
          <w:tcPr>
            <w:tcW w:w="1500"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Medium</w:t>
            </w:r>
          </w:p>
        </w:tc>
        <w:tc>
          <w:tcPr>
            <w:tcW w:w="1418" w:type="dxa"/>
            <w:tcBorders/>
            <w:shd w:fill="auto" w:val="clear"/>
            <w:tcMar>
              <w:left w:w="108" w:type="dxa"/>
            </w:tcMar>
          </w:tcPr>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Grey</w:t>
            </w:r>
          </w:p>
        </w:tc>
        <w:tc>
          <w:tcPr>
            <w:tcW w:w="1761" w:type="dxa"/>
            <w:tcBorders/>
            <w:shd w:fill="auto" w:val="clear"/>
            <w:tcMar>
              <w:left w:w="108" w:type="dxa"/>
            </w:tcMar>
          </w:tcPr>
          <w:p>
            <w:pPr>
              <w:pStyle w:val="Normal"/>
              <w:rPr>
                <w:rFonts w:ascii="Arial" w:hAnsi="Arial" w:cs="Arial"/>
                <w:sz w:val="20"/>
                <w:szCs w:val="20"/>
              </w:rPr>
            </w:pPr>
            <w:r>
              <w:rPr>
                <w:rFonts w:cs="Arial"/>
                <w:sz w:val="20"/>
                <w:szCs w:val="20"/>
              </w:rPr>
              <w:t>Weakly anisotropic, especially in oil immersion, brown internal reflections</w:t>
            </w:r>
          </w:p>
        </w:tc>
        <w:tc>
          <w:tcPr>
            <w:tcW w:w="1528" w:type="dxa"/>
            <w:tcBorders/>
            <w:shd w:fill="auto" w:val="clear"/>
            <w:tcMar>
              <w:left w:w="108" w:type="dxa"/>
            </w:tcMar>
          </w:tcPr>
          <w:p>
            <w:pPr>
              <w:pStyle w:val="Normal"/>
              <w:rPr>
                <w:rFonts w:ascii="Arial" w:hAnsi="Arial" w:cs="Arial"/>
                <w:sz w:val="20"/>
                <w:szCs w:val="20"/>
              </w:rPr>
            </w:pPr>
            <w:r>
              <w:rPr>
                <w:rFonts w:cs="Arial"/>
                <w:sz w:val="20"/>
                <w:szCs w:val="20"/>
              </w:rPr>
              <w:t>Massive, compact, granular, hardness medium, often as a secondary overgrowth on pyrite marcasite</w:t>
            </w:r>
          </w:p>
        </w:tc>
        <w:tc>
          <w:tcPr>
            <w:tcW w:w="1280" w:type="dxa"/>
            <w:tcBorders/>
            <w:shd w:fill="auto" w:val="clear"/>
            <w:tcMar>
              <w:left w:w="108" w:type="dxa"/>
            </w:tcMar>
          </w:tcPr>
          <w:p>
            <w:pPr>
              <w:pStyle w:val="Normal"/>
              <w:jc w:val="center"/>
              <w:rPr>
                <w:rFonts w:ascii="Arial" w:hAnsi="Arial" w:cs="Arial"/>
                <w:sz w:val="20"/>
                <w:szCs w:val="20"/>
              </w:rPr>
            </w:pPr>
            <w:r>
              <w:rPr>
                <w:rFonts w:cs="Arial"/>
                <w:sz w:val="20"/>
                <w:szCs w:val="20"/>
              </w:rPr>
            </w:r>
          </w:p>
        </w:tc>
      </w:tr>
    </w:tbl>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Heading4"/>
        <w:rPr/>
      </w:pPr>
      <w:bookmarkStart w:id="20" w:name="_Toc485644672"/>
      <w:bookmarkEnd w:id="20"/>
      <w:r>
        <w:rPr/>
        <w:t>Iron sulphides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Gondwana coals are generally low in iron sulphide minerals compared to Laurasian coals (Falcon, 2013). The iron sulphides, being pyrite and to a lesser extent marcasite, are ubiquitous in southern African coals, but usually in very low quantities, except for certain areas and one or two seams. Pyrite can occur in a wide variety of modes, from tiny micron sized nodules included in the macerals (syngenetic), to large nodules or replacement concretions (epigenetic), and infilling cell lumen and cleats (syngenetic / epigenetic). It has also been observed to replace or transform other minerals. In reflected light, under oil immersion, pyrite is extremely bright yellow, being about 50 times as bright as the surrounding coal, and generally exhibit relief. </w:t>
      </w:r>
    </w:p>
    <w:p>
      <w:pPr>
        <w:pStyle w:val="Heading4"/>
        <w:rPr/>
      </w:pPr>
      <w:r>
        <w:rPr/>
      </w:r>
    </w:p>
    <w:p>
      <w:pPr>
        <w:pStyle w:val="Heading4"/>
        <w:rPr/>
      </w:pPr>
      <w:bookmarkStart w:id="21" w:name="_Toc485644673"/>
      <w:bookmarkEnd w:id="21"/>
      <w:r>
        <w:rPr/>
        <w:t>Other minerals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Apatite, barite, gypsum, and sphalerite are found rarely in coal, but can be locally significant. Apatite occurs as very fine grains, generally micron to sub-micron in size, distributed within a maceral, frequently being vitrinite. It is of significance in terms of coking coal, as the phosphorous content is deleterious to metallurgical materials.  </w:t>
      </w:r>
    </w:p>
    <w:p>
      <w:pPr>
        <w:pStyle w:val="Normal"/>
        <w:spacing w:lineRule="auto" w:line="360"/>
        <w:rPr>
          <w:rFonts w:ascii="Arial" w:hAnsi="Arial" w:cs="Arial"/>
          <w:sz w:val="20"/>
          <w:szCs w:val="20"/>
        </w:rPr>
      </w:pPr>
      <w:r>
        <w:rPr>
          <w:rFonts w:cs="Arial"/>
          <w:sz w:val="20"/>
          <w:szCs w:val="20"/>
        </w:rPr>
      </w:r>
    </w:p>
    <w:p>
      <w:pPr>
        <w:pStyle w:val="Heading4"/>
        <w:numPr>
          <w:ilvl w:val="3"/>
          <w:numId w:val="11"/>
        </w:numPr>
        <w:rPr>
          <w:rFonts w:ascii="Calibri" w:hAnsi="Calibri"/>
        </w:rPr>
      </w:pPr>
      <w:bookmarkStart w:id="22" w:name="_Toc485644674"/>
      <w:bookmarkEnd w:id="22"/>
      <w:r>
        <w:rPr>
          <w:rFonts w:ascii="Calibri" w:hAnsi="Calibri"/>
        </w:rPr>
        <w:t>Microlithotypes</w:t>
      </w:r>
    </w:p>
    <w:p>
      <w:pPr>
        <w:pStyle w:val="ListParagraph"/>
        <w:spacing w:lineRule="auto" w:line="360"/>
        <w:ind w:left="645" w:hanging="0"/>
        <w:rPr>
          <w:sz w:val="20"/>
          <w:szCs w:val="20"/>
        </w:rPr>
      </w:pPr>
      <w:r>
        <w:rPr>
          <w:sz w:val="20"/>
          <w:szCs w:val="20"/>
        </w:rPr>
      </w:r>
    </w:p>
    <w:p>
      <w:pPr>
        <w:pStyle w:val="ListParagraph"/>
        <w:ind w:left="0" w:hanging="0"/>
        <w:jc w:val="both"/>
        <w:rPr>
          <w:rFonts w:ascii="Calibri" w:hAnsi="Calibri"/>
        </w:rPr>
      </w:pPr>
      <w:r>
        <w:rPr>
          <w:rFonts w:ascii="Calibri" w:hAnsi="Calibri"/>
        </w:rPr>
        <w:t xml:space="preserve">The organic and inorganic constituents of coal combine in various associations to form microscopic associations, termed </w:t>
      </w:r>
      <w:r>
        <w:rPr>
          <w:rFonts w:ascii="Calibri" w:hAnsi="Calibri"/>
          <w:i/>
        </w:rPr>
        <w:t>microlithotypes</w:t>
      </w:r>
      <w:r>
        <w:rPr>
          <w:rFonts w:ascii="Calibri" w:hAnsi="Calibri"/>
        </w:rPr>
        <w:t xml:space="preserve">. By definition, microlithotypes have band widths greater than 50 </w:t>
      </w:r>
      <w:r>
        <w:rPr>
          <w:rFonts w:cs="Arial" w:ascii="Calibri" w:hAnsi="Calibri" w:cstheme="minorHAnsi"/>
        </w:rPr>
        <w:t>µ</w:t>
      </w:r>
      <w:r>
        <w:rPr>
          <w:rFonts w:ascii="Calibri" w:hAnsi="Calibri"/>
        </w:rPr>
        <w:t xml:space="preserve">m and contain at least 5 % of a maceral group (ISO, 1994; Taylor </w:t>
      </w:r>
      <w:r>
        <w:rPr>
          <w:rFonts w:ascii="Calibri" w:hAnsi="Calibri"/>
          <w:i/>
        </w:rPr>
        <w:t>et al.,</w:t>
      </w:r>
      <w:r>
        <w:rPr>
          <w:rFonts w:ascii="Calibri" w:hAnsi="Calibri"/>
        </w:rPr>
        <w:t xml:space="preserve"> 1998). Lithotypes</w:t>
      </w:r>
      <w:r>
        <w:rPr>
          <w:rFonts w:ascii="Calibri" w:hAnsi="Calibri"/>
          <w:i/>
        </w:rPr>
        <w:t xml:space="preserve"> </w:t>
      </w:r>
      <w:r>
        <w:rPr>
          <w:rFonts w:ascii="Calibri" w:hAnsi="Calibri"/>
        </w:rPr>
        <w:t>are the megascopic associations of microlithotypes, as discussed above. Microlithotypes may be composed of pure macerals (i.e. monomaceral forms of microlithotypes) or varying proportions of different macerals (bimaceral forms if two macerals comprise the association), or trimaceral if three are present). If minerals are present in proportions greater than 20% by volume (or greater than 5% by volume for sulphide minerals specifically) then the association is termed carbominerite, irrespective of however many types of macerals are present (Table 2.7).  If minerals are present in proportions greater than 60%, the microlithotype is termed minerite (or rock).</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ListParagraph"/>
        <w:ind w:left="0" w:hanging="0"/>
        <w:jc w:val="both"/>
        <w:rPr>
          <w:rFonts w:ascii="Calibri" w:hAnsi="Calibri"/>
        </w:rPr>
      </w:pPr>
      <w:r>
        <w:rPr>
          <w:rFonts w:ascii="Calibri" w:hAnsi="Calibri"/>
        </w:rPr>
      </w:r>
    </w:p>
    <w:p>
      <w:pPr>
        <w:pStyle w:val="ListParagraph"/>
        <w:ind w:left="0" w:hanging="0"/>
        <w:jc w:val="both"/>
        <w:rPr>
          <w:rFonts w:ascii="Calibri" w:hAnsi="Calibri"/>
        </w:rPr>
      </w:pPr>
      <w:r>
        <w:rPr>
          <w:rFonts w:ascii="Calibri" w:hAnsi="Calibri"/>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 are discussed further in Chapter 3.</w:t>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jc w:val="center"/>
        <w:rPr>
          <w:rFonts w:ascii="Arial" w:hAnsi="Arial" w:cs="Arial"/>
          <w:b/>
          <w:b/>
          <w:sz w:val="20"/>
          <w:szCs w:val="20"/>
        </w:rPr>
      </w:pPr>
      <w:r>
        <w:rPr>
          <w:rFonts w:cs="Arial"/>
          <w:b/>
          <w:sz w:val="20"/>
          <w:szCs w:val="20"/>
        </w:rPr>
        <w:t>TABLE 2.7: Summary of Microlithotypes</w:t>
      </w:r>
    </w:p>
    <w:p>
      <w:pPr>
        <w:pStyle w:val="Normal"/>
        <w:jc w:val="center"/>
        <w:rPr>
          <w:rFonts w:ascii="Arial" w:hAnsi="Arial" w:cs="Arial"/>
          <w:b/>
          <w:b/>
          <w:sz w:val="20"/>
          <w:szCs w:val="20"/>
        </w:rPr>
      </w:pPr>
      <w:r>
        <w:rPr>
          <w:rFonts w:cs="Arial"/>
          <w:b/>
          <w:sz w:val="20"/>
          <w:szCs w:val="20"/>
        </w:rPr>
      </w:r>
    </w:p>
    <w:tbl>
      <w:tblPr>
        <w:tblStyle w:val="TableGrid"/>
        <w:tblW w:w="8450" w:type="dxa"/>
        <w:jc w:val="left"/>
        <w:tblInd w:w="392" w:type="dxa"/>
        <w:tblCellMar>
          <w:top w:w="0" w:type="dxa"/>
          <w:left w:w="108" w:type="dxa"/>
          <w:bottom w:w="0" w:type="dxa"/>
          <w:right w:w="108" w:type="dxa"/>
        </w:tblCellMar>
        <w:tblLook w:val="04a0" w:noVBand="1" w:noHBand="0" w:lastColumn="0" w:firstColumn="1" w:lastRow="0" w:firstRow="1"/>
      </w:tblPr>
      <w:tblGrid>
        <w:gridCol w:w="2005"/>
        <w:gridCol w:w="2310"/>
        <w:gridCol w:w="2311"/>
        <w:gridCol w:w="1823"/>
      </w:tblGrid>
      <w:tr>
        <w:trPr/>
        <w:tc>
          <w:tcPr>
            <w:tcW w:w="2005" w:type="dxa"/>
            <w:tcBorders/>
            <w:shd w:fill="auto" w:val="clear"/>
            <w:tcMar>
              <w:left w:w="108" w:type="dxa"/>
            </w:tcMar>
          </w:tcPr>
          <w:p>
            <w:pPr>
              <w:pStyle w:val="Normal"/>
              <w:jc w:val="center"/>
              <w:rPr>
                <w:rFonts w:cs="Arial" w:cstheme="minorHAnsi"/>
                <w:b/>
                <w:b/>
                <w:sz w:val="18"/>
                <w:szCs w:val="18"/>
              </w:rPr>
            </w:pPr>
            <w:r>
              <w:rPr>
                <w:rFonts w:cs="Arial" w:cstheme="minorHAnsi"/>
                <w:b/>
                <w:sz w:val="18"/>
                <w:szCs w:val="18"/>
              </w:rPr>
              <w:t>MICROLITHOTYPE</w:t>
            </w:r>
          </w:p>
        </w:tc>
        <w:tc>
          <w:tcPr>
            <w:tcW w:w="2310" w:type="dxa"/>
            <w:tcBorders/>
            <w:shd w:fill="auto" w:val="clear"/>
            <w:tcMar>
              <w:left w:w="108" w:type="dxa"/>
            </w:tcMar>
          </w:tcPr>
          <w:p>
            <w:pPr>
              <w:pStyle w:val="Normal"/>
              <w:jc w:val="center"/>
              <w:rPr>
                <w:rFonts w:cs="Arial" w:cstheme="minorHAnsi"/>
                <w:b/>
                <w:b/>
                <w:sz w:val="18"/>
                <w:szCs w:val="18"/>
              </w:rPr>
            </w:pPr>
            <w:r>
              <w:rPr>
                <w:rFonts w:cs="Arial" w:cstheme="minorHAnsi"/>
                <w:b/>
                <w:sz w:val="18"/>
                <w:szCs w:val="18"/>
              </w:rPr>
              <w:t>MACERAL-GROUP COMPOSITION (MINERAL-FREE)</w:t>
            </w:r>
          </w:p>
        </w:tc>
        <w:tc>
          <w:tcPr>
            <w:tcW w:w="2311" w:type="dxa"/>
            <w:tcBorders/>
            <w:shd w:fill="auto" w:val="clear"/>
            <w:tcMar>
              <w:left w:w="108" w:type="dxa"/>
            </w:tcMar>
          </w:tcPr>
          <w:p>
            <w:pPr>
              <w:pStyle w:val="Normal"/>
              <w:jc w:val="center"/>
              <w:rPr>
                <w:rFonts w:cs="Arial" w:cstheme="minorHAnsi"/>
                <w:b/>
                <w:b/>
                <w:sz w:val="18"/>
                <w:szCs w:val="18"/>
              </w:rPr>
            </w:pPr>
            <w:r>
              <w:rPr>
                <w:rFonts w:cs="Arial" w:cstheme="minorHAnsi"/>
                <w:b/>
                <w:sz w:val="18"/>
                <w:szCs w:val="18"/>
              </w:rPr>
              <w:t>MICROLITHOTYPE GROUP</w:t>
            </w:r>
          </w:p>
        </w:tc>
        <w:tc>
          <w:tcPr>
            <w:tcW w:w="1823" w:type="dxa"/>
            <w:tcBorders/>
            <w:shd w:fill="auto" w:val="clear"/>
            <w:tcMar>
              <w:left w:w="108" w:type="dxa"/>
            </w:tcMar>
          </w:tcPr>
          <w:p>
            <w:pPr>
              <w:pStyle w:val="Normal"/>
              <w:jc w:val="center"/>
              <w:rPr>
                <w:rFonts w:cs="Arial" w:cstheme="minorHAnsi"/>
                <w:b/>
                <w:b/>
                <w:sz w:val="18"/>
                <w:szCs w:val="18"/>
              </w:rPr>
            </w:pPr>
            <w:r>
              <w:rPr>
                <w:rFonts w:cs="Arial" w:cstheme="minorHAnsi"/>
                <w:b/>
                <w:sz w:val="18"/>
                <w:szCs w:val="18"/>
              </w:rPr>
              <w:t>PLATE REF</w:t>
            </w:r>
          </w:p>
        </w:tc>
      </w:tr>
      <w:tr>
        <w:trPr/>
        <w:tc>
          <w:tcPr>
            <w:tcW w:w="2005" w:type="dxa"/>
            <w:tcBorders/>
            <w:shd w:fill="auto" w:val="clear"/>
            <w:tcMar>
              <w:left w:w="108" w:type="dxa"/>
            </w:tcMar>
          </w:tcPr>
          <w:p>
            <w:pPr>
              <w:pStyle w:val="Normal"/>
              <w:rPr>
                <w:rFonts w:cs="Arial" w:cstheme="minorHAnsi"/>
                <w:b/>
                <w:b/>
                <w:sz w:val="18"/>
                <w:szCs w:val="18"/>
              </w:rPr>
            </w:pPr>
            <w:r>
              <w:rPr>
                <w:rFonts w:cs="Arial" w:cstheme="minorHAnsi"/>
                <w:b/>
                <w:sz w:val="18"/>
                <w:szCs w:val="18"/>
              </w:rPr>
              <w:t>Monomaceral</w:t>
            </w:r>
          </w:p>
          <w:p>
            <w:pPr>
              <w:pStyle w:val="Normal"/>
              <w:rPr>
                <w:rFonts w:cs="Arial" w:cstheme="minorHAnsi"/>
                <w:b/>
                <w:b/>
                <w:sz w:val="18"/>
                <w:szCs w:val="18"/>
              </w:rPr>
            </w:pPr>
            <w:r>
              <w:rPr>
                <w:rFonts w:cs="Arial" w:cstheme="minorHAnsi"/>
                <w:b/>
                <w:sz w:val="18"/>
                <w:szCs w:val="18"/>
              </w:rPr>
            </w:r>
          </w:p>
          <w:p>
            <w:pPr>
              <w:pStyle w:val="Normal"/>
              <w:rPr>
                <w:rFonts w:cs="Arial" w:cstheme="minorHAnsi"/>
                <w:sz w:val="18"/>
                <w:szCs w:val="18"/>
              </w:rPr>
            </w:pPr>
            <w:r>
              <w:rPr>
                <w:rFonts w:cs="Arial" w:cstheme="minorHAnsi"/>
                <w:sz w:val="18"/>
                <w:szCs w:val="18"/>
              </w:rPr>
              <w:t>Collite</w:t>
            </w:r>
          </w:p>
          <w:p>
            <w:pPr>
              <w:pStyle w:val="Normal"/>
              <w:rPr>
                <w:rFonts w:cs="Arial" w:cstheme="minorHAnsi"/>
                <w:sz w:val="18"/>
                <w:szCs w:val="18"/>
              </w:rPr>
            </w:pPr>
            <w:r>
              <w:rPr>
                <w:rFonts w:cs="Arial" w:cstheme="minorHAnsi"/>
                <w:sz w:val="18"/>
                <w:szCs w:val="18"/>
              </w:rPr>
              <w:t>Telite</w:t>
            </w:r>
          </w:p>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V</w:t>
              <w:tab/>
              <w:t>&gt;</w:t>
              <w:tab/>
              <w:t>95%</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Vitrite</w:t>
            </w:r>
          </w:p>
        </w:tc>
        <w:tc>
          <w:tcPr>
            <w:tcW w:w="1823" w:type="dxa"/>
            <w:vMerge w:val="restart"/>
            <w:tcBorders/>
            <w:shd w:fill="auto" w:val="clear"/>
            <w:tcMar>
              <w:left w:w="108" w:type="dxa"/>
            </w:tcMar>
          </w:tcPr>
          <w:p>
            <w:pPr>
              <w:pStyle w:val="Normal"/>
              <w:jc w:val="center"/>
              <w:rPr>
                <w:rFonts w:cs="Arial" w:cstheme="minorHAnsi"/>
                <w:sz w:val="18"/>
                <w:szCs w:val="18"/>
              </w:rPr>
            </w:pPr>
            <w:r>
              <w:rPr>
                <w:rFonts w:cs="Arial" w:cstheme="minorHAnsi"/>
                <w:sz w:val="18"/>
                <w:szCs w:val="18"/>
              </w:rPr>
              <w:t>44</w:t>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tc>
      </w:tr>
      <w:tr>
        <w:trPr/>
        <w:tc>
          <w:tcPr>
            <w:tcW w:w="2005" w:type="dxa"/>
            <w:tcBorders/>
            <w:shd w:fill="auto" w:val="clear"/>
            <w:tcMar>
              <w:left w:w="108" w:type="dxa"/>
            </w:tcMar>
          </w:tcPr>
          <w:p>
            <w:pPr>
              <w:pStyle w:val="Normal"/>
              <w:rPr>
                <w:rFonts w:cs="Arial" w:cstheme="minorHAnsi"/>
                <w:sz w:val="18"/>
                <w:szCs w:val="18"/>
              </w:rPr>
            </w:pPr>
            <w:r>
              <w:rPr>
                <w:rFonts w:cs="Arial" w:cstheme="minorHAnsi"/>
                <w:sz w:val="18"/>
                <w:szCs w:val="18"/>
              </w:rPr>
              <w:t>Sporite</w:t>
            </w:r>
          </w:p>
          <w:p>
            <w:pPr>
              <w:pStyle w:val="Normal"/>
              <w:rPr>
                <w:rFonts w:cs="Arial" w:cstheme="minorHAnsi"/>
                <w:sz w:val="18"/>
                <w:szCs w:val="18"/>
              </w:rPr>
            </w:pPr>
            <w:r>
              <w:rPr>
                <w:rFonts w:cs="Arial" w:cstheme="minorHAnsi"/>
                <w:sz w:val="18"/>
                <w:szCs w:val="18"/>
              </w:rPr>
              <w:t>Cutite</w:t>
            </w:r>
          </w:p>
          <w:p>
            <w:pPr>
              <w:pStyle w:val="Normal"/>
              <w:rPr>
                <w:rFonts w:cs="Arial" w:cstheme="minorHAnsi"/>
                <w:sz w:val="18"/>
                <w:szCs w:val="18"/>
              </w:rPr>
            </w:pPr>
            <w:r>
              <w:rPr>
                <w:rFonts w:cs="Arial" w:cstheme="minorHAnsi"/>
                <w:sz w:val="18"/>
                <w:szCs w:val="18"/>
              </w:rPr>
              <w:t>Resite</w:t>
            </w:r>
          </w:p>
          <w:p>
            <w:pPr>
              <w:pStyle w:val="Normal"/>
              <w:rPr>
                <w:rFonts w:cs="Arial" w:cstheme="minorHAnsi"/>
                <w:sz w:val="18"/>
                <w:szCs w:val="18"/>
              </w:rPr>
            </w:pPr>
            <w:r>
              <w:rPr>
                <w:rFonts w:cs="Arial" w:cstheme="minorHAnsi"/>
                <w:sz w:val="18"/>
                <w:szCs w:val="18"/>
              </w:rPr>
              <w:t>Algite</w:t>
            </w:r>
          </w:p>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L</w:t>
              <w:tab/>
              <w:t>&gt;</w:t>
              <w:tab/>
              <w:t>95%</w:t>
              <w:tab/>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Liptite</w:t>
            </w:r>
          </w:p>
        </w:tc>
        <w:tc>
          <w:tcPr>
            <w:tcW w:w="1823" w:type="dxa"/>
            <w:vMerge w:val="continue"/>
            <w:tcBorders/>
            <w:shd w:fill="auto" w:val="clear"/>
            <w:tcMar>
              <w:left w:w="108" w:type="dxa"/>
            </w:tcMar>
          </w:tcPr>
          <w:p>
            <w:pPr>
              <w:pStyle w:val="Normal"/>
              <w:jc w:val="center"/>
              <w:rPr>
                <w:rFonts w:cs="Arial" w:cstheme="minorHAnsi"/>
                <w:sz w:val="18"/>
                <w:szCs w:val="18"/>
              </w:rPr>
            </w:pPr>
            <w:r>
              <w:rPr>
                <w:rFonts w:cs="Arial" w:cstheme="minorHAnsi"/>
                <w:sz w:val="18"/>
                <w:szCs w:val="18"/>
              </w:rPr>
            </w:r>
          </w:p>
        </w:tc>
      </w:tr>
      <w:tr>
        <w:trPr/>
        <w:tc>
          <w:tcPr>
            <w:tcW w:w="2005" w:type="dxa"/>
            <w:tcBorders/>
            <w:shd w:fill="auto" w:val="clear"/>
            <w:tcMar>
              <w:left w:w="108" w:type="dxa"/>
            </w:tcMar>
          </w:tcPr>
          <w:p>
            <w:pPr>
              <w:pStyle w:val="Normal"/>
              <w:rPr>
                <w:rFonts w:cs="Arial" w:cstheme="minorHAnsi"/>
                <w:sz w:val="18"/>
                <w:szCs w:val="18"/>
              </w:rPr>
            </w:pPr>
            <w:r>
              <w:rPr>
                <w:rFonts w:cs="Arial" w:cstheme="minorHAnsi"/>
                <w:sz w:val="18"/>
                <w:szCs w:val="18"/>
              </w:rPr>
              <w:t>Semifusite</w:t>
            </w:r>
          </w:p>
          <w:p>
            <w:pPr>
              <w:pStyle w:val="Normal"/>
              <w:rPr>
                <w:rFonts w:cs="Arial" w:cstheme="minorHAnsi"/>
                <w:sz w:val="18"/>
                <w:szCs w:val="18"/>
              </w:rPr>
            </w:pPr>
            <w:r>
              <w:rPr>
                <w:rFonts w:cs="Arial" w:cstheme="minorHAnsi"/>
                <w:sz w:val="18"/>
                <w:szCs w:val="18"/>
              </w:rPr>
              <w:t xml:space="preserve">Fusite </w:t>
            </w:r>
          </w:p>
          <w:p>
            <w:pPr>
              <w:pStyle w:val="Normal"/>
              <w:rPr>
                <w:rFonts w:cs="Arial" w:cstheme="minorHAnsi"/>
                <w:sz w:val="18"/>
                <w:szCs w:val="18"/>
              </w:rPr>
            </w:pPr>
            <w:r>
              <w:rPr>
                <w:rFonts w:cs="Arial" w:cstheme="minorHAnsi"/>
                <w:sz w:val="18"/>
                <w:szCs w:val="18"/>
              </w:rPr>
              <w:t>Secretite</w:t>
            </w:r>
          </w:p>
          <w:p>
            <w:pPr>
              <w:pStyle w:val="Normal"/>
              <w:rPr>
                <w:rFonts w:cs="Arial" w:cstheme="minorHAnsi"/>
                <w:sz w:val="18"/>
                <w:szCs w:val="18"/>
              </w:rPr>
            </w:pPr>
            <w:r>
              <w:rPr>
                <w:rFonts w:cs="Arial" w:cstheme="minorHAnsi"/>
                <w:sz w:val="18"/>
                <w:szCs w:val="18"/>
              </w:rPr>
              <w:t>Inertodetrite</w:t>
            </w:r>
          </w:p>
          <w:p>
            <w:pPr>
              <w:pStyle w:val="Normal"/>
              <w:rPr>
                <w:rFonts w:cs="Arial" w:cstheme="minorHAnsi"/>
                <w:sz w:val="18"/>
                <w:szCs w:val="18"/>
              </w:rPr>
            </w:pPr>
            <w:r>
              <w:rPr>
                <w:rFonts w:cs="Arial" w:cstheme="minorHAnsi"/>
                <w:sz w:val="18"/>
                <w:szCs w:val="18"/>
              </w:rPr>
              <w:t>Micrite</w:t>
            </w:r>
          </w:p>
          <w:p>
            <w:pPr>
              <w:pStyle w:val="Normal"/>
              <w:rPr>
                <w:rFonts w:cs="Arial" w:cstheme="minorHAnsi"/>
                <w:sz w:val="18"/>
                <w:szCs w:val="18"/>
              </w:rPr>
            </w:pPr>
            <w:r>
              <w:rPr>
                <w:rFonts w:cs="Arial" w:cstheme="minorHAnsi"/>
                <w:sz w:val="18"/>
                <w:szCs w:val="18"/>
              </w:rPr>
              <w:t>Macrite</w:t>
            </w:r>
          </w:p>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I</w:t>
              <w:tab/>
              <w:t>&gt;</w:t>
              <w:tab/>
              <w:t>95%</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Inertite</w:t>
            </w:r>
          </w:p>
        </w:tc>
        <w:tc>
          <w:tcPr>
            <w:tcW w:w="1823" w:type="dxa"/>
            <w:vMerge w:val="continue"/>
            <w:tcBorders/>
            <w:shd w:fill="auto" w:val="clear"/>
            <w:tcMar>
              <w:left w:w="108" w:type="dxa"/>
            </w:tcMar>
          </w:tcPr>
          <w:p>
            <w:pPr>
              <w:pStyle w:val="Normal"/>
              <w:jc w:val="center"/>
              <w:rPr>
                <w:rFonts w:cs="Arial" w:cstheme="minorHAnsi"/>
                <w:sz w:val="18"/>
                <w:szCs w:val="18"/>
              </w:rPr>
            </w:pPr>
            <w:r>
              <w:rPr>
                <w:rFonts w:cs="Arial" w:cstheme="minorHAnsi"/>
                <w:sz w:val="18"/>
                <w:szCs w:val="18"/>
              </w:rPr>
            </w:r>
          </w:p>
        </w:tc>
      </w:tr>
      <w:tr>
        <w:trPr/>
        <w:tc>
          <w:tcPr>
            <w:tcW w:w="2005" w:type="dxa"/>
            <w:tcBorders/>
            <w:shd w:fill="auto" w:val="clear"/>
            <w:tcMar>
              <w:left w:w="108" w:type="dxa"/>
            </w:tcMar>
          </w:tcPr>
          <w:p>
            <w:pPr>
              <w:pStyle w:val="Normal"/>
              <w:rPr>
                <w:rFonts w:cs="Arial" w:cstheme="minorHAnsi"/>
                <w:b/>
                <w:b/>
                <w:sz w:val="18"/>
                <w:szCs w:val="18"/>
              </w:rPr>
            </w:pPr>
            <w:r>
              <w:rPr>
                <w:rFonts w:cs="Arial" w:cstheme="minorHAnsi"/>
                <w:b/>
                <w:sz w:val="18"/>
                <w:szCs w:val="18"/>
              </w:rPr>
              <w:t>Bimaceral</w:t>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Sporoclarite</w:t>
            </w:r>
          </w:p>
          <w:p>
            <w:pPr>
              <w:pStyle w:val="Normal"/>
              <w:rPr>
                <w:rFonts w:cs="Arial" w:cstheme="minorHAnsi"/>
                <w:sz w:val="18"/>
                <w:szCs w:val="18"/>
              </w:rPr>
            </w:pPr>
            <w:r>
              <w:rPr>
                <w:rFonts w:cs="Arial" w:cstheme="minorHAnsi"/>
                <w:sz w:val="18"/>
                <w:szCs w:val="18"/>
              </w:rPr>
              <w:t>Cuticloclarite</w:t>
            </w:r>
          </w:p>
          <w:p>
            <w:pPr>
              <w:pStyle w:val="Normal"/>
              <w:rPr>
                <w:rFonts w:cs="Arial" w:cstheme="minorHAnsi"/>
                <w:sz w:val="18"/>
                <w:szCs w:val="18"/>
              </w:rPr>
            </w:pPr>
            <w:r>
              <w:rPr>
                <w:rFonts w:cs="Arial" w:cstheme="minorHAnsi"/>
                <w:sz w:val="18"/>
                <w:szCs w:val="18"/>
              </w:rPr>
              <w:t>Resinoclarite</w:t>
            </w:r>
          </w:p>
          <w:p>
            <w:pPr>
              <w:pStyle w:val="Normal"/>
              <w:rPr>
                <w:rFonts w:cs="Arial" w:cstheme="minorHAnsi"/>
                <w:sz w:val="18"/>
                <w:szCs w:val="18"/>
              </w:rPr>
            </w:pPr>
            <w:r>
              <w:rPr>
                <w:rFonts w:cs="Arial" w:cstheme="minorHAnsi"/>
                <w:sz w:val="18"/>
                <w:szCs w:val="18"/>
              </w:rPr>
              <w:t>Algoclarite</w:t>
            </w:r>
          </w:p>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 xml:space="preserve">V + L </w:t>
              <w:tab/>
              <w:t>&gt;</w:t>
              <w:tab/>
              <w:t>95%</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Clarite</w:t>
            </w:r>
          </w:p>
          <w:p>
            <w:pPr>
              <w:pStyle w:val="Normal"/>
              <w:jc w:val="center"/>
              <w:rPr>
                <w:rFonts w:cs="Arial" w:cstheme="minorHAnsi"/>
                <w:sz w:val="18"/>
                <w:szCs w:val="18"/>
              </w:rPr>
            </w:pPr>
            <w:r>
              <w:rPr>
                <w:rFonts w:cs="Arial" w:cstheme="minorHAnsi"/>
                <w:sz w:val="18"/>
                <w:szCs w:val="18"/>
              </w:rPr>
              <w:t>V,L</w:t>
            </w:r>
          </w:p>
        </w:tc>
        <w:tc>
          <w:tcPr>
            <w:tcW w:w="1823" w:type="dxa"/>
            <w:vMerge w:val="restart"/>
            <w:tcBorders/>
            <w:shd w:fill="auto" w:val="clear"/>
            <w:tcMar>
              <w:left w:w="108" w:type="dxa"/>
            </w:tcMar>
          </w:tcPr>
          <w:p>
            <w:pPr>
              <w:pStyle w:val="Normal"/>
              <w:jc w:val="center"/>
              <w:rPr>
                <w:rFonts w:cs="Arial" w:cstheme="minorHAnsi"/>
                <w:sz w:val="18"/>
                <w:szCs w:val="18"/>
              </w:rPr>
            </w:pPr>
            <w:r>
              <w:rPr>
                <w:rFonts w:cs="Arial" w:cstheme="minorHAnsi"/>
                <w:sz w:val="18"/>
                <w:szCs w:val="18"/>
              </w:rPr>
              <w:t>45</w:t>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pBdr>
                <w:bottom w:val="single" w:sz="4" w:space="1" w:color="000001"/>
              </w:pBdr>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46</w:t>
            </w:r>
          </w:p>
        </w:tc>
      </w:tr>
      <w:tr>
        <w:trPr/>
        <w:tc>
          <w:tcPr>
            <w:tcW w:w="2005" w:type="dxa"/>
            <w:tcBorders/>
            <w:shd w:fill="auto" w:val="clear"/>
            <w:tcMar>
              <w:left w:w="108" w:type="dxa"/>
            </w:tcMar>
          </w:tcPr>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t>V + I</w:t>
              <w:tab/>
              <w:t>&gt;</w:t>
              <w:tab/>
              <w:t>95%</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t>Vitrinertite</w:t>
            </w:r>
          </w:p>
          <w:p>
            <w:pPr>
              <w:pStyle w:val="Normal"/>
              <w:jc w:val="center"/>
              <w:rPr>
                <w:rFonts w:cs="Arial" w:cstheme="minorHAnsi"/>
                <w:sz w:val="18"/>
                <w:szCs w:val="18"/>
              </w:rPr>
            </w:pPr>
            <w:r>
              <w:rPr>
                <w:rFonts w:cs="Arial" w:cstheme="minorHAnsi"/>
                <w:sz w:val="18"/>
                <w:szCs w:val="18"/>
              </w:rPr>
              <w:t>V, I</w:t>
            </w:r>
          </w:p>
        </w:tc>
        <w:tc>
          <w:tcPr>
            <w:tcW w:w="1823" w:type="dxa"/>
            <w:vMerge w:val="continue"/>
            <w:tcBorders/>
            <w:shd w:fill="auto" w:val="clear"/>
            <w:tcMar>
              <w:left w:w="108" w:type="dxa"/>
            </w:tcMar>
          </w:tcPr>
          <w:p>
            <w:pPr>
              <w:pStyle w:val="Normal"/>
              <w:jc w:val="center"/>
              <w:rPr>
                <w:rFonts w:cs="Arial" w:cstheme="minorHAnsi"/>
                <w:sz w:val="18"/>
                <w:szCs w:val="18"/>
              </w:rPr>
            </w:pPr>
            <w:r>
              <w:rPr>
                <w:rFonts w:cs="Arial" w:cstheme="minorHAnsi"/>
                <w:sz w:val="18"/>
                <w:szCs w:val="18"/>
              </w:rPr>
            </w:r>
          </w:p>
        </w:tc>
      </w:tr>
      <w:tr>
        <w:trPr/>
        <w:tc>
          <w:tcPr>
            <w:tcW w:w="2005" w:type="dxa"/>
            <w:tcBorders/>
            <w:shd w:fill="auto" w:val="clear"/>
            <w:tcMar>
              <w:left w:w="108" w:type="dxa"/>
            </w:tcMar>
          </w:tcPr>
          <w:p>
            <w:pPr>
              <w:pStyle w:val="Normal"/>
              <w:rPr>
                <w:rFonts w:cs="Arial" w:cstheme="minorHAnsi"/>
                <w:sz w:val="18"/>
                <w:szCs w:val="18"/>
              </w:rPr>
            </w:pPr>
            <w:r>
              <w:rPr>
                <w:rFonts w:cs="Arial" w:cstheme="minorHAnsi"/>
                <w:sz w:val="18"/>
                <w:szCs w:val="18"/>
              </w:rPr>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t>I + L</w:t>
              <w:tab/>
              <w:t>&gt;</w:t>
              <w:tab/>
              <w:t>95%</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t>Durite</w:t>
            </w:r>
          </w:p>
          <w:p>
            <w:pPr>
              <w:pStyle w:val="Normal"/>
              <w:jc w:val="center"/>
              <w:rPr>
                <w:rFonts w:cs="Arial" w:cstheme="minorHAnsi"/>
                <w:sz w:val="18"/>
                <w:szCs w:val="18"/>
              </w:rPr>
            </w:pPr>
            <w:r>
              <w:rPr>
                <w:rFonts w:cs="Arial" w:cstheme="minorHAnsi"/>
                <w:sz w:val="18"/>
                <w:szCs w:val="18"/>
              </w:rPr>
            </w:r>
          </w:p>
        </w:tc>
        <w:tc>
          <w:tcPr>
            <w:tcW w:w="1823" w:type="dxa"/>
            <w:vMerge w:val="continue"/>
            <w:tcBorders/>
            <w:shd w:fill="auto" w:val="clear"/>
            <w:tcMar>
              <w:left w:w="108" w:type="dxa"/>
            </w:tcMar>
          </w:tcPr>
          <w:p>
            <w:pPr>
              <w:pStyle w:val="Normal"/>
              <w:jc w:val="center"/>
              <w:rPr>
                <w:rFonts w:cs="Arial" w:cstheme="minorHAnsi"/>
                <w:sz w:val="18"/>
                <w:szCs w:val="18"/>
              </w:rPr>
            </w:pPr>
            <w:r>
              <w:rPr>
                <w:rFonts w:cs="Arial" w:cstheme="minorHAnsi"/>
                <w:sz w:val="18"/>
                <w:szCs w:val="18"/>
              </w:rPr>
            </w:r>
          </w:p>
        </w:tc>
      </w:tr>
      <w:tr>
        <w:trPr/>
        <w:tc>
          <w:tcPr>
            <w:tcW w:w="2005" w:type="dxa"/>
            <w:tcBorders/>
            <w:shd w:fill="auto" w:val="clear"/>
            <w:tcMar>
              <w:left w:w="108" w:type="dxa"/>
            </w:tcMar>
          </w:tcPr>
          <w:p>
            <w:pPr>
              <w:pStyle w:val="Normal"/>
              <w:rPr>
                <w:rFonts w:cs="Arial" w:cstheme="minorHAnsi"/>
                <w:sz w:val="18"/>
                <w:szCs w:val="18"/>
              </w:rPr>
            </w:pPr>
            <w:r>
              <w:rPr>
                <w:rFonts w:cs="Arial" w:cstheme="minorHAnsi"/>
                <w:sz w:val="18"/>
                <w:szCs w:val="18"/>
              </w:rPr>
              <w:t>Trimaceral</w:t>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Duroclarite</w:t>
            </w:r>
          </w:p>
          <w:p>
            <w:pPr>
              <w:pStyle w:val="Normal"/>
              <w:rPr>
                <w:rFonts w:cs="Arial" w:cstheme="minorHAnsi"/>
                <w:sz w:val="18"/>
                <w:szCs w:val="18"/>
              </w:rPr>
            </w:pPr>
            <w:r>
              <w:rPr>
                <w:rFonts w:cs="Arial" w:cstheme="minorHAnsi"/>
                <w:sz w:val="18"/>
                <w:szCs w:val="18"/>
              </w:rPr>
              <w:t>Vitrinertoliptite</w:t>
            </w:r>
          </w:p>
          <w:p>
            <w:pPr>
              <w:pStyle w:val="Normal"/>
              <w:rPr>
                <w:rFonts w:cs="Arial" w:cstheme="minorHAnsi"/>
                <w:sz w:val="18"/>
                <w:szCs w:val="18"/>
              </w:rPr>
            </w:pPr>
            <w:r>
              <w:rPr>
                <w:rFonts w:cs="Arial" w:cstheme="minorHAnsi"/>
                <w:sz w:val="18"/>
                <w:szCs w:val="18"/>
              </w:rPr>
              <w:t>Clarodurite</w:t>
            </w:r>
          </w:p>
        </w:tc>
        <w:tc>
          <w:tcPr>
            <w:tcW w:w="2310" w:type="dxa"/>
            <w:tcBorders/>
            <w:shd w:fill="auto" w:val="clear"/>
            <w:tcMar>
              <w:left w:w="108" w:type="dxa"/>
            </w:tcMar>
          </w:tcPr>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r>
          </w:p>
          <w:p>
            <w:pPr>
              <w:pStyle w:val="Normal"/>
              <w:rPr>
                <w:rFonts w:cs="Arial" w:cstheme="minorHAnsi"/>
                <w:sz w:val="18"/>
                <w:szCs w:val="18"/>
              </w:rPr>
            </w:pPr>
            <w:r>
              <w:rPr>
                <w:rFonts w:cs="Arial" w:cstheme="minorHAnsi"/>
                <w:sz w:val="18"/>
                <w:szCs w:val="18"/>
              </w:rPr>
              <w:t>V</w:t>
              <w:tab/>
              <w:t>&gt;</w:t>
              <w:tab/>
              <w:t>I, L</w:t>
            </w:r>
          </w:p>
          <w:p>
            <w:pPr>
              <w:pStyle w:val="Normal"/>
              <w:rPr>
                <w:rFonts w:cs="Arial" w:cstheme="minorHAnsi"/>
                <w:sz w:val="18"/>
                <w:szCs w:val="18"/>
              </w:rPr>
            </w:pPr>
            <w:r>
              <w:rPr>
                <w:rFonts w:cs="Arial" w:cstheme="minorHAnsi"/>
                <w:sz w:val="18"/>
                <w:szCs w:val="18"/>
              </w:rPr>
              <w:t>L</w:t>
              <w:tab/>
              <w:t>&gt;</w:t>
              <w:tab/>
              <w:t>I, V</w:t>
            </w:r>
          </w:p>
          <w:p>
            <w:pPr>
              <w:pStyle w:val="Normal"/>
              <w:rPr>
                <w:rFonts w:cs="Arial" w:cstheme="minorHAnsi"/>
                <w:sz w:val="18"/>
                <w:szCs w:val="18"/>
              </w:rPr>
            </w:pPr>
            <w:r>
              <w:rPr>
                <w:rFonts w:cs="Arial" w:cstheme="minorHAnsi"/>
                <w:sz w:val="18"/>
                <w:szCs w:val="18"/>
              </w:rPr>
              <w:t>I</w:t>
              <w:tab/>
              <w:t>&gt;</w:t>
              <w:tab/>
              <w:t>V, L</w:t>
            </w:r>
          </w:p>
        </w:tc>
        <w:tc>
          <w:tcPr>
            <w:tcW w:w="2311" w:type="dxa"/>
            <w:tcBorders/>
            <w:shd w:fill="auto" w:val="clear"/>
            <w:tcMar>
              <w:left w:w="108" w:type="dxa"/>
            </w:tcMar>
          </w:tcPr>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r>
          </w:p>
          <w:p>
            <w:pPr>
              <w:pStyle w:val="Normal"/>
              <w:jc w:val="center"/>
              <w:rPr>
                <w:rFonts w:cs="Arial" w:cstheme="minorHAnsi"/>
                <w:sz w:val="18"/>
                <w:szCs w:val="18"/>
              </w:rPr>
            </w:pPr>
            <w:r>
              <w:rPr>
                <w:rFonts w:cs="Arial" w:cstheme="minorHAnsi"/>
                <w:sz w:val="18"/>
                <w:szCs w:val="18"/>
              </w:rPr>
              <w:t>Trimacerite</w:t>
            </w:r>
          </w:p>
          <w:p>
            <w:pPr>
              <w:pStyle w:val="Normal"/>
              <w:jc w:val="center"/>
              <w:rPr>
                <w:rFonts w:cs="Arial" w:cstheme="minorHAnsi"/>
                <w:sz w:val="18"/>
                <w:szCs w:val="18"/>
              </w:rPr>
            </w:pPr>
            <w:r>
              <w:rPr>
                <w:rFonts w:cs="Arial" w:cstheme="minorHAnsi"/>
                <w:sz w:val="18"/>
                <w:szCs w:val="18"/>
              </w:rPr>
              <w:t>V, I, L</w:t>
            </w:r>
          </w:p>
        </w:tc>
        <w:tc>
          <w:tcPr>
            <w:tcW w:w="1823" w:type="dxa"/>
            <w:vMerge w:val="continue"/>
            <w:tcBorders/>
            <w:shd w:fill="auto" w:val="clear"/>
            <w:tcMar>
              <w:left w:w="108" w:type="dxa"/>
            </w:tcMar>
          </w:tcPr>
          <w:p>
            <w:pPr>
              <w:pStyle w:val="Normal"/>
              <w:jc w:val="center"/>
              <w:rPr>
                <w:rFonts w:cs="Arial" w:cstheme="minorHAnsi"/>
                <w:sz w:val="18"/>
                <w:szCs w:val="18"/>
              </w:rPr>
            </w:pPr>
            <w:r>
              <w:rPr>
                <w:rFonts w:cs="Arial" w:cstheme="minorHAnsi"/>
                <w:sz w:val="18"/>
                <w:szCs w:val="18"/>
              </w:rPr>
            </w:r>
          </w:p>
        </w:tc>
      </w:tr>
    </w:tbl>
    <w:p>
      <w:pPr>
        <w:pStyle w:val="Normal"/>
        <w:spacing w:lineRule="auto" w:line="360"/>
        <w:rPr>
          <w:rFonts w:ascii="Arial" w:hAnsi="Arial" w:cs="Arial"/>
          <w:sz w:val="20"/>
          <w:szCs w:val="20"/>
        </w:rPr>
      </w:pPr>
      <w:r>
        <w:rPr>
          <w:rFonts w:cs="Arial"/>
          <w:sz w:val="20"/>
          <w:szCs w:val="20"/>
        </w:rPr>
      </w:r>
    </w:p>
    <w:p>
      <w:pPr>
        <w:pStyle w:val="Normal"/>
        <w:spacing w:lineRule="auto" w:line="360"/>
        <w:jc w:val="center"/>
        <w:rPr>
          <w:rFonts w:ascii="Arial" w:hAnsi="Arial" w:cs="Arial"/>
          <w:b/>
          <w:b/>
          <w:sz w:val="20"/>
          <w:szCs w:val="20"/>
        </w:rPr>
      </w:pPr>
      <w:r>
        <w:rPr>
          <w:rFonts w:cs="Arial"/>
          <w:b/>
          <w:sz w:val="20"/>
          <w:szCs w:val="20"/>
        </w:rPr>
        <w:t>TABLE 2.8: Summary of Carbominerite</w:t>
      </w:r>
    </w:p>
    <w:tbl>
      <w:tblPr>
        <w:tblStyle w:val="TableGrid"/>
        <w:tblW w:w="6690" w:type="dxa"/>
        <w:jc w:val="center"/>
        <w:tblInd w:w="0" w:type="dxa"/>
        <w:tblCellMar>
          <w:top w:w="0" w:type="dxa"/>
          <w:left w:w="108" w:type="dxa"/>
          <w:bottom w:w="0" w:type="dxa"/>
          <w:right w:w="108" w:type="dxa"/>
        </w:tblCellMar>
        <w:tblLook w:val="04a0" w:noVBand="1" w:noHBand="0" w:lastColumn="0" w:firstColumn="1" w:lastRow="0" w:firstRow="1"/>
      </w:tblPr>
      <w:tblGrid>
        <w:gridCol w:w="2659"/>
        <w:gridCol w:w="2551"/>
        <w:gridCol w:w="1480"/>
      </w:tblGrid>
      <w:tr>
        <w:trPr/>
        <w:tc>
          <w:tcPr>
            <w:tcW w:w="2659"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Association of coal with a specific mineral or mineral group</w:t>
            </w:r>
          </w:p>
          <w:p>
            <w:pPr>
              <w:pStyle w:val="Normal"/>
              <w:jc w:val="center"/>
              <w:rPr>
                <w:rFonts w:ascii="Arial" w:hAnsi="Arial" w:cs="Arial"/>
                <w:b/>
                <w:b/>
                <w:sz w:val="20"/>
                <w:szCs w:val="20"/>
              </w:rPr>
            </w:pPr>
            <w:r>
              <w:rPr>
                <w:rFonts w:cs="Arial"/>
                <w:b/>
                <w:sz w:val="20"/>
                <w:szCs w:val="20"/>
              </w:rPr>
            </w:r>
          </w:p>
        </w:tc>
        <w:tc>
          <w:tcPr>
            <w:tcW w:w="2551"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Composition</w:t>
            </w:r>
          </w:p>
        </w:tc>
        <w:tc>
          <w:tcPr>
            <w:tcW w:w="1480" w:type="dxa"/>
            <w:tcBorders/>
            <w:shd w:fill="auto" w:val="clear"/>
            <w:tcMar>
              <w:left w:w="108" w:type="dxa"/>
            </w:tcMar>
          </w:tcPr>
          <w:p>
            <w:pPr>
              <w:pStyle w:val="Normal"/>
              <w:jc w:val="center"/>
              <w:rPr>
                <w:rFonts w:ascii="Arial" w:hAnsi="Arial" w:cs="Arial"/>
                <w:b/>
                <w:b/>
                <w:sz w:val="20"/>
                <w:szCs w:val="20"/>
              </w:rPr>
            </w:pPr>
            <w:r>
              <w:rPr>
                <w:rFonts w:cs="Arial"/>
                <w:b/>
                <w:sz w:val="20"/>
                <w:szCs w:val="20"/>
              </w:rPr>
            </w:r>
          </w:p>
          <w:p>
            <w:pPr>
              <w:pStyle w:val="Normal"/>
              <w:jc w:val="center"/>
              <w:rPr>
                <w:rFonts w:ascii="Arial" w:hAnsi="Arial" w:cs="Arial"/>
                <w:b/>
                <w:b/>
                <w:sz w:val="20"/>
                <w:szCs w:val="20"/>
              </w:rPr>
            </w:pPr>
            <w:r>
              <w:rPr>
                <w:rFonts w:cs="Arial"/>
                <w:b/>
                <w:sz w:val="20"/>
                <w:szCs w:val="20"/>
              </w:rPr>
              <w:t>Plate</w:t>
            </w:r>
          </w:p>
          <w:p>
            <w:pPr>
              <w:pStyle w:val="Normal"/>
              <w:jc w:val="center"/>
              <w:rPr>
                <w:rFonts w:ascii="Arial" w:hAnsi="Arial" w:cs="Arial"/>
                <w:b/>
                <w:b/>
                <w:sz w:val="20"/>
                <w:szCs w:val="20"/>
              </w:rPr>
            </w:pPr>
            <w:r>
              <w:rPr>
                <w:rFonts w:cs="Arial"/>
                <w:b/>
                <w:sz w:val="20"/>
                <w:szCs w:val="20"/>
              </w:rPr>
              <w:t>Reference</w:t>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Carbargilite</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Coal + 20-60 Vol %</w:t>
            </w:r>
          </w:p>
          <w:p>
            <w:pPr>
              <w:pStyle w:val="Normal"/>
              <w:jc w:val="center"/>
              <w:rPr>
                <w:rFonts w:ascii="Arial" w:hAnsi="Arial" w:cs="Arial"/>
                <w:sz w:val="20"/>
                <w:szCs w:val="20"/>
              </w:rPr>
            </w:pPr>
            <w:r>
              <w:rPr>
                <w:rFonts w:cs="Arial"/>
                <w:sz w:val="20"/>
                <w:szCs w:val="20"/>
              </w:rPr>
              <w:t>clay minerals</w:t>
            </w:r>
          </w:p>
          <w:p>
            <w:pPr>
              <w:pStyle w:val="Normal"/>
              <w:jc w:val="center"/>
              <w:rPr>
                <w:rFonts w:ascii="Arial" w:hAnsi="Arial" w:cs="Arial"/>
                <w:sz w:val="20"/>
                <w:szCs w:val="20"/>
              </w:rPr>
            </w:pPr>
            <w:r>
              <w:rPr>
                <w:rFonts w:cs="Arial"/>
                <w:sz w:val="20"/>
                <w:szCs w:val="20"/>
              </w:rPr>
            </w:r>
          </w:p>
        </w:tc>
        <w:tc>
          <w:tcPr>
            <w:tcW w:w="1480" w:type="dxa"/>
            <w:vMerge w:val="restart"/>
            <w:tcBorders/>
            <w:shd w:fill="auto" w:val="clear"/>
            <w:tcMar>
              <w:left w:w="108" w:type="dxa"/>
            </w:tcMar>
          </w:tcPr>
          <w:p>
            <w:pPr>
              <w:pStyle w:val="Normal"/>
              <w:jc w:val="center"/>
              <w:rPr>
                <w:rFonts w:ascii="Arial" w:hAnsi="Arial" w:cs="Arial"/>
                <w:sz w:val="20"/>
                <w:szCs w:val="20"/>
              </w:rPr>
            </w:pPr>
            <w:r>
              <w:rPr>
                <w:rFonts w:cs="Arial"/>
                <w:sz w:val="20"/>
                <w:szCs w:val="20"/>
              </w:rPr>
              <w:t>47</w:t>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Carbosilicate</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Coal + 20-60 Vol %</w:t>
            </w:r>
          </w:p>
          <w:p>
            <w:pPr>
              <w:pStyle w:val="Normal"/>
              <w:jc w:val="center"/>
              <w:rPr>
                <w:rFonts w:ascii="Arial" w:hAnsi="Arial" w:cs="Arial"/>
                <w:sz w:val="20"/>
                <w:szCs w:val="20"/>
              </w:rPr>
            </w:pPr>
            <w:r>
              <w:rPr>
                <w:rFonts w:cs="Arial"/>
                <w:sz w:val="20"/>
                <w:szCs w:val="20"/>
              </w:rPr>
              <w:t>Quartz</w:t>
            </w:r>
          </w:p>
          <w:p>
            <w:pPr>
              <w:pStyle w:val="Normal"/>
              <w:jc w:val="center"/>
              <w:rPr>
                <w:rFonts w:ascii="Arial" w:hAnsi="Arial" w:cs="Arial"/>
                <w:sz w:val="20"/>
                <w:szCs w:val="20"/>
              </w:rPr>
            </w:pPr>
            <w:r>
              <w:rPr>
                <w:rFonts w:cs="Arial"/>
                <w:sz w:val="20"/>
                <w:szCs w:val="20"/>
              </w:rPr>
            </w:r>
          </w:p>
        </w:tc>
        <w:tc>
          <w:tcPr>
            <w:tcW w:w="1480" w:type="dxa"/>
            <w:vMerge w:val="continue"/>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Carbopyrite</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Coal + 5-20 Vol %</w:t>
            </w:r>
          </w:p>
          <w:p>
            <w:pPr>
              <w:pStyle w:val="Normal"/>
              <w:jc w:val="center"/>
              <w:rPr>
                <w:rFonts w:ascii="Arial" w:hAnsi="Arial" w:cs="Arial"/>
                <w:sz w:val="20"/>
                <w:szCs w:val="20"/>
              </w:rPr>
            </w:pPr>
            <w:r>
              <w:rPr>
                <w:rFonts w:cs="Arial"/>
                <w:sz w:val="20"/>
                <w:szCs w:val="20"/>
              </w:rPr>
              <w:t>Sulphides</w:t>
            </w:r>
          </w:p>
          <w:p>
            <w:pPr>
              <w:pStyle w:val="Normal"/>
              <w:jc w:val="center"/>
              <w:rPr>
                <w:rFonts w:ascii="Arial" w:hAnsi="Arial" w:cs="Arial"/>
                <w:sz w:val="20"/>
                <w:szCs w:val="20"/>
              </w:rPr>
            </w:pPr>
            <w:r>
              <w:rPr>
                <w:rFonts w:cs="Arial"/>
                <w:sz w:val="20"/>
                <w:szCs w:val="20"/>
              </w:rPr>
            </w:r>
          </w:p>
        </w:tc>
        <w:tc>
          <w:tcPr>
            <w:tcW w:w="1480" w:type="dxa"/>
            <w:vMerge w:val="continue"/>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Carbankerite</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Coal + 20-60 Vol %</w:t>
            </w:r>
          </w:p>
          <w:p>
            <w:pPr>
              <w:pStyle w:val="Normal"/>
              <w:jc w:val="center"/>
              <w:rPr>
                <w:rFonts w:ascii="Arial" w:hAnsi="Arial" w:cs="Arial"/>
                <w:sz w:val="20"/>
                <w:szCs w:val="20"/>
              </w:rPr>
            </w:pPr>
            <w:r>
              <w:rPr>
                <w:rFonts w:cs="Arial"/>
                <w:sz w:val="20"/>
                <w:szCs w:val="20"/>
              </w:rPr>
              <w:t>Carbonates</w:t>
            </w:r>
          </w:p>
          <w:p>
            <w:pPr>
              <w:pStyle w:val="Normal"/>
              <w:jc w:val="center"/>
              <w:rPr>
                <w:rFonts w:ascii="Arial" w:hAnsi="Arial" w:cs="Arial"/>
                <w:sz w:val="20"/>
                <w:szCs w:val="20"/>
              </w:rPr>
            </w:pPr>
            <w:r>
              <w:rPr>
                <w:rFonts w:cs="Arial"/>
                <w:sz w:val="20"/>
                <w:szCs w:val="20"/>
              </w:rPr>
            </w:r>
          </w:p>
        </w:tc>
        <w:tc>
          <w:tcPr>
            <w:tcW w:w="1480" w:type="dxa"/>
            <w:vMerge w:val="continue"/>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Carbopolyminerite</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Coal + 20-60 Vol %</w:t>
            </w:r>
          </w:p>
          <w:p>
            <w:pPr>
              <w:pStyle w:val="Normal"/>
              <w:jc w:val="center"/>
              <w:rPr>
                <w:rFonts w:ascii="Arial" w:hAnsi="Arial" w:cs="Arial"/>
                <w:sz w:val="20"/>
                <w:szCs w:val="20"/>
              </w:rPr>
            </w:pPr>
            <w:r>
              <w:rPr>
                <w:rFonts w:cs="Arial"/>
                <w:sz w:val="20"/>
                <w:szCs w:val="20"/>
              </w:rPr>
              <w:t>Mineral matter</w:t>
            </w:r>
          </w:p>
        </w:tc>
        <w:tc>
          <w:tcPr>
            <w:tcW w:w="1480" w:type="dxa"/>
            <w:vMerge w:val="continue"/>
            <w:tcBorders/>
            <w:shd w:fill="auto" w:val="clear"/>
            <w:tcMar>
              <w:left w:w="108" w:type="dxa"/>
            </w:tcMar>
          </w:tcPr>
          <w:p>
            <w:pPr>
              <w:pStyle w:val="Normal"/>
              <w:jc w:val="center"/>
              <w:rPr>
                <w:rFonts w:ascii="Arial" w:hAnsi="Arial" w:cs="Arial"/>
                <w:sz w:val="20"/>
                <w:szCs w:val="20"/>
              </w:rPr>
            </w:pPr>
            <w:r>
              <w:rPr>
                <w:rFonts w:cs="Arial"/>
                <w:sz w:val="20"/>
                <w:szCs w:val="20"/>
              </w:rPr>
            </w:r>
          </w:p>
        </w:tc>
      </w:tr>
      <w:tr>
        <w:trPr/>
        <w:tc>
          <w:tcPr>
            <w:tcW w:w="2659" w:type="dxa"/>
            <w:tcBorders/>
            <w:shd w:fill="auto" w:val="clear"/>
            <w:tcMar>
              <w:left w:w="108" w:type="dxa"/>
            </w:tcMar>
          </w:tcPr>
          <w:p>
            <w:pPr>
              <w:pStyle w:val="Normal"/>
              <w:jc w:val="center"/>
              <w:rPr>
                <w:rFonts w:ascii="Arial" w:hAnsi="Arial" w:cs="Arial"/>
                <w:sz w:val="20"/>
                <w:szCs w:val="20"/>
              </w:rPr>
            </w:pPr>
            <w:r>
              <w:rPr>
                <w:rFonts w:cs="Arial"/>
                <w:sz w:val="20"/>
                <w:szCs w:val="20"/>
              </w:rPr>
              <w:t>Minerite (rock)</w:t>
            </w:r>
          </w:p>
        </w:tc>
        <w:tc>
          <w:tcPr>
            <w:tcW w:w="2551" w:type="dxa"/>
            <w:tcBorders/>
            <w:shd w:fill="auto" w:val="clear"/>
            <w:tcMar>
              <w:left w:w="108" w:type="dxa"/>
            </w:tcMar>
          </w:tcPr>
          <w:p>
            <w:pPr>
              <w:pStyle w:val="Normal"/>
              <w:jc w:val="center"/>
              <w:rPr>
                <w:rFonts w:ascii="Arial" w:hAnsi="Arial" w:cs="Arial"/>
                <w:sz w:val="20"/>
                <w:szCs w:val="20"/>
              </w:rPr>
            </w:pPr>
            <w:r>
              <w:rPr>
                <w:rFonts w:cs="Arial"/>
                <w:sz w:val="20"/>
                <w:szCs w:val="20"/>
              </w:rPr>
              <w:t>&gt;60% mineral matter</w:t>
            </w:r>
          </w:p>
        </w:tc>
        <w:tc>
          <w:tcPr>
            <w:tcW w:w="1480" w:type="dxa"/>
            <w:vMerge w:val="continue"/>
            <w:tcBorders/>
            <w:shd w:fill="auto" w:val="clear"/>
            <w:tcMar>
              <w:left w:w="108" w:type="dxa"/>
            </w:tcMar>
          </w:tcPr>
          <w:p>
            <w:pPr>
              <w:pStyle w:val="Normal"/>
              <w:jc w:val="center"/>
              <w:rPr>
                <w:rFonts w:ascii="Arial" w:hAnsi="Arial" w:cs="Arial"/>
                <w:sz w:val="20"/>
                <w:szCs w:val="20"/>
              </w:rPr>
            </w:pPr>
            <w:r>
              <w:rPr>
                <w:rFonts w:cs="Arial"/>
                <w:sz w:val="20"/>
                <w:szCs w:val="20"/>
              </w:rPr>
            </w:r>
          </w:p>
        </w:tc>
      </w:tr>
    </w:tbl>
    <w:p>
      <w:pPr>
        <w:pStyle w:val="Normal"/>
        <w:spacing w:lineRule="auto" w:line="360"/>
        <w:jc w:val="center"/>
        <w:rPr>
          <w:rFonts w:ascii="Arial" w:hAnsi="Arial" w:cs="Arial"/>
          <w:b/>
          <w:b/>
          <w:color w:val="0070C0"/>
          <w:sz w:val="20"/>
          <w:szCs w:val="20"/>
          <w:highlight w:val="yellow"/>
        </w:rPr>
      </w:pPr>
      <w:r>
        <w:rPr>
          <w:rFonts w:cs="Arial"/>
          <w:b/>
          <w:color w:val="0070C0"/>
          <w:sz w:val="20"/>
          <w:szCs w:val="20"/>
          <w:highlight w:val="yellow"/>
        </w:rPr>
      </w:r>
    </w:p>
    <w:p>
      <w:pPr>
        <w:pStyle w:val="Normal"/>
        <w:spacing w:lineRule="auto" w:line="360"/>
        <w:jc w:val="center"/>
        <w:rPr>
          <w:rFonts w:ascii="Arial" w:hAnsi="Arial" w:cs="Arial"/>
          <w:b/>
          <w:b/>
          <w:color w:val="0070C0"/>
          <w:sz w:val="20"/>
          <w:szCs w:val="20"/>
          <w:highlight w:val="yellow"/>
        </w:rPr>
      </w:pPr>
      <w:r>
        <w:rPr>
          <w:rFonts w:cs="Arial"/>
          <w:b/>
          <w:color w:val="0070C0"/>
          <w:sz w:val="20"/>
          <w:szCs w:val="20"/>
          <w:highlight w:val="yellow"/>
        </w:rPr>
      </w:r>
    </w:p>
    <w:p>
      <w:pPr>
        <w:pStyle w:val="Normal"/>
        <w:ind w:left="-142" w:hanging="0"/>
        <w:jc w:val="center"/>
        <w:rPr>
          <w:rFonts w:ascii="Calibri" w:hAnsi="Calibri"/>
          <w:b/>
          <w:b/>
          <w:sz w:val="20"/>
          <w:szCs w:val="20"/>
        </w:rPr>
      </w:pPr>
      <w:r>
        <w:rPr>
          <w:rFonts w:cs="Arial" w:ascii="Calibri" w:hAnsi="Calibri"/>
          <w:b/>
          <w:sz w:val="20"/>
          <w:szCs w:val="20"/>
        </w:rPr>
        <w:t xml:space="preserve">Figure 2.8: The Association of Macerals into Microlithotypes </w:t>
      </w:r>
      <w:r>
        <w:rPr>
          <w:rFonts w:ascii="Calibri" w:hAnsi="Calibri"/>
          <w:b/>
          <w:sz w:val="20"/>
          <w:szCs w:val="20"/>
        </w:rPr>
        <w:t xml:space="preserve">(modified from </w:t>
      </w:r>
      <w:r>
        <w:rPr>
          <w:rFonts w:cs="Arial" w:ascii="Calibri" w:hAnsi="Calibri"/>
          <w:b/>
          <w:sz w:val="20"/>
          <w:szCs w:val="20"/>
        </w:rPr>
        <w:t>Falcon and Snyman, 1986)</w:t>
      </w:r>
    </w:p>
    <w:p>
      <w:pPr>
        <w:pStyle w:val="Normal"/>
        <w:spacing w:lineRule="auto" w:line="360"/>
        <w:jc w:val="center"/>
        <w:rPr>
          <w:rFonts w:ascii="Arial" w:hAnsi="Arial" w:cs="Arial"/>
          <w:sz w:val="20"/>
          <w:szCs w:val="20"/>
        </w:rPr>
      </w:pPr>
      <w:r>
        <w:rPr>
          <w:rFonts w:cs="Arial"/>
          <w:sz w:val="20"/>
          <w:szCs w:val="20"/>
        </w:rPr>
      </w:r>
    </w:p>
    <w:p>
      <w:pPr>
        <w:pStyle w:val="ListParagraph"/>
        <w:spacing w:lineRule="auto" w:line="360"/>
        <w:ind w:left="-142" w:hanging="0"/>
        <w:jc w:val="center"/>
        <w:rPr>
          <w:sz w:val="20"/>
          <w:szCs w:val="20"/>
        </w:rPr>
      </w:pPr>
      <w:r>
        <w:rPr>
          <w:sz w:val="20"/>
          <w:szCs w:val="20"/>
        </w:rPr>
      </w:r>
    </w:p>
    <w:p>
      <w:pPr>
        <w:pStyle w:val="ListParagraph"/>
        <w:spacing w:lineRule="auto" w:line="360"/>
        <w:ind w:left="-142" w:hanging="0"/>
        <w:jc w:val="center"/>
        <w:rPr>
          <w:sz w:val="20"/>
          <w:szCs w:val="20"/>
        </w:rPr>
      </w:pPr>
      <w:r>
        <w:rPr>
          <w:sz w:val="20"/>
          <w:szCs w:val="20"/>
        </w:rPr>
      </w:r>
    </w:p>
    <w:p>
      <w:pPr>
        <w:pStyle w:val="Normal"/>
        <w:jc w:val="both"/>
        <w:rPr>
          <w:rFonts w:ascii="Calibri" w:hAnsi="Calibri" w:cs="Arial"/>
          <w:b/>
          <w:b/>
          <w:sz w:val="20"/>
          <w:szCs w:val="20"/>
        </w:rPr>
      </w:pPr>
      <w:bookmarkStart w:id="23" w:name="_Toc463934764"/>
      <w:bookmarkStart w:id="24" w:name="_Toc463878089"/>
      <w:bookmarkStart w:id="25" w:name="_Toc463877655"/>
      <w:bookmarkStart w:id="26" w:name="_Toc463877392"/>
      <w:bookmarkStart w:id="27" w:name="_Toc463872794"/>
      <w:bookmarkStart w:id="28" w:name="_Toc463872692"/>
      <w:bookmarkStart w:id="29" w:name="_Toc463432544"/>
      <w:bookmarkStart w:id="30" w:name="_Toc463431568"/>
      <w:bookmarkStart w:id="31" w:name="_Toc463431453"/>
      <w:bookmarkStart w:id="32" w:name="_Toc463431406"/>
      <w:bookmarkStart w:id="33" w:name="_Toc452378197"/>
      <w:bookmarkEnd w:id="23"/>
      <w:bookmarkEnd w:id="24"/>
      <w:bookmarkEnd w:id="25"/>
      <w:bookmarkEnd w:id="26"/>
      <w:bookmarkEnd w:id="27"/>
      <w:bookmarkEnd w:id="28"/>
      <w:bookmarkEnd w:id="29"/>
      <w:bookmarkEnd w:id="30"/>
      <w:bookmarkEnd w:id="31"/>
      <w:bookmarkEnd w:id="32"/>
      <w:bookmarkEnd w:id="33"/>
      <w:r>
        <w:rPr>
          <w:rFonts w:cs="Arial" w:ascii="Calibri" w:hAnsi="Calibri"/>
          <w:b/>
          <w:sz w:val="20"/>
          <w:szCs w:val="20"/>
        </w:rPr>
        <w:t xml:space="preserve">Figure 2.9: The arrangement of macerals in terms of microlithotypes is important technologically: A) here a vitrite band is constrained between two layers of inertinite reducing its ability to swell. B) vitrite, occurring as a monomaceral, has not been constrained during pyrolysis and, therefore, is seen to have swollen and expanded significantly, with thin walls and large pores. </w:t>
      </w:r>
    </w:p>
    <w:p>
      <w:pPr>
        <w:pStyle w:val="Normal"/>
        <w:jc w:val="center"/>
        <w:rPr>
          <w:rFonts w:ascii="Calibri" w:hAnsi="Calibri" w:cs="Arial"/>
          <w:i/>
          <w:i/>
          <w:sz w:val="20"/>
          <w:szCs w:val="20"/>
        </w:rPr>
      </w:pPr>
      <w:r>
        <w:rPr>
          <w:rFonts w:cs="Arial" w:ascii="Calibri" w:hAnsi="Calibri"/>
          <w:i/>
          <w:sz w:val="20"/>
          <w:szCs w:val="20"/>
        </w:rPr>
      </w:r>
    </w:p>
    <w:p>
      <w:pPr>
        <w:pStyle w:val="Normal"/>
        <w:rPr>
          <w:rFonts w:ascii="Calibri" w:hAnsi="Calibri" w:cs="Arial"/>
          <w:i/>
          <w:i/>
          <w:sz w:val="20"/>
          <w:szCs w:val="20"/>
        </w:rPr>
      </w:pPr>
      <w:r>
        <w:rPr>
          <w:rFonts w:cs="Arial" w:ascii="Calibri" w:hAnsi="Calibri"/>
          <w:i/>
          <w:sz w:val="20"/>
          <w:szCs w:val="20"/>
        </w:rPr>
      </w:r>
    </w:p>
    <w:p>
      <w:pPr>
        <w:pStyle w:val="Heading2"/>
        <w:numPr>
          <w:ilvl w:val="1"/>
          <w:numId w:val="11"/>
        </w:numPr>
        <w:rPr>
          <w:rFonts w:ascii="Calibri" w:hAnsi="Calibri"/>
        </w:rPr>
      </w:pPr>
      <w:bookmarkStart w:id="34" w:name="_Toc485644675"/>
      <w:bookmarkEnd w:id="34"/>
      <w:r>
        <w:rPr>
          <w:rFonts w:ascii="Calibri" w:hAnsi="Calibri"/>
        </w:rPr>
        <w:t>SAMPLING, PREPARATION AND ANALYTICAL TECHNIQUES FOR PETROGRAPHIC ANALYSIS</w:t>
      </w:r>
    </w:p>
    <w:p>
      <w:pPr>
        <w:pStyle w:val="Heading3"/>
        <w:rPr>
          <w:rFonts w:ascii="Calibri" w:hAnsi="Calibri" w:eastAsia="Arial" w:cs="Arial" w:eastAsiaTheme="minorHAnsi"/>
          <w:b/>
          <w:b/>
          <w:color w:val="00000A"/>
          <w:sz w:val="20"/>
          <w:szCs w:val="20"/>
        </w:rPr>
      </w:pPr>
      <w:r>
        <w:rPr>
          <w:rFonts w:eastAsia="Arial" w:cs="Arial" w:eastAsiaTheme="minorHAnsi" w:ascii="Calibri" w:hAnsi="Calibri"/>
          <w:b/>
          <w:color w:val="00000A"/>
          <w:sz w:val="20"/>
          <w:szCs w:val="20"/>
        </w:rPr>
      </w:r>
    </w:p>
    <w:p>
      <w:pPr>
        <w:pStyle w:val="Heading3"/>
        <w:numPr>
          <w:ilvl w:val="2"/>
          <w:numId w:val="11"/>
        </w:numPr>
        <w:rPr>
          <w:rFonts w:ascii="Calibri" w:hAnsi="Calibri"/>
        </w:rPr>
      </w:pPr>
      <w:bookmarkStart w:id="35" w:name="_Toc485644676"/>
      <w:bookmarkEnd w:id="35"/>
      <w:r>
        <w:rPr>
          <w:rFonts w:ascii="Calibri" w:hAnsi="Calibri"/>
        </w:rPr>
        <w:t>Sampling</w:t>
      </w:r>
    </w:p>
    <w:p>
      <w:pPr>
        <w:pStyle w:val="Normal"/>
        <w:ind w:left="426" w:hanging="426"/>
        <w:jc w:val="both"/>
        <w:rPr>
          <w:rFonts w:ascii="Calibri" w:hAnsi="Calibri" w:cs="Arial"/>
          <w:b/>
          <w:b/>
          <w:sz w:val="20"/>
          <w:szCs w:val="20"/>
        </w:rPr>
      </w:pPr>
      <w:r>
        <w:rPr>
          <w:rFonts w:cs="Arial" w:ascii="Calibri" w:hAnsi="Calibri"/>
          <w:b/>
          <w:sz w:val="20"/>
          <w:szCs w:val="20"/>
        </w:rPr>
      </w:r>
    </w:p>
    <w:p>
      <w:pPr>
        <w:pStyle w:val="Normal"/>
        <w:jc w:val="both"/>
        <w:rPr>
          <w:rFonts w:ascii="Calibri" w:hAnsi="Calibri" w:cs="Arial"/>
        </w:rPr>
      </w:pPr>
      <w:r>
        <w:rPr>
          <w:rFonts w:cs="Arial" w:ascii="Calibri" w:hAnsi="Calibri"/>
        </w:rPr>
        <w:t xml:space="preserve">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unrequired physical changes). Sampling can occur in seam (box cut, mine face, or borehole cores); or from moving streams (conveyor belts) (Taylor et al., 1998); or sampled from trucks, railway wagons, ships, or stockpiles. Such sampling may be done mechanically or manually. </w:t>
      </w:r>
    </w:p>
    <w:p>
      <w:pPr>
        <w:pStyle w:val="Normal"/>
        <w:jc w:val="both"/>
        <w:rPr>
          <w:rFonts w:ascii="Calibri" w:hAnsi="Calibri" w:cs="Arial"/>
        </w:rPr>
      </w:pPr>
      <w:r>
        <w:rPr>
          <w:rFonts w:cs="Arial" w:ascii="Calibri" w:hAnsi="Calibri"/>
        </w:rPr>
      </w:r>
    </w:p>
    <w:p>
      <w:pPr>
        <w:pStyle w:val="ListParagraph"/>
        <w:numPr>
          <w:ilvl w:val="0"/>
          <w:numId w:val="5"/>
        </w:numPr>
        <w:jc w:val="both"/>
        <w:rPr>
          <w:rFonts w:ascii="Calibri" w:hAnsi="Calibri" w:cs="Arial"/>
        </w:rPr>
      </w:pPr>
      <w:r>
        <w:rPr>
          <w:rFonts w:cs="Arial" w:ascii="Calibri" w:hAnsi="Calibri"/>
          <w:i/>
        </w:rPr>
        <w:t xml:space="preserve">In seam </w:t>
      </w:r>
      <w:r>
        <w:rPr>
          <w:rFonts w:cs="Arial" w:ascii="Calibri" w:hAnsi="Calibri"/>
        </w:rPr>
        <w:t>–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 / sample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ListParagraph"/>
        <w:jc w:val="both"/>
        <w:rPr>
          <w:rFonts w:ascii="Calibri" w:hAnsi="Calibri" w:cs="Arial"/>
        </w:rPr>
      </w:pPr>
      <w:r>
        <w:rPr>
          <w:rFonts w:cs="Arial" w:ascii="Calibri" w:hAnsi="Calibri"/>
        </w:rPr>
      </w:r>
    </w:p>
    <w:p>
      <w:pPr>
        <w:pStyle w:val="ListParagraph"/>
        <w:numPr>
          <w:ilvl w:val="0"/>
          <w:numId w:val="5"/>
        </w:numPr>
        <w:jc w:val="both"/>
        <w:rPr>
          <w:rFonts w:ascii="Calibri" w:hAnsi="Calibri" w:cs="Arial"/>
        </w:rPr>
      </w:pPr>
      <w:r>
        <w:rPr>
          <w:rFonts w:cs="Arial" w:ascii="Calibri" w:hAnsi="Calibri"/>
          <w:i/>
        </w:rPr>
        <w:t>Moving streams or static storage sites</w:t>
      </w:r>
      <w:r>
        <w:rPr>
          <w:rFonts w:cs="Arial" w:ascii="Calibri" w:hAnsi="Calibri"/>
        </w:rPr>
        <w:t>.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ListParagraph"/>
        <w:jc w:val="both"/>
        <w:rPr>
          <w:rFonts w:ascii="Calibri" w:hAnsi="Calibri" w:cs="Arial"/>
          <w:sz w:val="20"/>
          <w:szCs w:val="20"/>
        </w:rPr>
      </w:pPr>
      <w:r>
        <w:rPr>
          <w:rFonts w:cs="Arial" w:ascii="Calibri" w:hAnsi="Calibri"/>
          <w:sz w:val="20"/>
          <w:szCs w:val="20"/>
        </w:rPr>
      </w:r>
    </w:p>
    <w:p>
      <w:pPr>
        <w:pStyle w:val="ListParagraph"/>
        <w:rPr>
          <w:rFonts w:ascii="Calibri" w:hAnsi="Calibri" w:cs="Arial"/>
        </w:rPr>
      </w:pPr>
      <w:r>
        <w:rPr>
          <w:rFonts w:cs="Arial" w:ascii="Calibri" w:hAnsi="Calibri"/>
        </w:rPr>
      </w:r>
    </w:p>
    <w:p>
      <w:pPr>
        <w:pStyle w:val="Heading3"/>
        <w:numPr>
          <w:ilvl w:val="2"/>
          <w:numId w:val="5"/>
        </w:numPr>
        <w:ind w:left="709" w:hanging="709"/>
        <w:rPr>
          <w:rFonts w:ascii="Calibri" w:hAnsi="Calibri"/>
        </w:rPr>
      </w:pPr>
      <w:bookmarkStart w:id="36" w:name="_Toc485644677"/>
      <w:bookmarkEnd w:id="36"/>
      <w:r>
        <w:rPr>
          <w:rFonts w:ascii="Calibri" w:hAnsi="Calibri"/>
        </w:rPr>
        <w:t>Preparation</w:t>
      </w:r>
    </w:p>
    <w:p>
      <w:pPr>
        <w:pStyle w:val="Normal"/>
        <w:ind w:left="426" w:hanging="426"/>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most widespread method of microscopic examination of coal is the use of reflected incident light on polished surfaces of grain mounts, under oil immersion, to enhance reflectivity differences. SABS ISO 7404 part 2 applies here, as well as Taylor </w:t>
      </w:r>
      <w:r>
        <w:rPr>
          <w:rFonts w:cs="Arial" w:ascii="Calibri" w:hAnsi="Calibri"/>
          <w:i/>
        </w:rPr>
        <w:t>et al.</w:t>
      </w:r>
      <w:r>
        <w:rPr>
          <w:rFonts w:cs="Arial" w:ascii="Calibri" w:hAnsi="Calibri"/>
        </w:rPr>
        <w:t xml:space="preserve"> (1998). Thin sections are rarely used these days, but are discussed by Taylor </w:t>
      </w:r>
      <w:r>
        <w:rPr>
          <w:rFonts w:cs="Arial" w:ascii="Calibri" w:hAnsi="Calibri"/>
          <w:i/>
        </w:rPr>
        <w:t>et al</w:t>
      </w:r>
      <w:r>
        <w:rPr>
          <w:rFonts w:cs="Arial" w:ascii="Calibri" w:hAnsi="Calibri"/>
        </w:rPr>
        <w:t>. (1998).</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To prepare the coal for statistical analysis, the sample is crushed to pass  a 1 mm sieve (with a minimum of fines generated) and then riffled to obtain a 15 to 100 g sample as representative as that used in conventional proximate analyses. In some instances, it may be necessary to remove excess fine particles; i.e. particles passing a -20 or -30 µm sieve. This should not be done for chemical analyses or instances where the sample cannot be biased in any way.  The 1 mm sample is mixed with epoxy resin and hardener, and moulded as a block mount (typically 20 or 30 mm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 , -pit-, and scratch-free surface of the embedded coal particles. A series of grinding papers and polishing clothes, with water and / or polishing compounds of decreasing particle size are used on an automatic polisher; there are a variety of different suppliers of equipment and polishing consumables globally. SABS ISO 7404 part 2 and Taylor </w:t>
      </w:r>
      <w:r>
        <w:rPr>
          <w:rFonts w:cs="Arial" w:ascii="Calibri" w:hAnsi="Calibri"/>
          <w:i/>
        </w:rPr>
        <w:t>et al</w:t>
      </w:r>
      <w:r>
        <w:rPr>
          <w:rFonts w:cs="Arial" w:ascii="Calibri" w:hAnsi="Calibri"/>
        </w:rPr>
        <w:t>. (1998) provide typical sequence of events, typically finishing on a 0.05 µ alumina cloth.</w:t>
      </w:r>
    </w:p>
    <w:p>
      <w:pPr>
        <w:pStyle w:val="Normal"/>
        <w:jc w:val="both"/>
        <w:rPr>
          <w:rFonts w:ascii="Arial" w:hAnsi="Arial" w:cs="Arial"/>
          <w:b/>
          <w:b/>
          <w:sz w:val="20"/>
          <w:szCs w:val="20"/>
        </w:rPr>
      </w:pPr>
      <w:r>
        <w:rPr>
          <w:rFonts w:cs="Arial"/>
          <w:b/>
          <w:sz w:val="20"/>
          <w:szCs w:val="20"/>
        </w:rPr>
      </w:r>
    </w:p>
    <w:p>
      <w:pPr>
        <w:pStyle w:val="Normal"/>
        <w:jc w:val="center"/>
        <w:rPr>
          <w:rFonts w:ascii="Arial" w:hAnsi="Arial" w:cs="Arial"/>
          <w:b/>
          <w:b/>
          <w:color w:val="0070C0"/>
          <w:sz w:val="20"/>
          <w:szCs w:val="20"/>
        </w:rPr>
      </w:pPr>
      <w:r>
        <w:rPr>
          <w:rFonts w:cs="Arial"/>
          <w:b/>
          <w:color w:val="0070C0"/>
          <w:sz w:val="20"/>
          <w:szCs w:val="20"/>
        </w:rPr>
      </w:r>
    </w:p>
    <w:p>
      <w:pPr>
        <w:pStyle w:val="Normal"/>
        <w:ind w:left="-142" w:hanging="0"/>
        <w:jc w:val="center"/>
        <w:rPr>
          <w:rFonts w:ascii="Calibri" w:hAnsi="Calibri" w:cs="Arial"/>
          <w:b/>
          <w:b/>
          <w:sz w:val="20"/>
          <w:szCs w:val="20"/>
        </w:rPr>
      </w:pPr>
      <w:r>
        <w:rPr>
          <w:rFonts w:cs="Arial" w:ascii="Calibri" w:hAnsi="Calibri"/>
          <w:b/>
          <w:sz w:val="20"/>
          <w:szCs w:val="20"/>
        </w:rPr>
      </w:r>
    </w:p>
    <w:p>
      <w:pPr>
        <w:pStyle w:val="Normal"/>
        <w:jc w:val="center"/>
        <w:rPr>
          <w:rFonts w:ascii="Calibri" w:hAnsi="Calibri"/>
          <w:b/>
          <w:b/>
          <w:sz w:val="20"/>
          <w:szCs w:val="20"/>
        </w:rPr>
      </w:pPr>
      <w:r>
        <w:rPr>
          <w:rFonts w:cs="Arial" w:ascii="Calibri" w:hAnsi="Calibri"/>
          <w:b/>
          <w:sz w:val="20"/>
          <w:szCs w:val="20"/>
        </w:rPr>
        <w:t xml:space="preserve">Figure 2.10: A summary of the major sampling and preparation steps necessary for the statistical petrographic analyses </w:t>
      </w:r>
      <w:r>
        <w:rPr>
          <w:rFonts w:ascii="Calibri" w:hAnsi="Calibri"/>
          <w:b/>
          <w:sz w:val="20"/>
          <w:szCs w:val="20"/>
        </w:rPr>
        <w:t xml:space="preserve">(modified from </w:t>
      </w:r>
      <w:r>
        <w:rPr>
          <w:rFonts w:cs="Arial" w:ascii="Calibri" w:hAnsi="Calibri"/>
          <w:b/>
          <w:sz w:val="20"/>
          <w:szCs w:val="20"/>
        </w:rPr>
        <w:t>Falcon and Snyman, 1986)</w:t>
      </w:r>
    </w:p>
    <w:p>
      <w:pPr>
        <w:pStyle w:val="Normal"/>
        <w:jc w:val="center"/>
        <w:rPr>
          <w:rFonts w:ascii="Calibri" w:hAnsi="Calibri" w:cs="Arial"/>
          <w:b/>
          <w:b/>
          <w:sz w:val="20"/>
          <w:szCs w:val="20"/>
        </w:rPr>
      </w:pPr>
      <w:r>
        <w:rPr>
          <w:rFonts w:cs="Arial" w:ascii="Calibri" w:hAnsi="Calibri"/>
          <w:b/>
          <w:sz w:val="20"/>
          <w:szCs w:val="20"/>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w:t>
      </w:r>
      <w:r>
        <w:rPr>
          <w:rFonts w:ascii="Calibri" w:hAnsi="Calibri"/>
        </w:rPr>
        <w:t>the macroscopic scale texture of the coal can be observed and the juxtaposition of lithotype deposition is preserved.</w:t>
      </w:r>
      <w:r>
        <w:rPr/>
        <w:t xml:space="preserve">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It is of prime importance that the polished surface of the coal block be of very high quality (refer to Plate 1 and Fig. 2.11). The criteria used to judge a polished surface of coal may be summarised as follows:</w:t>
      </w:r>
    </w:p>
    <w:p>
      <w:pPr>
        <w:pStyle w:val="Normal"/>
        <w:jc w:val="both"/>
        <w:rPr>
          <w:rFonts w:ascii="Calibri" w:hAnsi="Calibri" w:cs="Arial"/>
        </w:rPr>
      </w:pPr>
      <w:r>
        <w:rPr>
          <w:rFonts w:cs="Arial" w:ascii="Calibri" w:hAnsi="Calibri"/>
        </w:rPr>
      </w:r>
    </w:p>
    <w:p>
      <w:pPr>
        <w:pStyle w:val="ListParagraph"/>
        <w:numPr>
          <w:ilvl w:val="0"/>
          <w:numId w:val="6"/>
        </w:numPr>
        <w:ind w:left="567" w:hanging="567"/>
        <w:jc w:val="both"/>
        <w:rPr>
          <w:rFonts w:ascii="Calibri" w:hAnsi="Calibri" w:cs="Arial"/>
        </w:rPr>
      </w:pPr>
      <w:r>
        <w:rPr>
          <w:rFonts w:cs="Arial" w:ascii="Calibri" w:hAnsi="Calibri"/>
        </w:rPr>
        <w:t>The finished polished surface should be as free from relief as possible; certain macerals and minerals show enhanced relief.</w:t>
      </w:r>
    </w:p>
    <w:p>
      <w:pPr>
        <w:pStyle w:val="ListParagraph"/>
        <w:numPr>
          <w:ilvl w:val="0"/>
          <w:numId w:val="6"/>
        </w:numPr>
        <w:ind w:left="567" w:hanging="567"/>
        <w:jc w:val="both"/>
        <w:rPr>
          <w:rFonts w:ascii="Calibri" w:hAnsi="Calibri" w:cs="Arial"/>
        </w:rPr>
      </w:pPr>
      <w:r>
        <w:rPr>
          <w:rFonts w:cs="Arial" w:ascii="Calibri" w:hAnsi="Calibri"/>
        </w:rPr>
        <w:t>The finished polished surface should be free from pits and scratches.</w:t>
      </w:r>
    </w:p>
    <w:p>
      <w:pPr>
        <w:pStyle w:val="ListParagraph"/>
        <w:numPr>
          <w:ilvl w:val="0"/>
          <w:numId w:val="6"/>
        </w:numPr>
        <w:ind w:left="567" w:hanging="567"/>
        <w:jc w:val="both"/>
        <w:rPr>
          <w:rFonts w:ascii="Calibri" w:hAnsi="Calibri" w:cs="Arial"/>
        </w:rPr>
      </w:pPr>
      <w:r>
        <w:rPr>
          <w:rFonts w:cs="Arial" w:ascii="Calibri" w:hAnsi="Calibri"/>
        </w:rPr>
        <w:t>All inclusions of mineral matter should be retained naturally in the finished polished surface.</w:t>
      </w:r>
    </w:p>
    <w:p>
      <w:pPr>
        <w:pStyle w:val="ListParagraph"/>
        <w:numPr>
          <w:ilvl w:val="0"/>
          <w:numId w:val="6"/>
        </w:numPr>
        <w:ind w:left="567" w:hanging="567"/>
        <w:jc w:val="both"/>
        <w:rPr>
          <w:rFonts w:ascii="Calibri" w:hAnsi="Calibri" w:cs="Arial"/>
        </w:rPr>
      </w:pPr>
      <w:r>
        <w:rPr>
          <w:rFonts w:cs="Arial" w:ascii="Calibri" w:hAnsi="Calibri"/>
        </w:rPr>
        <w:t xml:space="preserve">The macerals of the coal should be free from burring, burning, or smearing caused by “over-polishing”. </w:t>
      </w:r>
    </w:p>
    <w:p>
      <w:pPr>
        <w:pStyle w:val="ListParagraph"/>
        <w:numPr>
          <w:ilvl w:val="0"/>
          <w:numId w:val="6"/>
        </w:numPr>
        <w:ind w:left="567" w:hanging="567"/>
        <w:jc w:val="both"/>
        <w:rPr>
          <w:rFonts w:ascii="Calibri" w:hAnsi="Calibri" w:cs="Arial"/>
        </w:rPr>
      </w:pPr>
      <w:r>
        <w:rPr>
          <w:rFonts w:cs="Arial" w:ascii="Calibri" w:hAnsi="Calibri"/>
        </w:rPr>
        <w:t>The final surface prepared for study should be free of grinding and polishing chemical solutions.</w:t>
      </w:r>
    </w:p>
    <w:p>
      <w:pPr>
        <w:pStyle w:val="ListParagraph"/>
        <w:spacing w:lineRule="auto" w:line="360"/>
        <w:ind w:left="567" w:hanging="0"/>
        <w:rPr>
          <w:rFonts w:ascii="Arial" w:hAnsi="Arial" w:cs="Arial"/>
          <w:sz w:val="20"/>
          <w:szCs w:val="20"/>
        </w:rPr>
      </w:pPr>
      <w:r>
        <w:rPr>
          <w:rFonts w:cs="Arial"/>
          <w:sz w:val="20"/>
          <w:szCs w:val="20"/>
        </w:rPr>
      </w:r>
    </w:p>
    <w:p>
      <w:pPr>
        <w:pStyle w:val="Normal"/>
        <w:spacing w:lineRule="auto" w:line="360"/>
        <w:rPr>
          <w:rFonts w:ascii="Arial" w:hAnsi="Arial" w:cs="Arial"/>
          <w:sz w:val="20"/>
          <w:szCs w:val="20"/>
        </w:rPr>
      </w:pPr>
      <w:r>
        <w:rPr>
          <w:rFonts w:cs="Arial"/>
          <w:sz w:val="20"/>
          <w:szCs w:val="20"/>
        </w:rPr>
      </w:r>
    </w:p>
    <w:p>
      <w:pPr>
        <w:pStyle w:val="Normal"/>
        <w:rPr>
          <w:rFonts w:ascii="Calibri" w:hAnsi="Calibri" w:cs="Arial"/>
          <w:b/>
          <w:b/>
          <w:sz w:val="20"/>
          <w:szCs w:val="20"/>
        </w:rPr>
      </w:pPr>
      <w:r>
        <w:rPr>
          <w:rFonts w:cs="Arial" w:ascii="Calibri" w:hAnsi="Calibri"/>
          <w:b/>
          <w:sz w:val="20"/>
          <w:szCs w:val="20"/>
        </w:rPr>
        <w:t xml:space="preserve">Figure 2.11: Example of poor polishing: surface scratches and residual polishing solution are visible. </w:t>
      </w:r>
    </w:p>
    <w:p>
      <w:pPr>
        <w:pStyle w:val="Normal"/>
        <w:spacing w:lineRule="auto" w:line="360"/>
        <w:rPr>
          <w:rFonts w:ascii="Arial" w:hAnsi="Arial" w:cs="Arial"/>
          <w:sz w:val="20"/>
          <w:szCs w:val="20"/>
        </w:rPr>
      </w:pPr>
      <w:r>
        <w:rPr>
          <w:rFonts w:cs="Arial"/>
          <w:sz w:val="20"/>
          <w:szCs w:val="20"/>
        </w:rPr>
      </w:r>
    </w:p>
    <w:p>
      <w:pPr>
        <w:pStyle w:val="Normal"/>
        <w:jc w:val="both"/>
        <w:rPr>
          <w:rFonts w:ascii="Calibri" w:hAnsi="Calibri" w:cs="Arial"/>
        </w:rPr>
      </w:pPr>
      <w:r>
        <w:rPr>
          <w:rFonts w:cs="Arial" w:ascii="Calibri" w:hAnsi="Calibri"/>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w:t>
      </w:r>
      <w:r>
        <w:rPr>
          <w:rFonts w:ascii="Calibri" w:hAnsi="Calibri"/>
        </w:rPr>
        <w:t xml:space="preserve">potassium permanganate (Stach </w:t>
      </w:r>
      <w:r>
        <w:rPr>
          <w:rFonts w:ascii="Calibri" w:hAnsi="Calibri"/>
          <w:i/>
        </w:rPr>
        <w:t>et al.,</w:t>
      </w:r>
      <w:r>
        <w:rPr>
          <w:rFonts w:ascii="Calibri" w:hAnsi="Calibri"/>
        </w:rPr>
        <w:t xml:space="preserve"> 1982; Taylor </w:t>
      </w:r>
      <w:r>
        <w:rPr>
          <w:rFonts w:ascii="Calibri" w:hAnsi="Calibri"/>
          <w:i/>
        </w:rPr>
        <w:t>et al</w:t>
      </w:r>
      <w:r>
        <w:rPr>
          <w:rFonts w:ascii="Calibri" w:hAnsi="Calibri"/>
        </w:rPr>
        <w:t xml:space="preserve">., 1998; Hower </w:t>
      </w:r>
      <w:r>
        <w:rPr>
          <w:rFonts w:ascii="Calibri" w:hAnsi="Calibri"/>
          <w:i/>
        </w:rPr>
        <w:t>et al</w:t>
      </w:r>
      <w:r>
        <w:rPr>
          <w:rFonts w:ascii="Calibri" w:hAnsi="Calibri"/>
        </w:rPr>
        <w:t>. 1998.; ASTM D5671-95 (2011))</w:t>
      </w:r>
      <w:r>
        <w:rPr>
          <w:rFonts w:cs="Arial" w:ascii="Calibri" w:hAnsi="Calibri"/>
        </w:rPr>
        <w:t>. The notes accompanying Plate 10 provides a summary of an etching technique used to prepare the samples photographed in Plate 10.</w:t>
      </w:r>
    </w:p>
    <w:p>
      <w:pPr>
        <w:pStyle w:val="Normal"/>
        <w:rPr>
          <w:rFonts w:ascii="Calibri" w:hAnsi="Calibri" w:cs="Arial"/>
        </w:rPr>
      </w:pPr>
      <w:r>
        <w:rPr>
          <w:rFonts w:cs="Arial" w:ascii="Calibri" w:hAnsi="Calibri"/>
        </w:rPr>
      </w:r>
    </w:p>
    <w:p>
      <w:pPr>
        <w:pStyle w:val="Normal"/>
        <w:rPr>
          <w:rFonts w:ascii="Calibri" w:hAnsi="Calibri" w:cs="Arial"/>
        </w:rPr>
      </w:pPr>
      <w:r>
        <w:rPr>
          <w:rFonts w:cs="Arial" w:ascii="Calibri" w:hAnsi="Calibri"/>
        </w:rPr>
      </w:r>
    </w:p>
    <w:p>
      <w:pPr>
        <w:pStyle w:val="Heading3"/>
        <w:numPr>
          <w:ilvl w:val="2"/>
          <w:numId w:val="5"/>
        </w:numPr>
        <w:ind w:left="709" w:hanging="709"/>
        <w:rPr>
          <w:rFonts w:ascii="Calibri" w:hAnsi="Calibri"/>
        </w:rPr>
      </w:pPr>
      <w:bookmarkStart w:id="37" w:name="_Toc485644678"/>
      <w:bookmarkEnd w:id="37"/>
      <w:r>
        <w:rPr>
          <w:rFonts w:ascii="Calibri" w:hAnsi="Calibri"/>
        </w:rPr>
        <w:t>Analytical Techniques</w:t>
      </w:r>
    </w:p>
    <w:p>
      <w:pPr>
        <w:pStyle w:val="Normal"/>
        <w:spacing w:lineRule="auto" w:line="360"/>
        <w:ind w:left="426" w:hanging="426"/>
        <w:rPr>
          <w:rFonts w:ascii="Arial" w:hAnsi="Arial" w:cs="Arial"/>
          <w:sz w:val="20"/>
          <w:szCs w:val="20"/>
        </w:rPr>
      </w:pPr>
      <w:r>
        <w:rPr>
          <w:rFonts w:cs="Arial"/>
          <w:sz w:val="20"/>
          <w:szCs w:val="20"/>
        </w:rPr>
      </w:r>
    </w:p>
    <w:p>
      <w:pPr>
        <w:pStyle w:val="Normal"/>
        <w:jc w:val="both"/>
        <w:rPr>
          <w:rFonts w:ascii="Calibri" w:hAnsi="Calibri" w:cs="Arial"/>
        </w:rPr>
      </w:pPr>
      <w:r>
        <w:rPr>
          <w:rFonts w:cs="Arial" w:ascii="Calibri" w:hAnsi="Calibri"/>
        </w:rPr>
        <w:t>Conventional petrographic investigations are carried out in reflected incident/white light at a total magnification of between 250 and 500 times. The equipment required for use in petrographic analysis is a petrological polarising microscope, with oil-immersion objectives (typically x40, x50, x60), eye pieces with magnification between x8 and x12 and a cross hair (or graticule), mechanical or automated stage, stable light source (LED is now favoured over halogen lamps), an ultra-violet light source or blue light filter cube for fluorescence, and a system to measure reflectance (there are a variety of different systems on the market currently).  The immersion oil must be non-drying, non-corrosive, with a refractive index of 1.518 at 23</w:t>
      </w:r>
      <w:r>
        <w:rPr>
          <w:rFonts w:cs="Arial" w:ascii="Calibri" w:hAnsi="Calibri"/>
          <w:vertAlign w:val="superscript"/>
        </w:rPr>
        <w:t>o</w:t>
      </w:r>
      <w:r>
        <w:rPr>
          <w:rFonts w:cs="Arial" w:ascii="Calibri" w:hAnsi="Calibri"/>
        </w:rPr>
        <w:t xml:space="preserve">C and a wavelength of 546 nm (ISO, 1994). A rotatable stage is good to have and lambda plates along with an analyser to assess anisotrophy.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techniques used for quantification and qualification of coal composition are those recommended by the ICCP and the standards mentioned above in Section 2.2; Stach </w:t>
      </w:r>
      <w:r>
        <w:rPr>
          <w:rFonts w:cs="Arial" w:ascii="Calibri" w:hAnsi="Calibri"/>
          <w:i/>
        </w:rPr>
        <w:t>et al.</w:t>
      </w:r>
      <w:r>
        <w:rPr>
          <w:rFonts w:cs="Arial" w:ascii="Calibri" w:hAnsi="Calibri"/>
        </w:rPr>
        <w:t xml:space="preserve"> (1982) and Taylor </w:t>
      </w:r>
      <w:r>
        <w:rPr>
          <w:rFonts w:cs="Arial" w:ascii="Calibri" w:hAnsi="Calibri"/>
          <w:i/>
        </w:rPr>
        <w:t>et al.</w:t>
      </w:r>
      <w:r>
        <w:rPr>
          <w:rFonts w:cs="Arial" w:ascii="Calibri" w:hAnsi="Calibri"/>
        </w:rPr>
        <w:t xml:space="preserve"> (1998) are also excellent reference sources. Under reflected light, the different components making up coal are differentiated by their various colours, or shades of grey, due to reflectivity or adsorption of light, as well as structure. Some components, both organic and inorganic, may fluoresce when illuminated using light of short wavelength light, such as ultra-violet or blue light.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w:t>
      </w:r>
      <w:r>
        <w:rPr>
          <w:rFonts w:cs="Arial" w:ascii="Calibri" w:hAnsi="Calibri"/>
          <w:i/>
        </w:rPr>
        <w:t>type</w:t>
      </w:r>
      <w:r>
        <w:rPr>
          <w:rFonts w:cs="Arial" w:ascii="Calibri" w:hAnsi="Calibri"/>
        </w:rPr>
        <w:t xml:space="preserve"> of coal is determined petrographically by group maceral analysis and/or microlithotype analysis, where the organic components are assessed based on structure and the shade of grey.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w:t>
      </w:r>
      <w:r>
        <w:rPr>
          <w:rFonts w:cs="Arial" w:ascii="Calibri" w:hAnsi="Calibri"/>
          <w:i/>
        </w:rPr>
        <w:t>rank</w:t>
      </w:r>
      <w:r>
        <w:rPr>
          <w:rFonts w:cs="Arial" w:ascii="Calibri" w:hAnsi="Calibri"/>
        </w:rPr>
        <w:t xml:space="preserve"> is measured by means of vitrinite reflectance, typically on collotelinite.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Coal </w:t>
      </w:r>
      <w:r>
        <w:rPr>
          <w:rFonts w:cs="Arial" w:ascii="Calibri" w:hAnsi="Calibri"/>
          <w:i/>
        </w:rPr>
        <w:t>grade</w:t>
      </w:r>
      <w:r>
        <w:rPr>
          <w:rFonts w:cs="Arial" w:ascii="Calibri" w:hAnsi="Calibri"/>
        </w:rPr>
        <w:t xml:space="preserve">, or the mineral matter component, can be assessed in the type analysis, or can be assessed independently of the organic matter. </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Normal"/>
        <w:spacing w:lineRule="auto" w:line="360"/>
        <w:rPr>
          <w:rFonts w:ascii="Arial" w:hAnsi="Arial" w:cs="Arial"/>
          <w:sz w:val="20"/>
          <w:szCs w:val="20"/>
        </w:rPr>
      </w:pPr>
      <w:r>
        <w:rPr>
          <w:rFonts w:cs="Arial"/>
          <w:sz w:val="20"/>
          <w:szCs w:val="20"/>
        </w:rPr>
      </w:r>
    </w:p>
    <w:p>
      <w:pPr>
        <w:pStyle w:val="Normal"/>
        <w:spacing w:lineRule="auto" w:line="360"/>
        <w:jc w:val="center"/>
        <w:rPr>
          <w:rFonts w:ascii="Arial" w:hAnsi="Arial" w:cs="Arial"/>
          <w:sz w:val="20"/>
          <w:szCs w:val="20"/>
        </w:rPr>
      </w:pPr>
      <w:r>
        <w:rPr>
          <w:rFonts w:cs="Arial"/>
          <w:sz w:val="20"/>
          <w:szCs w:val="20"/>
        </w:rPr>
      </w:r>
    </w:p>
    <w:p>
      <w:pPr>
        <w:pStyle w:val="Normal"/>
        <w:ind w:left="-142" w:hanging="0"/>
        <w:jc w:val="center"/>
        <w:rPr>
          <w:rFonts w:ascii="Calibri" w:hAnsi="Calibri"/>
          <w:b/>
          <w:b/>
          <w:sz w:val="20"/>
          <w:szCs w:val="20"/>
        </w:rPr>
      </w:pPr>
      <w:r>
        <w:rPr>
          <w:rFonts w:cs="Arial" w:ascii="Calibri" w:hAnsi="Calibri"/>
          <w:b/>
          <w:sz w:val="20"/>
          <w:szCs w:val="20"/>
        </w:rPr>
        <w:t xml:space="preserve">Figure 2.12: A summary of the major analytical techniques used in coal petrography </w:t>
      </w:r>
      <w:r>
        <w:rPr>
          <w:rFonts w:ascii="Calibri" w:hAnsi="Calibri"/>
          <w:b/>
          <w:sz w:val="20"/>
          <w:szCs w:val="20"/>
        </w:rPr>
        <w:t xml:space="preserve">(modified from </w:t>
      </w:r>
      <w:r>
        <w:rPr>
          <w:rFonts w:cs="Arial" w:ascii="Calibri" w:hAnsi="Calibri"/>
          <w:b/>
          <w:sz w:val="20"/>
          <w:szCs w:val="20"/>
        </w:rPr>
        <w:t>Falcon and Snyman, 1986)</w:t>
      </w:r>
    </w:p>
    <w:p>
      <w:pPr>
        <w:pStyle w:val="Normal"/>
        <w:jc w:val="center"/>
        <w:rPr>
          <w:rFonts w:ascii="Arial" w:hAnsi="Arial" w:cs="Arial"/>
          <w:b/>
          <w:b/>
          <w:sz w:val="20"/>
          <w:szCs w:val="20"/>
        </w:rPr>
      </w:pPr>
      <w:r>
        <w:rPr>
          <w:rFonts w:cs="Arial"/>
          <w:b/>
          <w:sz w:val="20"/>
          <w:szCs w:val="20"/>
        </w:rPr>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Normal"/>
        <w:jc w:val="both"/>
        <w:rPr>
          <w:rFonts w:ascii="Calibri" w:hAnsi="Calibri"/>
        </w:rPr>
      </w:pPr>
      <w:r>
        <w:rPr>
          <w:rFonts w:ascii="Calibri" w:hAnsi="Calibri"/>
        </w:rPr>
      </w:r>
    </w:p>
    <w:p>
      <w:pPr>
        <w:pStyle w:val="Heading4"/>
        <w:numPr>
          <w:ilvl w:val="3"/>
          <w:numId w:val="5"/>
        </w:numPr>
        <w:ind w:left="709" w:hanging="709"/>
        <w:rPr>
          <w:rFonts w:ascii="Calibri" w:hAnsi="Calibri"/>
        </w:rPr>
      </w:pPr>
      <w:bookmarkStart w:id="38" w:name="_Toc485644679"/>
      <w:bookmarkEnd w:id="38"/>
      <w:r>
        <w:rPr>
          <w:rFonts w:ascii="Calibri" w:hAnsi="Calibri"/>
        </w:rPr>
        <w:t>Maceral Analyses</w:t>
      </w:r>
    </w:p>
    <w:p>
      <w:pPr>
        <w:pStyle w:val="ListParagraph"/>
        <w:ind w:left="426"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The composition of coal (coal type) is determined by classifying and counting macerals microscopically. Maceral analyses are carried out on well polished grain mounts / block mounts under oil-immersion using a suitable oil-immersion objective (typically to enable a total magnification of x500) and an automatic point countering stage at traverse spacing of 0.4mm and intervals between the traverses of 0.5 mm; alternatively, according to ISO 7404-3, the step length is equal to half the maximum particle diameter. The traverse spacing’s can be amended depending on the point count system, block mount size, and particle size and distribution, as long as a systematic scheme of transection to cover the entire surface of the block mount is conducted.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ListParagraph"/>
        <w:ind w:left="0" w:hanging="0"/>
        <w:jc w:val="both"/>
        <w:rPr>
          <w:rFonts w:ascii="Calibri" w:hAnsi="Calibri" w:cs="Arial"/>
        </w:rPr>
      </w:pPr>
      <w:r>
        <w:rPr>
          <w:rFonts w:cs="Arial" w:ascii="Calibri" w:hAnsi="Calibri"/>
        </w:rPr>
      </w:r>
    </w:p>
    <w:p>
      <w:pPr>
        <w:pStyle w:val="ListParagraph"/>
        <w:ind w:left="0" w:hanging="0"/>
        <w:jc w:val="both"/>
        <w:rPr/>
      </w:pPr>
      <w:r>
        <w:rPr>
          <w:rFonts w:cs="Arial" w:ascii="Calibri" w:hAnsi="Calibri"/>
        </w:rPr>
        <w:t xml:space="preserve">The results are presented as volume %. According to the standard ISO 7404 part 3, an accurate assessment of a well 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 %,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3">
        <w:r>
          <w:rPr>
            <w:webHidden/>
            <w:rStyle w:val="InternetLink"/>
            <w:rFonts w:cs="Arial" w:ascii="Calibri" w:hAnsi="Calibri"/>
            <w:color w:val="00000A"/>
          </w:rPr>
          <w:t>www.iccop.org</w:t>
        </w:r>
      </w:hyperlink>
      <w:r>
        <w:rPr>
          <w:rFonts w:cs="Arial" w:ascii="Calibri" w:hAnsi="Calibri"/>
        </w:rPr>
        <w:t>).</w:t>
      </w:r>
    </w:p>
    <w:p>
      <w:pPr>
        <w:pStyle w:val="Normal"/>
        <w:spacing w:lineRule="auto" w:line="360"/>
        <w:rPr>
          <w:rFonts w:ascii="Arial" w:hAnsi="Arial" w:cs="Arial"/>
          <w:sz w:val="20"/>
          <w:szCs w:val="20"/>
        </w:rPr>
      </w:pPr>
      <w:r>
        <w:rPr>
          <w:rFonts w:cs="Arial"/>
          <w:sz w:val="20"/>
          <w:szCs w:val="20"/>
        </w:rPr>
      </w:r>
    </w:p>
    <w:p>
      <w:pPr>
        <w:pStyle w:val="Heading4"/>
        <w:numPr>
          <w:ilvl w:val="3"/>
          <w:numId w:val="5"/>
        </w:numPr>
        <w:ind w:left="851" w:hanging="851"/>
        <w:rPr>
          <w:rFonts w:ascii="Calibri" w:hAnsi="Calibri"/>
        </w:rPr>
      </w:pPr>
      <w:bookmarkStart w:id="39" w:name="_Toc485644680"/>
      <w:bookmarkEnd w:id="39"/>
      <w:r>
        <w:rPr>
          <w:rFonts w:ascii="Calibri" w:hAnsi="Calibri"/>
        </w:rPr>
        <w:t>Microlithotype Analyses</w:t>
      </w:r>
    </w:p>
    <w:p>
      <w:pPr>
        <w:pStyle w:val="ListParagraph"/>
        <w:spacing w:lineRule="auto" w:line="360"/>
        <w:ind w:left="426" w:hanging="0"/>
        <w:rPr>
          <w:rFonts w:ascii="Arial" w:hAnsi="Arial" w:cs="Arial"/>
          <w:sz w:val="20"/>
          <w:szCs w:val="20"/>
        </w:rPr>
      </w:pPr>
      <w:r>
        <w:rPr>
          <w:rFonts w:cs="Arial"/>
          <w:sz w:val="20"/>
          <w:szCs w:val="20"/>
        </w:rPr>
      </w:r>
    </w:p>
    <w:p>
      <w:pPr>
        <w:pStyle w:val="ListParagraph"/>
        <w:ind w:left="0" w:hanging="0"/>
        <w:jc w:val="both"/>
        <w:rPr>
          <w:rFonts w:ascii="Calibri" w:hAnsi="Calibri" w:cs="Arial"/>
        </w:rPr>
      </w:pPr>
      <w:r>
        <w:rPr>
          <w:rFonts w:cs="Arial" w:ascii="Calibri" w:hAnsi="Calibri"/>
        </w:rPr>
        <w:t>Microlithotype analyses are carried out in a similar manner to maceral analysis (i.e. under reflected white light with immersion oil), but in this case a suitable 20 point graticule in an ocular of the microscope is used. The effective distance of the graticule is 50x50 microns,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 %).</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Where a graticule is not present in the ocular, it is possible to conduct the analysis </w:t>
      </w:r>
      <w:r>
        <w:rPr>
          <w:rFonts w:cs="Arial" w:ascii="Calibri" w:hAnsi="Calibri"/>
          <w:i/>
        </w:rPr>
        <w:t>selon-la-ligne</w:t>
      </w:r>
      <w:r>
        <w:rPr>
          <w:rFonts w:cs="Arial" w:ascii="Calibri" w:hAnsi="Calibri"/>
        </w:rPr>
        <w:t xml:space="preserve">, or according to the line, using a 100 division micrometer scale (Taylor </w:t>
      </w:r>
      <w:r>
        <w:rPr>
          <w:rFonts w:cs="Arial" w:ascii="Calibri" w:hAnsi="Calibri"/>
          <w:i/>
        </w:rPr>
        <w:t>et al</w:t>
      </w:r>
      <w:r>
        <w:rPr>
          <w:rFonts w:cs="Arial" w:ascii="Calibri" w:hAnsi="Calibri"/>
        </w:rPr>
        <w:t>., 1998). The same principle applies, with the micrometer divided into 5% intersections.</w:t>
      </w:r>
    </w:p>
    <w:p>
      <w:pPr>
        <w:pStyle w:val="Normal"/>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The position of the graticule sections, or proportion of the 50x50 micron area, with respect to maceral composition determines the microlithotype is as follows:</w:t>
      </w:r>
    </w:p>
    <w:p>
      <w:pPr>
        <w:pStyle w:val="ListParagraph"/>
        <w:ind w:left="426" w:hanging="0"/>
        <w:jc w:val="both"/>
        <w:rPr>
          <w:rFonts w:ascii="Calibri" w:hAnsi="Calibri" w:cs="Arial"/>
        </w:rPr>
      </w:pPr>
      <w:r>
        <w:rPr>
          <w:rFonts w:cs="Arial" w:ascii="Calibri" w:hAnsi="Calibri"/>
        </w:rPr>
      </w:r>
    </w:p>
    <w:p>
      <w:pPr>
        <w:pStyle w:val="ListParagraph"/>
        <w:ind w:left="2268" w:hanging="1842"/>
        <w:jc w:val="both"/>
        <w:rPr>
          <w:rFonts w:ascii="Calibri" w:hAnsi="Calibri" w:cs="Arial"/>
        </w:rPr>
      </w:pPr>
      <w:r>
        <w:rPr>
          <w:rFonts w:cs="Arial" w:ascii="Calibri" w:hAnsi="Calibri"/>
          <w:i/>
        </w:rPr>
        <w:t>Monomaceral:</w:t>
        <w:tab/>
      </w:r>
      <w:r>
        <w:rPr>
          <w:rFonts w:cs="Arial" w:ascii="Calibri" w:hAnsi="Calibri"/>
        </w:rPr>
        <w:t>all intersections cover a single maceral (i.e. vitrinite, inertinite, liptinite).</w:t>
      </w:r>
    </w:p>
    <w:p>
      <w:pPr>
        <w:pStyle w:val="ListParagraph"/>
        <w:ind w:left="2268" w:hanging="1842"/>
        <w:jc w:val="both"/>
        <w:rPr>
          <w:rFonts w:ascii="Calibri" w:hAnsi="Calibri" w:cs="Arial"/>
        </w:rPr>
      </w:pPr>
      <w:r>
        <w:rPr>
          <w:rFonts w:cs="Arial" w:ascii="Calibri" w:hAnsi="Calibri"/>
          <w:i/>
        </w:rPr>
        <w:t>Bimaceral:</w:t>
      </w:r>
      <w:r>
        <w:rPr>
          <w:rFonts w:cs="Arial" w:ascii="Calibri" w:hAnsi="Calibri"/>
        </w:rPr>
        <w:tab/>
        <w:t>at least one intersection on each of the two macerals of which the microlithotype is composed (i.e. clarite, durite, vitrinite).</w:t>
      </w:r>
    </w:p>
    <w:p>
      <w:pPr>
        <w:pStyle w:val="ListParagraph"/>
        <w:ind w:left="2268" w:hanging="1842"/>
        <w:jc w:val="both"/>
        <w:rPr>
          <w:rFonts w:ascii="Calibri" w:hAnsi="Calibri" w:cs="Arial"/>
        </w:rPr>
      </w:pPr>
      <w:r>
        <w:rPr>
          <w:rFonts w:cs="Arial" w:ascii="Calibri" w:hAnsi="Calibri"/>
          <w:i/>
        </w:rPr>
        <w:t>Trimaceral:</w:t>
      </w:r>
      <w:r>
        <w:rPr>
          <w:rFonts w:cs="Arial" w:ascii="Calibri" w:hAnsi="Calibri"/>
        </w:rPr>
        <w:tab/>
        <w:t>at least one intersection on each of the three macerals of which the microlithotype is composed.</w:t>
      </w:r>
    </w:p>
    <w:p>
      <w:pPr>
        <w:pStyle w:val="Normal"/>
        <w:ind w:left="426" w:hanging="0"/>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Further detail is provided in Table 2.7.</w:t>
      </w:r>
    </w:p>
    <w:p>
      <w:pPr>
        <w:pStyle w:val="Normal"/>
        <w:ind w:left="426" w:hanging="0"/>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The 20 point graticule may also be used to obtain a </w:t>
      </w:r>
      <w:r>
        <w:rPr>
          <w:rFonts w:cs="Arial" w:ascii="Calibri" w:hAnsi="Calibri"/>
          <w:i/>
        </w:rPr>
        <w:t>combined maceral-microlithotype analysis</w:t>
      </w:r>
      <w:r>
        <w:rPr>
          <w:rFonts w:cs="Arial" w:ascii="Calibri" w:hAnsi="Calibri"/>
        </w:rPr>
        <w:t>,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Normal"/>
        <w:rPr>
          <w:rFonts w:ascii="Arial" w:hAnsi="Arial" w:cs="Arial"/>
          <w:sz w:val="20"/>
          <w:szCs w:val="20"/>
        </w:rPr>
      </w:pPr>
      <w:r>
        <w:rPr>
          <w:rFonts w:cs="Arial"/>
          <w:sz w:val="20"/>
          <w:szCs w:val="20"/>
        </w:rPr>
      </w:r>
    </w:p>
    <w:p>
      <w:pPr>
        <w:pStyle w:val="Heading4"/>
        <w:numPr>
          <w:ilvl w:val="3"/>
          <w:numId w:val="5"/>
        </w:numPr>
        <w:ind w:left="709" w:hanging="709"/>
        <w:rPr>
          <w:rFonts w:ascii="Calibri" w:hAnsi="Calibri"/>
        </w:rPr>
      </w:pPr>
      <w:bookmarkStart w:id="40" w:name="_Toc485644681"/>
      <w:bookmarkEnd w:id="40"/>
      <w:r>
        <w:rPr>
          <w:rFonts w:ascii="Calibri" w:hAnsi="Calibri"/>
        </w:rPr>
        <w:t>Reflectance Measurements</w:t>
      </w:r>
    </w:p>
    <w:p>
      <w:pPr>
        <w:pStyle w:val="ListParagraph"/>
        <w:spacing w:lineRule="auto" w:line="360"/>
        <w:ind w:left="426" w:hanging="0"/>
        <w:rPr>
          <w:rFonts w:ascii="Arial" w:hAnsi="Arial" w:cs="Arial"/>
          <w:i/>
          <w:i/>
          <w:sz w:val="20"/>
          <w:szCs w:val="20"/>
        </w:rPr>
      </w:pPr>
      <w:r>
        <w:rPr>
          <w:rFonts w:cs="Arial"/>
          <w:i/>
          <w:sz w:val="20"/>
          <w:szCs w:val="20"/>
        </w:rPr>
      </w:r>
    </w:p>
    <w:p>
      <w:pPr>
        <w:pStyle w:val="ListParagraph"/>
        <w:ind w:left="0" w:hanging="0"/>
        <w:jc w:val="both"/>
        <w:rPr>
          <w:rFonts w:ascii="Calibri" w:hAnsi="Calibri" w:cs="Arial"/>
        </w:rPr>
      </w:pPr>
      <w:r>
        <w:rPr>
          <w:rFonts w:cs="Arial" w:ascii="Calibri" w:hAnsi="Calibri"/>
        </w:rPr>
        <w:t xml:space="preserve">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(homogenous bands of collotelinite in particular) and are carried out in monochromatic green light (ʎ = 546 nm) by means of a photomultiplier or alternative detectors such as spectrometers with fibre optic cables, or digital imaging. Figure 2.13 shows a range of reflectance readings taken on different vitrinite macerals within a single coal particle. </w:t>
      </w:r>
    </w:p>
    <w:p>
      <w:pPr>
        <w:pStyle w:val="ListParagraph"/>
        <w:ind w:left="0" w:hanging="0"/>
        <w:jc w:val="both"/>
        <w:rPr>
          <w:rFonts w:ascii="Calibri" w:hAnsi="Calibri" w:cs="Arial"/>
        </w:rPr>
      </w:pPr>
      <w:r>
        <w:rPr>
          <w:rFonts w:cs="Arial" w:ascii="Calibri" w:hAnsi="Calibri"/>
        </w:rPr>
      </w:r>
    </w:p>
    <w:p>
      <w:pPr>
        <w:pStyle w:val="ListParagraph"/>
        <w:ind w:left="0" w:hanging="0"/>
        <w:jc w:val="both"/>
        <w:rPr/>
      </w:pPr>
      <w:r>
        <w:rPr>
          <w:rFonts w:cs="Arial" w:ascii="Calibri" w:hAnsi="Calibri"/>
          <w:i/>
        </w:rPr>
        <w:t xml:space="preserve">Random reflectance </w:t>
      </w:r>
      <w:r>
        <w:rPr>
          <w:rFonts w:cs="Arial" w:ascii="Calibri" w:hAnsi="Calibri"/>
        </w:rPr>
        <w:t xml:space="preserve">(%RoVmr), typically used by the power and trade industries, is measured with the polarizer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4">
        <w:r>
          <w:rPr>
            <w:webHidden/>
            <w:rStyle w:val="InternetLink"/>
            <w:rFonts w:cs="Arial" w:ascii="Calibri" w:hAnsi="Calibri"/>
            <w:color w:val="00000A"/>
          </w:rPr>
          <w:t>www.iccop.org</w:t>
        </w:r>
      </w:hyperlink>
      <w:r>
        <w:rPr>
          <w:rFonts w:cs="Arial" w:ascii="Calibri" w:hAnsi="Calibri"/>
        </w:rPr>
        <w:t>).</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For the measurement of </w:t>
      </w:r>
      <w:r>
        <w:rPr>
          <w:rFonts w:cs="Arial" w:ascii="Calibri" w:hAnsi="Calibri"/>
          <w:i/>
        </w:rPr>
        <w:t xml:space="preserve">maximum reflectance </w:t>
      </w:r>
      <w:bookmarkStart w:id="41" w:name="_GoBack"/>
      <w:r>
        <w:rPr>
          <w:rFonts w:cs="Arial" w:ascii="Calibri" w:hAnsi="Calibri"/>
        </w:rPr>
        <w:t xml:space="preserve">(%RoVmax), </w:t>
      </w:r>
      <w:bookmarkEnd w:id="41"/>
      <w:r>
        <w:rPr>
          <w:rFonts w:cs="Arial" w:ascii="Calibri" w:hAnsi="Calibri"/>
        </w:rPr>
        <w:t>typically used in the coking industry, the polarizer should be in the 45ᵒ position if using a Berek prism, or zero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low rank coals are optically isotropic, random and maximum reflectance readings are typically the same (Suárez-Ruiz and Ward, 2008).</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Bireflectance is a useful technique to assess tectonic stress and structural changes in vitrinite, cokes, graphites, and chars. The true maximum and minimum reflectance values are measured in polarised light and by rotating the stage or the analyser or polarizer (Crelling </w:t>
      </w:r>
      <w:r>
        <w:rPr>
          <w:rFonts w:cs="Arial" w:ascii="Calibri" w:hAnsi="Calibri"/>
          <w:i/>
        </w:rPr>
        <w:t>et al</w:t>
      </w:r>
      <w:r>
        <w:rPr>
          <w:rFonts w:cs="Arial" w:ascii="Calibri" w:hAnsi="Calibri"/>
        </w:rPr>
        <w:t xml:space="preserve">, 2005), ideally on orientated samples. The anisotropy is calculated from the difference (Rmax – Rmin) (Suárez-Ruiz and Ward, 2008, and references therein). Bireflectance with a mean reflectance of &gt;1.64% is normally pronounced (Crelling </w:t>
      </w:r>
      <w:r>
        <w:rPr>
          <w:rFonts w:cs="Arial" w:ascii="Calibri" w:hAnsi="Calibri"/>
          <w:i/>
        </w:rPr>
        <w:t>et al.,</w:t>
      </w:r>
      <w:r>
        <w:rPr>
          <w:rFonts w:cs="Arial" w:ascii="Calibri" w:hAnsi="Calibri"/>
        </w:rPr>
        <w:t xml:space="preserve"> 2005).</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All electrical components should be switched on at least half an hour before the instrument is calibrated to allow for stabilisation of the light source or pathway. Certified mono-crystalline prisms used as calibration standards include yttrium-aluminium-garnet (YAG), typically certified at 0.9%; strontium-titanat,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 minimum of 100 readings are taken on vitrinite bands or particles which fall within the graticule area of measurement (Fig. 2.12), avoiding poorly polished or pitted vitrinite; high quality sample preparation is vital for reliable reflectance measurements. Typically, areas of measurement are encountered along traverses 0.5 mm apart and with steps of 0.5 mm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center"/>
        <w:rPr>
          <w:rFonts w:ascii="Calibri" w:hAnsi="Calibri" w:cs="Arial"/>
        </w:rPr>
      </w:pPr>
      <w:r>
        <w:rPr>
          <w:rFonts w:cs="Arial" w:ascii="Calibri" w:hAnsi="Calibri"/>
        </w:rPr>
      </w:r>
    </w:p>
    <w:p>
      <w:pPr>
        <w:pStyle w:val="ListParagraph"/>
        <w:ind w:left="0" w:hanging="0"/>
        <w:jc w:val="both"/>
        <w:rPr>
          <w:rFonts w:ascii="Calibri" w:hAnsi="Calibri" w:cs="Arial"/>
          <w:b/>
          <w:b/>
          <w:i/>
          <w:i/>
          <w:sz w:val="20"/>
          <w:szCs w:val="20"/>
        </w:rPr>
      </w:pPr>
      <w:r>
        <w:rPr>
          <w:rFonts w:cs="Arial" w:ascii="Calibri" w:hAnsi="Calibri"/>
          <w:b/>
          <w:i/>
          <w:sz w:val="20"/>
          <w:szCs w:val="20"/>
          <w:lang w:eastAsia="en-ZA"/>
        </w:rPr>
        <w:t xml:space="preserve">Figure 2.13: Various reflectance measurements on different vitrinite macerals, ranging from 0.56% to 0.66%. </w:t>
      </w:r>
      <w:r>
        <w:rPr>
          <w:rFonts w:ascii="Calibri" w:hAnsi="Calibri"/>
          <w:b/>
          <w:i/>
          <w:sz w:val="20"/>
          <w:szCs w:val="20"/>
          <w:lang w:eastAsia="en-ZA"/>
        </w:rPr>
        <w:t>Telinite reports lower and collodetrinite reports higher values (middle band) than collotelinite. Variable values are obtained for corpogelinite.R</w:t>
      </w:r>
      <w:r>
        <w:rPr>
          <w:rFonts w:cs="Arial" w:ascii="Calibri" w:hAnsi="Calibri"/>
          <w:b/>
          <w:i/>
          <w:sz w:val="20"/>
          <w:szCs w:val="20"/>
          <w:lang w:eastAsia="en-ZA"/>
        </w:rPr>
        <w:t>eflectance readings should be taken on collotelinite for consistency, where available. (Image taken with Diskus Fossil on a Ziess Axioimager; oil immersion, reflected light, polariser out, monochromatic digital camera, x500).</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ListParagraph"/>
        <w:ind w:left="0" w:hanging="0"/>
        <w:jc w:val="both"/>
        <w:rPr>
          <w:rFonts w:ascii="Calibri" w:hAnsi="Calibri" w:cs="Arial"/>
        </w:rPr>
      </w:pPr>
      <w:r>
        <w:rPr>
          <w:rFonts w:cs="Arial" w:ascii="Calibri" w:hAnsi="Calibri"/>
        </w:rPr>
      </w:r>
    </w:p>
    <w:p>
      <w:pPr>
        <w:pStyle w:val="ListParagraph"/>
        <w:ind w:left="0" w:hanging="0"/>
        <w:jc w:val="both"/>
        <w:rPr/>
      </w:pPr>
      <w:r>
        <w:rPr>
          <w:rFonts w:cs="Arial" w:ascii="Calibri" w:hAnsi="Calibri"/>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5">
        <w:r>
          <w:rPr>
            <w:webHidden/>
            <w:rStyle w:val="InternetLink"/>
            <w:rFonts w:cs="Arial" w:ascii="Calibri" w:hAnsi="Calibri"/>
            <w:color w:val="00000A"/>
          </w:rPr>
          <w:t>www.iccop.org</w:t>
        </w:r>
      </w:hyperlink>
      <w:r>
        <w:rPr>
          <w:rFonts w:cs="Arial" w:ascii="Calibri" w:hAnsi="Calibri"/>
        </w:rPr>
        <w:t>).</w:t>
      </w:r>
    </w:p>
    <w:p>
      <w:pPr>
        <w:pStyle w:val="Normal"/>
        <w:ind w:left="4679" w:hanging="0"/>
        <w:jc w:val="both"/>
        <w:rPr>
          <w:lang w:eastAsia="en-ZA"/>
        </w:rPr>
      </w:pPr>
      <w:r>
        <w:rPr>
          <w:lang w:eastAsia="en-ZA"/>
        </w:rPr>
      </w:r>
    </w:p>
    <w:p>
      <w:pPr>
        <w:pStyle w:val="Normal"/>
        <w:ind w:left="4679" w:hanging="0"/>
        <w:jc w:val="both"/>
        <w:rPr>
          <w:rFonts w:ascii="Arial" w:hAnsi="Arial" w:cs="Arial"/>
          <w:color w:val="FF0000"/>
          <w:sz w:val="20"/>
          <w:szCs w:val="20"/>
        </w:rPr>
      </w:pPr>
      <w:r>
        <w:rPr>
          <w:rFonts w:cs="Arial"/>
          <w:color w:val="FF0000"/>
          <w:sz w:val="20"/>
          <w:szCs w:val="20"/>
        </w:rPr>
      </w:r>
    </w:p>
    <w:p>
      <w:pPr>
        <w:pStyle w:val="ListParagraph"/>
        <w:ind w:left="425" w:hanging="0"/>
        <w:jc w:val="both"/>
        <w:rPr>
          <w:rFonts w:ascii="Calibri" w:hAnsi="Calibri" w:cs="Arial"/>
          <w:b/>
          <w:b/>
          <w:sz w:val="20"/>
          <w:szCs w:val="20"/>
        </w:rPr>
      </w:pPr>
      <w:r>
        <w:rPr>
          <w:rFonts w:cs="Arial" w:ascii="Calibri" w:hAnsi="Calibri"/>
          <w:b/>
          <w:sz w:val="20"/>
          <w:szCs w:val="20"/>
        </w:rPr>
        <w:t>Figure 2.14: Reflectance histograms. A) Single bell curve, single population, with no evidence of blending, heat affect, or contamination. B) Bi-modal distribution, in this instance indicative of heat affected particles due to a dolerite intrusion immediately below this sample.</w:t>
      </w:r>
    </w:p>
    <w:p>
      <w:pPr>
        <w:pStyle w:val="ListParagraph"/>
        <w:ind w:left="425" w:hanging="0"/>
        <w:jc w:val="both"/>
        <w:rPr>
          <w:rFonts w:ascii="Arial" w:hAnsi="Arial" w:cs="Arial"/>
          <w:color w:val="FF0000"/>
          <w:sz w:val="20"/>
          <w:szCs w:val="20"/>
        </w:rPr>
      </w:pPr>
      <w:r>
        <w:rPr>
          <w:rFonts w:cs="Arial"/>
          <w:color w:val="FF0000"/>
          <w:sz w:val="20"/>
          <w:szCs w:val="20"/>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Following the ECE-UN Coal Classification system (Table 2.9), terms low rank, medium rank, and high rank apply, corresponding to terms lignite, bituminous coal, and anthracite respectively (brown coal is a category of lignite). The limit between low and medium rank is 0.5 %RoVr (random vitrinite reflectance); vitrinite below 0.5 %RoVr is termed subbituminous, or low-rank, coal. Above 2 %RoVr coal is termed anthracite, or high-rank coal. Refer to Plate 11 for photographic images showing the change of grey associated with increasing rank as observed petrographically.</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r>
    </w:p>
    <w:p>
      <w:pPr>
        <w:pStyle w:val="ListParagraph"/>
        <w:ind w:left="425" w:hanging="0"/>
        <w:jc w:val="both"/>
        <w:rPr>
          <w:rFonts w:ascii="Arial" w:hAnsi="Arial" w:cs="Arial"/>
          <w:sz w:val="20"/>
          <w:szCs w:val="20"/>
        </w:rPr>
      </w:pPr>
      <w:r>
        <w:rPr>
          <w:rFonts w:cs="Arial"/>
          <w:sz w:val="20"/>
          <w:szCs w:val="20"/>
        </w:rPr>
      </w:r>
    </w:p>
    <w:p>
      <w:pPr>
        <w:pStyle w:val="ListParagraph"/>
        <w:ind w:left="425" w:hanging="0"/>
        <w:jc w:val="both"/>
        <w:rPr>
          <w:rFonts w:ascii="Calibri" w:hAnsi="Calibri" w:cs="Arial"/>
          <w:b/>
          <w:b/>
          <w:sz w:val="20"/>
          <w:szCs w:val="20"/>
        </w:rPr>
      </w:pPr>
      <w:r>
        <w:rPr>
          <w:rFonts w:cs="Arial" w:ascii="Calibri" w:hAnsi="Calibri"/>
          <w:b/>
          <w:sz w:val="20"/>
          <w:szCs w:val="20"/>
        </w:rPr>
        <w:t>Table 2.9: International Classification of in-seam coals, based on rank (adapted from ECE-UN, 1998). Both designations (low-, medium-, high-rank, and lignite, subbituminous, bituminous, anthracite) apply to both humic and sapropelic coals. (%RoVr = percent random vitrinite reflectance).</w:t>
      </w:r>
    </w:p>
    <w:p>
      <w:pPr>
        <w:pStyle w:val="ListParagraph"/>
        <w:spacing w:lineRule="auto" w:line="360"/>
        <w:ind w:left="0" w:hanging="0"/>
        <w:jc w:val="both"/>
        <w:rPr>
          <w:rFonts w:ascii="Arial" w:hAnsi="Arial" w:cs="Arial"/>
          <w:color w:val="FF0000"/>
          <w:sz w:val="20"/>
          <w:szCs w:val="20"/>
        </w:rPr>
      </w:pPr>
      <w:r>
        <w:rPr>
          <w:rFonts w:cs="Arial"/>
          <w:color w:val="FF0000"/>
          <w:sz w:val="20"/>
          <w:szCs w:val="20"/>
        </w:rPr>
        <w:tab/>
      </w:r>
    </w:p>
    <w:tbl>
      <w:tblPr>
        <w:tblStyle w:val="TableGrid"/>
        <w:tblW w:w="9057" w:type="dxa"/>
        <w:jc w:val="left"/>
        <w:tblInd w:w="426" w:type="dxa"/>
        <w:tblCellMar>
          <w:top w:w="0" w:type="dxa"/>
          <w:left w:w="98" w:type="dxa"/>
          <w:bottom w:w="0" w:type="dxa"/>
          <w:right w:w="108" w:type="dxa"/>
        </w:tblCellMar>
        <w:tblLook w:val="04a0" w:noVBand="1" w:noHBand="0" w:lastColumn="0" w:firstColumn="1" w:lastRow="0" w:firstRow="1"/>
      </w:tblPr>
      <w:tblGrid>
        <w:gridCol w:w="514"/>
        <w:gridCol w:w="35"/>
        <w:gridCol w:w="419"/>
        <w:gridCol w:w="1"/>
        <w:gridCol w:w="1516"/>
        <w:gridCol w:w="1"/>
        <w:gridCol w:w="804"/>
        <w:gridCol w:w="1"/>
        <w:gridCol w:w="913"/>
        <w:gridCol w:w="1"/>
        <w:gridCol w:w="781"/>
        <w:gridCol w:w="1"/>
        <w:gridCol w:w="853"/>
        <w:gridCol w:w="1"/>
        <w:gridCol w:w="957"/>
        <w:gridCol w:w="1"/>
        <w:gridCol w:w="1373"/>
        <w:gridCol w:w="1"/>
        <w:gridCol w:w="883"/>
      </w:tblGrid>
      <w:tr>
        <w:trPr/>
        <w:tc>
          <w:tcPr>
            <w:tcW w:w="969" w:type="dxa"/>
            <w:gridSpan w:val="4"/>
            <w:tcBorders>
              <w:top w:val="single" w:sz="12" w:space="0" w:color="00000A"/>
              <w:left w:val="single" w:sz="12" w:space="0" w:color="00000A"/>
              <w:right w:val="single" w:sz="12" w:space="0" w:color="00000A"/>
              <w:insideV w:val="single" w:sz="12" w:space="0" w:color="00000A"/>
            </w:tcBorders>
            <w:shd w:fill="auto" w:val="clear"/>
            <w:tcMar>
              <w:left w:w="98" w:type="dxa"/>
            </w:tcMar>
          </w:tcPr>
          <w:p>
            <w:pPr>
              <w:pStyle w:val="ListParagraph"/>
              <w:spacing w:lineRule="auto" w:line="360"/>
              <w:ind w:left="0" w:hanging="0"/>
              <w:jc w:val="both"/>
              <w:rPr>
                <w:rFonts w:ascii="Arial" w:hAnsi="Arial" w:cs="Arial"/>
                <w:sz w:val="20"/>
                <w:szCs w:val="20"/>
              </w:rPr>
            </w:pPr>
            <w:r>
              <w:rPr>
                <w:rFonts w:cs="Arial"/>
                <w:sz w:val="20"/>
                <w:szCs w:val="20"/>
              </w:rPr>
              <w:t>% Bed moisture</w:t>
            </w:r>
          </w:p>
        </w:tc>
        <w:tc>
          <w:tcPr>
            <w:tcW w:w="8087" w:type="dxa"/>
            <w:gridSpan w:val="15"/>
            <w:tcBorders>
              <w:top w:val="single" w:sz="12" w:space="0" w:color="00000A"/>
              <w:left w:val="single" w:sz="12" w:space="0" w:color="00000A"/>
              <w:bottom w:val="nil"/>
              <w:right w:val="single" w:sz="12" w:space="0" w:color="00000A"/>
              <w:insideH w:val="nil"/>
              <w:insideV w:val="single" w:sz="12" w:space="0" w:color="00000A"/>
            </w:tcBorders>
            <w:shd w:fill="auto" w:val="clear"/>
            <w:tcMar>
              <w:left w:w="98" w:type="dxa"/>
            </w:tcMar>
          </w:tcPr>
          <w:p>
            <w:pPr>
              <w:pStyle w:val="ListParagraph"/>
              <w:spacing w:lineRule="auto" w:line="360"/>
              <w:ind w:left="0" w:hanging="0"/>
              <w:jc w:val="both"/>
              <w:rPr>
                <w:rFonts w:ascii="Arial" w:hAnsi="Arial" w:cs="Arial"/>
                <w:sz w:val="20"/>
                <w:szCs w:val="20"/>
              </w:rPr>
            </w:pPr>
            <w:r>
              <w:rPr>
                <w:rFonts w:cs="Arial"/>
                <w:sz w:val="20"/>
                <w:szCs w:val="20"/>
              </w:rPr>
              <w:t>Percentage mean random vitrinite reflectance %RoVr</w:t>
            </w:r>
          </w:p>
        </w:tc>
      </w:tr>
      <w:tr>
        <w:trPr/>
        <w:tc>
          <w:tcPr>
            <w:tcW w:w="514" w:type="dxa"/>
            <w:tcBorders>
              <w:left w:val="single" w:sz="12" w:space="0" w:color="00000A"/>
              <w:bottom w:val="single" w:sz="12" w:space="0" w:color="00000A"/>
              <w:insideH w:val="single" w:sz="12" w:space="0" w:color="00000A"/>
            </w:tcBorders>
            <w:shd w:fill="auto" w:val="clear"/>
            <w:tcMar>
              <w:left w:w="98" w:type="dxa"/>
            </w:tcMar>
          </w:tcPr>
          <w:p>
            <w:pPr>
              <w:pStyle w:val="ListParagraph"/>
              <w:spacing w:lineRule="auto" w:line="360"/>
              <w:ind w:left="0" w:hanging="0"/>
              <w:jc w:val="both"/>
              <w:rPr>
                <w:rFonts w:ascii="Arial" w:hAnsi="Arial" w:cs="Arial"/>
                <w:b/>
                <w:b/>
                <w:sz w:val="16"/>
                <w:szCs w:val="16"/>
              </w:rPr>
            </w:pPr>
            <w:r>
              <w:rPr>
                <w:rFonts w:cs="Arial"/>
                <w:b/>
                <w:sz w:val="16"/>
                <w:szCs w:val="16"/>
              </w:rPr>
              <w:t>75</w:t>
            </w:r>
          </w:p>
        </w:tc>
        <w:tc>
          <w:tcPr>
            <w:tcW w:w="455" w:type="dxa"/>
            <w:gridSpan w:val="3"/>
            <w:tcBorders>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35</w:t>
            </w:r>
          </w:p>
        </w:tc>
        <w:tc>
          <w:tcPr>
            <w:tcW w:w="1517" w:type="dxa"/>
            <w:gridSpan w:val="2"/>
            <w:tcBorders>
              <w:top w:val="nil"/>
              <w:left w:val="single" w:sz="12" w:space="0" w:color="00000A"/>
              <w:bottom w:val="single" w:sz="12" w:space="0" w:color="00000A"/>
              <w:right w:val="single" w:sz="4" w:space="0" w:color="000001"/>
              <w:insideH w:val="single" w:sz="12" w:space="0" w:color="00000A"/>
              <w:insideV w:val="single" w:sz="4" w:space="0" w:color="000001"/>
            </w:tcBorders>
            <w:shd w:fill="auto" w:val="clear"/>
            <w:tcMar>
              <w:left w:w="98" w:type="dxa"/>
            </w:tcMar>
          </w:tcPr>
          <w:p>
            <w:pPr>
              <w:pStyle w:val="ListParagraph"/>
              <w:spacing w:lineRule="auto" w:line="360"/>
              <w:ind w:left="0" w:hanging="0"/>
              <w:jc w:val="both"/>
              <w:rPr>
                <w:rFonts w:ascii="Arial" w:hAnsi="Arial" w:cs="Arial"/>
                <w:b/>
                <w:b/>
                <w:sz w:val="16"/>
                <w:szCs w:val="16"/>
              </w:rPr>
            </w:pPr>
            <w:r>
              <w:rPr>
                <w:rFonts w:cs="Arial"/>
                <w:b/>
                <w:sz w:val="16"/>
                <w:szCs w:val="16"/>
              </w:rPr>
              <w:t>0.4 -</w:t>
            </w:r>
          </w:p>
        </w:tc>
        <w:tc>
          <w:tcPr>
            <w:tcW w:w="805"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0.5 -</w:t>
            </w:r>
          </w:p>
        </w:tc>
        <w:tc>
          <w:tcPr>
            <w:tcW w:w="914"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0.6 -</w:t>
            </w:r>
          </w:p>
        </w:tc>
        <w:tc>
          <w:tcPr>
            <w:tcW w:w="782"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1.0 -</w:t>
            </w:r>
          </w:p>
        </w:tc>
        <w:tc>
          <w:tcPr>
            <w:tcW w:w="854"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1.4 -</w:t>
            </w:r>
          </w:p>
        </w:tc>
        <w:tc>
          <w:tcPr>
            <w:tcW w:w="958"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2.0 -</w:t>
            </w:r>
          </w:p>
        </w:tc>
        <w:tc>
          <w:tcPr>
            <w:tcW w:w="1374" w:type="dxa"/>
            <w:gridSpan w:val="2"/>
            <w:tcBorders>
              <w:top w:val="nil"/>
              <w:left w:val="single" w:sz="4" w:space="0" w:color="000001"/>
              <w:bottom w:val="single" w:sz="12" w:space="0" w:color="00000A"/>
              <w:right w:val="single" w:sz="4" w:space="0" w:color="000001"/>
              <w:insideH w:val="single" w:sz="12" w:space="0" w:color="00000A"/>
              <w:insideV w:val="single" w:sz="4" w:space="0" w:color="000001"/>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3.0 -</w:t>
            </w:r>
          </w:p>
        </w:tc>
        <w:tc>
          <w:tcPr>
            <w:tcW w:w="883" w:type="dxa"/>
            <w:tcBorders>
              <w:top w:val="nil"/>
              <w:left w:val="single" w:sz="4" w:space="0" w:color="000001"/>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ListParagraph"/>
              <w:spacing w:lineRule="auto" w:line="360"/>
              <w:ind w:left="0" w:hanging="0"/>
              <w:jc w:val="both"/>
              <w:rPr>
                <w:rFonts w:ascii="Arial" w:hAnsi="Arial" w:cs="Arial"/>
                <w:b/>
                <w:b/>
                <w:sz w:val="16"/>
                <w:szCs w:val="16"/>
              </w:rPr>
            </w:pPr>
            <w:r>
              <w:rPr>
                <w:rFonts w:cs="Arial"/>
                <w:b/>
                <w:sz w:val="16"/>
                <w:szCs w:val="16"/>
              </w:rPr>
              <w:t>4.0  -       6.0</w:t>
            </w:r>
          </w:p>
        </w:tc>
      </w:tr>
      <w:tr>
        <w:trPr/>
        <w:tc>
          <w:tcPr>
            <w:tcW w:w="2485" w:type="dxa"/>
            <w:gridSpan w:val="5"/>
            <w:tcBorders>
              <w:top w:val="single" w:sz="12" w:space="0" w:color="00000A"/>
              <w:left w:val="single" w:sz="12" w:space="0" w:color="00000A"/>
            </w:tcBorders>
            <w:shd w:color="auto" w:fill="C6D9F1" w:themeFill="text2" w:themeFillTint="33" w:val="clear"/>
            <w:tcMar>
              <w:left w:w="98" w:type="dxa"/>
            </w:tcMar>
          </w:tcPr>
          <w:p>
            <w:pPr>
              <w:pStyle w:val="ListParagraph"/>
              <w:spacing w:lineRule="auto" w:line="360"/>
              <w:ind w:left="0" w:hanging="0"/>
              <w:jc w:val="center"/>
              <w:rPr>
                <w:rFonts w:ascii="Arial" w:hAnsi="Arial" w:cs="Arial"/>
                <w:sz w:val="20"/>
                <w:szCs w:val="20"/>
              </w:rPr>
            </w:pPr>
            <w:r>
              <w:rPr>
                <w:rFonts w:cs="Arial"/>
                <w:sz w:val="20"/>
                <w:szCs w:val="20"/>
              </w:rPr>
              <w:t>LOW-RANK</w:t>
            </w:r>
          </w:p>
        </w:tc>
        <w:tc>
          <w:tcPr>
            <w:tcW w:w="3355" w:type="dxa"/>
            <w:gridSpan w:val="8"/>
            <w:tcBorders>
              <w:top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MEDIUM-RANK</w:t>
            </w:r>
          </w:p>
        </w:tc>
        <w:tc>
          <w:tcPr>
            <w:tcW w:w="3216" w:type="dxa"/>
            <w:gridSpan w:val="6"/>
            <w:tcBorders>
              <w:top w:val="single" w:sz="12" w:space="0" w:color="00000A"/>
              <w:right w:val="single" w:sz="12" w:space="0" w:color="00000A"/>
              <w:insideV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HIGH-RANK</w:t>
            </w:r>
          </w:p>
        </w:tc>
      </w:tr>
      <w:tr>
        <w:trPr/>
        <w:tc>
          <w:tcPr>
            <w:tcW w:w="549" w:type="dxa"/>
            <w:gridSpan w:val="2"/>
            <w:tcBorders>
              <w:left w:val="single" w:sz="12" w:space="0" w:color="00000A"/>
              <w:bottom w:val="single" w:sz="12" w:space="0" w:color="00000A"/>
              <w:insideH w:val="single" w:sz="12" w:space="0" w:color="00000A"/>
            </w:tcBorders>
            <w:shd w:color="auto" w:fill="C6D9F1" w:themeFill="text2" w:themeFillTint="33" w:val="clear"/>
            <w:tcMar>
              <w:left w:w="98" w:type="dxa"/>
            </w:tcMar>
          </w:tcPr>
          <w:p>
            <w:pPr>
              <w:pStyle w:val="ListParagraph"/>
              <w:spacing w:lineRule="auto" w:line="360"/>
              <w:ind w:left="0" w:hanging="0"/>
              <w:jc w:val="center"/>
              <w:rPr>
                <w:rFonts w:ascii="Arial" w:hAnsi="Arial" w:cs="Arial"/>
                <w:sz w:val="20"/>
                <w:szCs w:val="20"/>
              </w:rPr>
            </w:pPr>
            <w:r>
              <w:rPr>
                <w:rFonts w:cs="Arial"/>
                <w:sz w:val="20"/>
                <w:szCs w:val="20"/>
              </w:rPr>
              <w:t>C</w:t>
            </w:r>
          </w:p>
        </w:tc>
        <w:tc>
          <w:tcPr>
            <w:tcW w:w="419" w:type="dxa"/>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B</w:t>
            </w:r>
          </w:p>
        </w:tc>
        <w:tc>
          <w:tcPr>
            <w:tcW w:w="1517"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A</w:t>
            </w:r>
          </w:p>
        </w:tc>
        <w:tc>
          <w:tcPr>
            <w:tcW w:w="805"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D</w:t>
            </w:r>
          </w:p>
        </w:tc>
        <w:tc>
          <w:tcPr>
            <w:tcW w:w="914"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C</w:t>
            </w:r>
          </w:p>
        </w:tc>
        <w:tc>
          <w:tcPr>
            <w:tcW w:w="782"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B</w:t>
            </w:r>
          </w:p>
        </w:tc>
        <w:tc>
          <w:tcPr>
            <w:tcW w:w="854"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A</w:t>
            </w:r>
          </w:p>
        </w:tc>
        <w:tc>
          <w:tcPr>
            <w:tcW w:w="958"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C</w:t>
            </w:r>
          </w:p>
        </w:tc>
        <w:tc>
          <w:tcPr>
            <w:tcW w:w="1374" w:type="dxa"/>
            <w:gridSpan w:val="2"/>
            <w:tcBorders>
              <w:bottom w:val="single" w:sz="12" w:space="0" w:color="00000A"/>
              <w:insideH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B</w:t>
            </w:r>
          </w:p>
        </w:tc>
        <w:tc>
          <w:tcPr>
            <w:tcW w:w="884" w:type="dxa"/>
            <w:gridSpan w:val="2"/>
            <w:tcBorders>
              <w:bottom w:val="single" w:sz="12" w:space="0" w:color="00000A"/>
              <w:right w:val="single" w:sz="12" w:space="0" w:color="00000A"/>
              <w:insideH w:val="single" w:sz="12" w:space="0" w:color="00000A"/>
              <w:insideV w:val="single" w:sz="12" w:space="0" w:color="00000A"/>
            </w:tcBorders>
            <w:shd w:color="auto" w:fill="C6D9F1" w:themeFill="tex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A</w:t>
            </w:r>
          </w:p>
        </w:tc>
      </w:tr>
      <w:tr>
        <w:trPr/>
        <w:tc>
          <w:tcPr>
            <w:tcW w:w="969" w:type="dxa"/>
            <w:gridSpan w:val="4"/>
            <w:tcBorders>
              <w:top w:val="single" w:sz="12" w:space="0" w:color="00000A"/>
              <w:left w:val="single" w:sz="12" w:space="0" w:color="00000A"/>
            </w:tcBorders>
            <w:shd w:color="auto" w:fill="F2DBDB" w:themeFill="accent2" w:themeFillTint="33" w:val="clear"/>
            <w:tcMar>
              <w:left w:w="98" w:type="dxa"/>
            </w:tcMar>
          </w:tcPr>
          <w:p>
            <w:pPr>
              <w:pStyle w:val="ListParagraph"/>
              <w:spacing w:lineRule="auto" w:line="360"/>
              <w:ind w:left="0" w:hanging="0"/>
              <w:jc w:val="center"/>
              <w:rPr>
                <w:rFonts w:ascii="Arial" w:hAnsi="Arial" w:cs="Arial"/>
                <w:sz w:val="20"/>
                <w:szCs w:val="20"/>
              </w:rPr>
            </w:pPr>
            <w:r>
              <w:rPr>
                <w:rFonts w:cs="Arial"/>
                <w:sz w:val="20"/>
                <w:szCs w:val="20"/>
              </w:rPr>
              <w:t>Lignite</w:t>
            </w:r>
          </w:p>
        </w:tc>
        <w:tc>
          <w:tcPr>
            <w:tcW w:w="1517" w:type="dxa"/>
            <w:gridSpan w:val="2"/>
            <w:tcBorders>
              <w:top w:val="single" w:sz="12" w:space="0" w:color="00000A"/>
            </w:tcBorders>
            <w:shd w:color="auto" w:fill="F2DBDB" w:themeFill="accen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 xml:space="preserve">Subbituminous </w:t>
            </w:r>
          </w:p>
        </w:tc>
        <w:tc>
          <w:tcPr>
            <w:tcW w:w="3355" w:type="dxa"/>
            <w:gridSpan w:val="8"/>
            <w:tcBorders>
              <w:top w:val="single" w:sz="12" w:space="0" w:color="00000A"/>
            </w:tcBorders>
            <w:shd w:color="auto" w:fill="F2DBDB" w:themeFill="accen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BITUMINOUS</w:t>
            </w:r>
          </w:p>
        </w:tc>
        <w:tc>
          <w:tcPr>
            <w:tcW w:w="3215" w:type="dxa"/>
            <w:gridSpan w:val="5"/>
            <w:tcBorders>
              <w:top w:val="single" w:sz="12" w:space="0" w:color="00000A"/>
              <w:right w:val="single" w:sz="12" w:space="0" w:color="00000A"/>
              <w:insideV w:val="single" w:sz="12" w:space="0" w:color="00000A"/>
            </w:tcBorders>
            <w:shd w:color="auto" w:fill="F2DBDB" w:themeFill="accent2" w:themeFillTint="33" w:val="clear"/>
            <w:tcMar>
              <w:left w:w="108" w:type="dxa"/>
            </w:tcMar>
          </w:tcPr>
          <w:p>
            <w:pPr>
              <w:pStyle w:val="ListParagraph"/>
              <w:spacing w:lineRule="auto" w:line="360"/>
              <w:ind w:left="0" w:hanging="0"/>
              <w:jc w:val="center"/>
              <w:rPr>
                <w:rFonts w:ascii="Arial" w:hAnsi="Arial" w:cs="Arial"/>
                <w:sz w:val="20"/>
                <w:szCs w:val="20"/>
              </w:rPr>
            </w:pPr>
            <w:r>
              <w:rPr>
                <w:rFonts w:cs="Arial"/>
                <w:sz w:val="20"/>
                <w:szCs w:val="20"/>
              </w:rPr>
              <w:t>ANTHRACITE</w:t>
            </w:r>
          </w:p>
        </w:tc>
      </w:tr>
      <w:tr>
        <w:trPr/>
        <w:tc>
          <w:tcPr>
            <w:tcW w:w="969" w:type="dxa"/>
            <w:gridSpan w:val="4"/>
            <w:tcBorders>
              <w:left w:val="single" w:sz="12" w:space="0" w:color="00000A"/>
              <w:bottom w:val="single" w:sz="12" w:space="0" w:color="00000A"/>
              <w:insideH w:val="single" w:sz="12" w:space="0" w:color="00000A"/>
            </w:tcBorders>
            <w:shd w:color="auto" w:fill="F2DBDB" w:themeFill="accent2" w:themeFillTint="33" w:val="clear"/>
            <w:tcMar>
              <w:left w:w="98" w:type="dxa"/>
            </w:tcMar>
          </w:tcPr>
          <w:p>
            <w:pPr>
              <w:pStyle w:val="ListParagraph"/>
              <w:spacing w:lineRule="auto" w:line="360"/>
              <w:ind w:left="0" w:hanging="0"/>
              <w:jc w:val="both"/>
              <w:rPr>
                <w:rFonts w:ascii="Arial" w:hAnsi="Arial" w:cs="Arial"/>
                <w:sz w:val="20"/>
                <w:szCs w:val="20"/>
              </w:rPr>
            </w:pPr>
            <w:r>
              <w:rPr>
                <w:rFonts w:cs="Arial"/>
                <w:sz w:val="20"/>
                <w:szCs w:val="20"/>
              </w:rPr>
            </w:r>
          </w:p>
        </w:tc>
        <w:tc>
          <w:tcPr>
            <w:tcW w:w="1517"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r>
          </w:p>
        </w:tc>
        <w:tc>
          <w:tcPr>
            <w:tcW w:w="805"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Para</w:t>
            </w:r>
          </w:p>
        </w:tc>
        <w:tc>
          <w:tcPr>
            <w:tcW w:w="914"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Ortho</w:t>
            </w:r>
          </w:p>
        </w:tc>
        <w:tc>
          <w:tcPr>
            <w:tcW w:w="782" w:type="dxa"/>
            <w:gridSpan w:val="2"/>
            <w:tcBorders>
              <w:bottom w:val="single" w:sz="12" w:space="0" w:color="00000A"/>
              <w:insideH w:val="single" w:sz="12" w:space="0" w:color="00000A"/>
            </w:tcBorders>
            <w:shd w:color="auto" w:fill="F2DBDB" w:themeFill="accent2" w:themeFillTint="33" w:val="clear"/>
            <w:tcMar>
              <w:left w:w="108" w:type="dxa"/>
            </w:tcMar>
          </w:tcPr>
          <w:p>
            <w:pPr>
              <w:pStyle w:val="Normal"/>
              <w:spacing w:lineRule="auto" w:line="360"/>
              <w:jc w:val="both"/>
              <w:rPr>
                <w:rFonts w:ascii="Arial" w:hAnsi="Arial" w:cs="Arial"/>
                <w:sz w:val="20"/>
                <w:szCs w:val="20"/>
              </w:rPr>
            </w:pPr>
            <w:r>
              <w:rPr>
                <w:rFonts w:cs="Arial"/>
                <w:sz w:val="20"/>
                <w:szCs w:val="20"/>
              </w:rPr>
              <w:t>Meta</w:t>
            </w:r>
          </w:p>
        </w:tc>
        <w:tc>
          <w:tcPr>
            <w:tcW w:w="854"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Per</w:t>
            </w:r>
          </w:p>
        </w:tc>
        <w:tc>
          <w:tcPr>
            <w:tcW w:w="958"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Para</w:t>
            </w:r>
          </w:p>
        </w:tc>
        <w:tc>
          <w:tcPr>
            <w:tcW w:w="1374" w:type="dxa"/>
            <w:gridSpan w:val="2"/>
            <w:tcBorders>
              <w:bottom w:val="single" w:sz="12" w:space="0" w:color="00000A"/>
              <w:insideH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Ortho</w:t>
            </w:r>
          </w:p>
        </w:tc>
        <w:tc>
          <w:tcPr>
            <w:tcW w:w="883" w:type="dxa"/>
            <w:tcBorders>
              <w:bottom w:val="single" w:sz="12" w:space="0" w:color="00000A"/>
              <w:right w:val="single" w:sz="12" w:space="0" w:color="00000A"/>
              <w:insideH w:val="single" w:sz="12" w:space="0" w:color="00000A"/>
              <w:insideV w:val="single" w:sz="12" w:space="0" w:color="00000A"/>
            </w:tcBorders>
            <w:shd w:color="auto" w:fill="F2DBDB" w:themeFill="accent2" w:themeFillTint="33"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Meta</w:t>
            </w:r>
          </w:p>
        </w:tc>
      </w:tr>
      <w:tr>
        <w:trPr/>
        <w:tc>
          <w:tcPr>
            <w:tcW w:w="969" w:type="dxa"/>
            <w:gridSpan w:val="4"/>
            <w:tcBorders>
              <w:top w:val="single" w:sz="12" w:space="0" w:color="00000A"/>
              <w:left w:val="single" w:sz="12" w:space="0" w:color="00000A"/>
              <w:bottom w:val="single" w:sz="12" w:space="0" w:color="00000A"/>
              <w:insideH w:val="single" w:sz="12" w:space="0" w:color="00000A"/>
            </w:tcBorders>
            <w:shd w:color="auto" w:fill="BFBFBF" w:themeFill="background1" w:themeFillShade="bf" w:val="clear"/>
            <w:tcMar>
              <w:left w:w="98" w:type="dxa"/>
            </w:tcMar>
          </w:tcPr>
          <w:p>
            <w:pPr>
              <w:pStyle w:val="ListParagraph"/>
              <w:spacing w:lineRule="auto" w:line="360"/>
              <w:ind w:left="0" w:hanging="0"/>
              <w:jc w:val="both"/>
              <w:rPr>
                <w:rFonts w:ascii="Arial" w:hAnsi="Arial" w:cs="Arial"/>
                <w:sz w:val="18"/>
                <w:szCs w:val="18"/>
              </w:rPr>
            </w:pPr>
            <w:r>
              <w:rPr>
                <w:rFonts w:cs="Arial"/>
                <w:sz w:val="18"/>
                <w:szCs w:val="18"/>
              </w:rPr>
              <w:t>Vitrinite is dark grey</w:t>
            </w:r>
          </w:p>
        </w:tc>
        <w:tc>
          <w:tcPr>
            <w:tcW w:w="1517"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spacing w:lineRule="auto" w:line="360"/>
              <w:ind w:left="0" w:hanging="0"/>
              <w:jc w:val="both"/>
              <w:rPr>
                <w:rFonts w:ascii="Arial" w:hAnsi="Arial" w:cs="Arial"/>
                <w:sz w:val="18"/>
                <w:szCs w:val="18"/>
              </w:rPr>
            </w:pPr>
            <w:r>
              <w:rPr>
                <w:rFonts w:cs="Arial"/>
                <w:sz w:val="18"/>
                <w:szCs w:val="18"/>
              </w:rPr>
              <w:t>Vitrinite is dark grey</w:t>
            </w:r>
          </w:p>
        </w:tc>
        <w:tc>
          <w:tcPr>
            <w:tcW w:w="805"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ind w:left="0" w:hanging="0"/>
              <w:jc w:val="both"/>
              <w:rPr>
                <w:rFonts w:ascii="Arial" w:hAnsi="Arial" w:cs="Arial"/>
                <w:sz w:val="18"/>
                <w:szCs w:val="18"/>
              </w:rPr>
            </w:pPr>
            <w:r>
              <w:rPr>
                <w:rFonts w:cs="Arial"/>
                <w:sz w:val="18"/>
                <w:szCs w:val="18"/>
              </w:rPr>
              <w:t>Vitrinite is a slightly lighter grey</w:t>
            </w:r>
          </w:p>
        </w:tc>
        <w:tc>
          <w:tcPr>
            <w:tcW w:w="914"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spacing w:lineRule="auto" w:line="360"/>
              <w:ind w:left="0" w:hanging="0"/>
              <w:jc w:val="both"/>
              <w:rPr>
                <w:rFonts w:ascii="Arial" w:hAnsi="Arial" w:cs="Arial"/>
                <w:sz w:val="18"/>
                <w:szCs w:val="18"/>
              </w:rPr>
            </w:pPr>
            <w:r>
              <w:rPr>
                <w:rFonts w:cs="Arial"/>
                <w:sz w:val="18"/>
                <w:szCs w:val="18"/>
              </w:rPr>
              <w:t>Vitrinite medium grey</w:t>
            </w:r>
          </w:p>
        </w:tc>
        <w:tc>
          <w:tcPr>
            <w:tcW w:w="782"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Normal"/>
              <w:spacing w:lineRule="auto" w:line="360"/>
              <w:jc w:val="both"/>
              <w:rPr>
                <w:rFonts w:ascii="Arial" w:hAnsi="Arial" w:cs="Arial"/>
                <w:sz w:val="18"/>
                <w:szCs w:val="18"/>
              </w:rPr>
            </w:pPr>
            <w:r>
              <w:rPr>
                <w:rFonts w:cs="Arial"/>
                <w:sz w:val="18"/>
                <w:szCs w:val="18"/>
              </w:rPr>
            </w:r>
          </w:p>
        </w:tc>
        <w:tc>
          <w:tcPr>
            <w:tcW w:w="854"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ind w:left="0" w:hanging="0"/>
              <w:jc w:val="both"/>
              <w:rPr>
                <w:rFonts w:ascii="Arial" w:hAnsi="Arial" w:cs="Arial"/>
                <w:sz w:val="18"/>
                <w:szCs w:val="18"/>
              </w:rPr>
            </w:pPr>
            <w:r>
              <w:rPr>
                <w:rFonts w:cs="Arial"/>
                <w:sz w:val="18"/>
                <w:szCs w:val="18"/>
              </w:rPr>
              <w:t>Vitrinite appears light grey</w:t>
            </w:r>
          </w:p>
        </w:tc>
        <w:tc>
          <w:tcPr>
            <w:tcW w:w="958"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spacing w:lineRule="auto" w:line="360"/>
              <w:ind w:left="0" w:hanging="0"/>
              <w:jc w:val="both"/>
              <w:rPr>
                <w:rFonts w:ascii="Arial" w:hAnsi="Arial" w:cs="Arial"/>
                <w:sz w:val="18"/>
                <w:szCs w:val="18"/>
              </w:rPr>
            </w:pPr>
            <w:r>
              <w:rPr>
                <w:rFonts w:cs="Arial"/>
                <w:sz w:val="18"/>
                <w:szCs w:val="18"/>
              </w:rPr>
              <w:t>Vitrinite appears white</w:t>
            </w:r>
          </w:p>
        </w:tc>
        <w:tc>
          <w:tcPr>
            <w:tcW w:w="1374" w:type="dxa"/>
            <w:gridSpan w:val="2"/>
            <w:tcBorders>
              <w:top w:val="single" w:sz="12" w:space="0" w:color="00000A"/>
              <w:bottom w:val="single" w:sz="12" w:space="0" w:color="00000A"/>
              <w:insideH w:val="single" w:sz="12" w:space="0" w:color="00000A"/>
            </w:tcBorders>
            <w:shd w:color="auto" w:fill="BFBFBF" w:themeFill="background1" w:themeFillShade="bf" w:val="clear"/>
            <w:tcMar>
              <w:left w:w="108" w:type="dxa"/>
            </w:tcMar>
          </w:tcPr>
          <w:p>
            <w:pPr>
              <w:pStyle w:val="ListParagraph"/>
              <w:spacing w:lineRule="auto" w:line="360"/>
              <w:ind w:left="0" w:hanging="0"/>
              <w:jc w:val="both"/>
              <w:rPr>
                <w:rFonts w:ascii="Arial" w:hAnsi="Arial" w:cs="Arial"/>
                <w:sz w:val="18"/>
                <w:szCs w:val="18"/>
              </w:rPr>
            </w:pPr>
            <w:r>
              <w:rPr>
                <w:rFonts w:cs="Arial"/>
                <w:sz w:val="18"/>
                <w:szCs w:val="18"/>
              </w:rPr>
            </w:r>
          </w:p>
        </w:tc>
        <w:tc>
          <w:tcPr>
            <w:tcW w:w="883" w:type="dxa"/>
            <w:tcBorders>
              <w:top w:val="single" w:sz="12" w:space="0" w:color="00000A"/>
              <w:bottom w:val="single" w:sz="12" w:space="0" w:color="00000A"/>
              <w:right w:val="single" w:sz="12" w:space="0" w:color="00000A"/>
              <w:insideH w:val="single" w:sz="12" w:space="0" w:color="00000A"/>
              <w:insideV w:val="single" w:sz="12" w:space="0" w:color="00000A"/>
            </w:tcBorders>
            <w:shd w:color="auto" w:fill="BFBFBF" w:themeFill="background1" w:themeFillShade="bf" w:val="clear"/>
            <w:tcMar>
              <w:left w:w="108" w:type="dxa"/>
            </w:tcMar>
          </w:tcPr>
          <w:p>
            <w:pPr>
              <w:pStyle w:val="ListParagraph"/>
              <w:ind w:left="0" w:hanging="0"/>
              <w:jc w:val="both"/>
              <w:rPr>
                <w:rFonts w:ascii="Arial" w:hAnsi="Arial" w:cs="Arial"/>
                <w:sz w:val="18"/>
                <w:szCs w:val="18"/>
              </w:rPr>
            </w:pPr>
            <w:r>
              <w:rPr>
                <w:rFonts w:cs="Arial"/>
                <w:sz w:val="18"/>
                <w:szCs w:val="18"/>
              </w:rPr>
              <w:t>Vitrinite is whiter than inertinite</w:t>
            </w:r>
          </w:p>
        </w:tc>
      </w:tr>
      <w:tr>
        <w:trPr/>
        <w:tc>
          <w:tcPr>
            <w:tcW w:w="969" w:type="dxa"/>
            <w:gridSpan w:val="4"/>
            <w:tcBorders>
              <w:top w:val="single" w:sz="12" w:space="0" w:color="00000A"/>
              <w:left w:val="single" w:sz="12" w:space="0" w:color="00000A"/>
              <w:bottom w:val="single" w:sz="12" w:space="0" w:color="00000A"/>
              <w:insideH w:val="single" w:sz="12" w:space="0" w:color="00000A"/>
            </w:tcBorders>
            <w:shd w:fill="auto" w:val="clear"/>
            <w:tcMar>
              <w:left w:w="98" w:type="dxa"/>
            </w:tcMar>
          </w:tcPr>
          <w:p>
            <w:pPr>
              <w:pStyle w:val="ListParagraph"/>
              <w:spacing w:lineRule="auto" w:line="360"/>
              <w:ind w:left="0" w:hanging="0"/>
              <w:jc w:val="both"/>
              <w:rPr>
                <w:rFonts w:ascii="Arial" w:hAnsi="Arial" w:cs="Arial"/>
                <w:sz w:val="20"/>
                <w:szCs w:val="20"/>
              </w:rPr>
            </w:pPr>
            <w:r>
              <w:rPr>
                <w:rFonts w:cs="Arial"/>
                <w:sz w:val="20"/>
                <w:szCs w:val="20"/>
              </w:rPr>
              <w:t>steam</w:t>
            </w:r>
          </w:p>
        </w:tc>
        <w:tc>
          <w:tcPr>
            <w:tcW w:w="1517"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steam</w:t>
            </w:r>
          </w:p>
        </w:tc>
        <w:tc>
          <w:tcPr>
            <w:tcW w:w="805"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steam</w:t>
            </w:r>
          </w:p>
        </w:tc>
        <w:tc>
          <w:tcPr>
            <w:tcW w:w="914"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PCI/soft coking</w:t>
            </w:r>
          </w:p>
        </w:tc>
        <w:tc>
          <w:tcPr>
            <w:tcW w:w="782" w:type="dxa"/>
            <w:gridSpan w:val="2"/>
            <w:tcBorders>
              <w:top w:val="single" w:sz="12" w:space="0" w:color="00000A"/>
              <w:bottom w:val="single" w:sz="12" w:space="0" w:color="00000A"/>
              <w:insideH w:val="single" w:sz="12" w:space="0" w:color="00000A"/>
            </w:tcBorders>
            <w:shd w:fill="auto" w:val="clear"/>
            <w:tcMar>
              <w:left w:w="108" w:type="dxa"/>
            </w:tcMar>
          </w:tcPr>
          <w:p>
            <w:pPr>
              <w:pStyle w:val="Normal"/>
              <w:spacing w:lineRule="auto" w:line="360"/>
              <w:jc w:val="both"/>
              <w:rPr>
                <w:rFonts w:ascii="Arial" w:hAnsi="Arial" w:cs="Arial"/>
                <w:sz w:val="20"/>
                <w:szCs w:val="20"/>
              </w:rPr>
            </w:pPr>
            <w:r>
              <w:rPr>
                <w:rFonts w:cs="Arial"/>
                <w:sz w:val="20"/>
                <w:szCs w:val="20"/>
              </w:rPr>
              <w:t>Prime coking</w:t>
            </w:r>
          </w:p>
        </w:tc>
        <w:tc>
          <w:tcPr>
            <w:tcW w:w="854"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Blend LV/PCI</w:t>
            </w:r>
          </w:p>
        </w:tc>
        <w:tc>
          <w:tcPr>
            <w:tcW w:w="958"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Possible PCI</w:t>
            </w:r>
          </w:p>
        </w:tc>
        <w:tc>
          <w:tcPr>
            <w:tcW w:w="1374" w:type="dxa"/>
            <w:gridSpan w:val="2"/>
            <w:tcBorders>
              <w:top w:val="single" w:sz="12" w:space="0" w:color="00000A"/>
              <w:bottom w:val="single" w:sz="12" w:space="0" w:color="00000A"/>
              <w:insideH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t>Graphitizable carbon</w:t>
            </w:r>
          </w:p>
        </w:tc>
        <w:tc>
          <w:tcPr>
            <w:tcW w:w="883" w:type="dxa"/>
            <w:tcBorders>
              <w:top w:val="single" w:sz="12" w:space="0" w:color="00000A"/>
              <w:bottom w:val="single" w:sz="12" w:space="0" w:color="00000A"/>
              <w:right w:val="single" w:sz="12" w:space="0" w:color="00000A"/>
              <w:insideH w:val="single" w:sz="12" w:space="0" w:color="00000A"/>
              <w:insideV w:val="single" w:sz="12" w:space="0" w:color="00000A"/>
            </w:tcBorders>
            <w:shd w:fill="auto" w:val="clear"/>
            <w:tcMar>
              <w:left w:w="108" w:type="dxa"/>
            </w:tcMar>
          </w:tcPr>
          <w:p>
            <w:pPr>
              <w:pStyle w:val="ListParagraph"/>
              <w:spacing w:lineRule="auto" w:line="360"/>
              <w:ind w:left="0" w:hanging="0"/>
              <w:jc w:val="both"/>
              <w:rPr>
                <w:rFonts w:ascii="Arial" w:hAnsi="Arial" w:cs="Arial"/>
                <w:sz w:val="20"/>
                <w:szCs w:val="20"/>
              </w:rPr>
            </w:pPr>
            <w:r>
              <w:rPr>
                <w:rFonts w:cs="Arial"/>
                <w:sz w:val="20"/>
                <w:szCs w:val="20"/>
              </w:rPr>
            </w:r>
          </w:p>
        </w:tc>
      </w:tr>
    </w:tbl>
    <w:p>
      <w:pPr>
        <w:pStyle w:val="ListParagraph"/>
        <w:spacing w:lineRule="auto" w:line="360"/>
        <w:ind w:left="426" w:hanging="0"/>
        <w:jc w:val="both"/>
        <w:rPr>
          <w:rFonts w:ascii="Arial" w:hAnsi="Arial" w:cs="Arial"/>
          <w:sz w:val="20"/>
          <w:szCs w:val="20"/>
        </w:rPr>
      </w:pPr>
      <w:r>
        <w:rPr>
          <w:rFonts w:cs="Arial"/>
          <w:sz w:val="20"/>
          <w:szCs w:val="20"/>
        </w:rPr>
      </w:r>
    </w:p>
    <w:p>
      <w:pPr>
        <w:pStyle w:val="ListParagraph"/>
        <w:ind w:left="0" w:hanging="0"/>
        <w:jc w:val="both"/>
        <w:rPr>
          <w:rFonts w:ascii="Calibri" w:hAnsi="Calibri" w:cs="Arial"/>
        </w:rPr>
      </w:pPr>
      <w:r>
        <w:rPr>
          <w:rFonts w:cs="Arial" w:ascii="Calibri" w:hAnsi="Calibri"/>
        </w:rPr>
        <w:t>Vitrinite reflectance V-classes are occasionally reported in the metallurgical assessment of coals. The V-classes correspond to 0.5 % reflectance value categories, commencing at V1. The number of counts occurring in each V-class are recorded. The V-class quantification system is comparable to the bars in reflectance histograms.</w:t>
      </w:r>
    </w:p>
    <w:p>
      <w:pPr>
        <w:pStyle w:val="ListParagraph"/>
        <w:ind w:left="0" w:hanging="0"/>
        <w:jc w:val="both"/>
        <w:rPr>
          <w:rFonts w:ascii="Arial" w:hAnsi="Arial" w:cs="Arial"/>
          <w:sz w:val="20"/>
          <w:szCs w:val="20"/>
        </w:rPr>
      </w:pPr>
      <w:r>
        <w:rPr>
          <w:rFonts w:cs="Arial"/>
          <w:sz w:val="20"/>
          <w:szCs w:val="20"/>
        </w:rPr>
      </w:r>
    </w:p>
    <w:p>
      <w:pPr>
        <w:pStyle w:val="ListParagraph"/>
        <w:ind w:left="0" w:hanging="0"/>
        <w:jc w:val="both"/>
        <w:rPr>
          <w:rFonts w:ascii="Calibri" w:hAnsi="Calibri" w:cs="Arial"/>
        </w:rPr>
      </w:pPr>
      <w:r>
        <w:rPr>
          <w:rFonts w:cs="Arial" w:ascii="Calibri" w:hAnsi="Calibri"/>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r>
        <w:rPr>
          <w:rFonts w:cs="Arial" w:ascii="Calibri" w:hAnsi="Calibri"/>
          <w:i/>
        </w:rPr>
        <w:t>et al</w:t>
      </w:r>
      <w:r>
        <w:rPr>
          <w:rFonts w:cs="Arial" w:ascii="Calibri" w:hAnsi="Calibri"/>
        </w:rPr>
        <w:t>., 2015; Hackley and Cardott, 2016).   The data is then used to indicate likely areas of good hydrocarbon yield relative to other areas, or depths of limited or no yield.  ASTM standard D7708-14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ListParagraph"/>
        <w:ind w:left="0" w:hanging="0"/>
        <w:jc w:val="both"/>
        <w:rPr>
          <w:rFonts w:ascii="Calibri" w:hAnsi="Calibri" w:cs="Arial"/>
        </w:rPr>
      </w:pPr>
      <w:r>
        <w:rPr>
          <w:rFonts w:cs="Arial" w:ascii="Calibri" w:hAnsi="Calibri"/>
        </w:rPr>
      </w:r>
    </w:p>
    <w:p>
      <w:pPr>
        <w:pStyle w:val="ListParagraph"/>
        <w:numPr>
          <w:ilvl w:val="0"/>
          <w:numId w:val="10"/>
        </w:numPr>
        <w:ind w:left="567" w:hanging="0"/>
        <w:rPr>
          <w:rFonts w:ascii="Calibri" w:hAnsi="Calibri" w:cs="Arial"/>
        </w:rPr>
      </w:pPr>
      <w:r>
        <w:rPr>
          <w:rFonts w:cs="Arial" w:ascii="Calibri" w:hAnsi="Calibri"/>
        </w:rPr>
        <w:t xml:space="preserve"> </w:t>
      </w:r>
      <w:r>
        <w:rPr>
          <w:rFonts w:cs="Arial" w:ascii="Calibri" w:hAnsi="Calibri"/>
        </w:rPr>
        <w:t>Immature - random reflectance less than or equal to 0.5%;</w:t>
      </w:r>
    </w:p>
    <w:p>
      <w:pPr>
        <w:pStyle w:val="ListParagraph"/>
        <w:numPr>
          <w:ilvl w:val="0"/>
          <w:numId w:val="10"/>
        </w:numPr>
        <w:ind w:left="567" w:hanging="0"/>
        <w:rPr>
          <w:rFonts w:ascii="Calibri" w:hAnsi="Calibri" w:cs="Arial"/>
        </w:rPr>
      </w:pPr>
      <w:r>
        <w:rPr>
          <w:rFonts w:cs="Arial" w:ascii="Calibri" w:hAnsi="Calibri"/>
        </w:rPr>
        <w:t>Mature - random reflectance between 0.5 – 1.35%;</w:t>
      </w:r>
    </w:p>
    <w:p>
      <w:pPr>
        <w:pStyle w:val="ListParagraph"/>
        <w:numPr>
          <w:ilvl w:val="0"/>
          <w:numId w:val="10"/>
        </w:numPr>
        <w:ind w:left="567" w:hanging="0"/>
        <w:rPr>
          <w:rFonts w:ascii="Calibri" w:hAnsi="Calibri" w:cs="Arial"/>
        </w:rPr>
      </w:pPr>
      <w:r>
        <w:rPr>
          <w:rFonts w:cs="Arial" w:ascii="Calibri" w:hAnsi="Calibri"/>
        </w:rPr>
        <w:t>Over mature - random reflectance greater than 1.35%.</w:t>
      </w:r>
    </w:p>
    <w:p>
      <w:pPr>
        <w:pStyle w:val="ListParagraph"/>
        <w:ind w:left="0" w:hanging="0"/>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 xml:space="preserve">Typically 20 – 30 measurements should be obtained on sediment samples containing organic matter; it can be difficult to locate and accurately identify the organic matter, and non-compliant analyses can be reported (&lt;20 measurements).  As with routine vitrinite reflectance analysis, the mean and standard deviation values are calculated. Samples may contain two vitrinite populations, generally with the lower one representing the true maturation level; the higher values may be representative of reworked vitrinite (Bustin </w:t>
      </w:r>
      <w:r>
        <w:rPr>
          <w:rFonts w:cs="Arial" w:ascii="Calibri" w:hAnsi="Calibri"/>
          <w:i/>
        </w:rPr>
        <w:t>et al.</w:t>
      </w:r>
      <w:r>
        <w:rPr>
          <w:rFonts w:cs="Arial" w:ascii="Calibri" w:hAnsi="Calibri"/>
        </w:rPr>
        <w:t>, 1983). However, oxidation can also lower the reflectance readings where the samples have been obtained from an outcrop.</w:t>
      </w:r>
    </w:p>
    <w:p>
      <w:pPr>
        <w:pStyle w:val="ListParagraph"/>
        <w:ind w:left="0" w:hanging="0"/>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w:t>
      </w:r>
      <w:r>
        <w:rPr>
          <w:rFonts w:ascii="Calibri" w:hAnsi="Calibri"/>
        </w:rPr>
        <w:t>D7708-14</w:t>
      </w:r>
      <w:r>
        <w:rPr>
          <w:rFonts w:cs="Arial" w:ascii="Calibri" w:hAnsi="Calibri"/>
        </w:rPr>
        <w:t xml:space="preserve">,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must be recommended that the particles showing vitrinite suppression are eliminated from the mean value, but their occurrence must be noted. </w:t>
      </w:r>
    </w:p>
    <w:p>
      <w:pPr>
        <w:pStyle w:val="ListParagraph"/>
        <w:ind w:left="0" w:hanging="0"/>
        <w:jc w:val="both"/>
        <w:rPr>
          <w:rFonts w:ascii="Calibri" w:hAnsi="Calibri" w:cs="Arial"/>
        </w:rPr>
      </w:pPr>
      <w:r>
        <w:rPr>
          <w:rFonts w:cs="Arial" w:ascii="Calibri" w:hAnsi="Calibri"/>
        </w:rPr>
      </w:r>
    </w:p>
    <w:p>
      <w:pPr>
        <w:pStyle w:val="ListParagraph"/>
        <w:ind w:left="0" w:hanging="0"/>
        <w:jc w:val="both"/>
        <w:rPr>
          <w:rFonts w:ascii="Calibri" w:hAnsi="Calibri" w:cs="Arial"/>
        </w:rPr>
      </w:pPr>
      <w:r>
        <w:rPr>
          <w:rFonts w:cs="Arial" w:ascii="Calibri" w:hAnsi="Calibri"/>
        </w:rPr>
        <w:t xml:space="preserve">The ICCP offers a training course in dispersed organic matter, as well as a training module with blocks available for purchase, as well as ICCP accreditation on the determination of vitrinite reflectance on dispersed organic matter. Rego Menezes </w:t>
      </w:r>
      <w:r>
        <w:rPr>
          <w:rFonts w:cs="Arial" w:ascii="Calibri" w:hAnsi="Calibri"/>
          <w:i/>
        </w:rPr>
        <w:t>et al.</w:t>
      </w:r>
      <w:r>
        <w:rPr>
          <w:rFonts w:cs="Arial" w:ascii="Calibri" w:hAnsi="Calibri"/>
        </w:rPr>
        <w:t xml:space="preserve"> (2015) considered the standardization of reflectance measurements on dispersed organic matter between laboratories.</w:t>
      </w:r>
    </w:p>
    <w:p>
      <w:pPr>
        <w:pStyle w:val="Normal"/>
        <w:spacing w:lineRule="auto" w:line="360"/>
        <w:rPr>
          <w:rFonts w:ascii="Arial" w:hAnsi="Arial" w:cs="Arial"/>
          <w:sz w:val="20"/>
          <w:szCs w:val="20"/>
        </w:rPr>
      </w:pPr>
      <w:r>
        <w:rPr>
          <w:rFonts w:cs="Arial"/>
          <w:sz w:val="20"/>
          <w:szCs w:val="20"/>
        </w:rPr>
      </w:r>
    </w:p>
    <w:p>
      <w:pPr>
        <w:pStyle w:val="Heading4"/>
        <w:numPr>
          <w:ilvl w:val="3"/>
          <w:numId w:val="5"/>
        </w:numPr>
        <w:ind w:left="851" w:hanging="851"/>
        <w:rPr>
          <w:rFonts w:ascii="Calibri" w:hAnsi="Calibri"/>
        </w:rPr>
      </w:pPr>
      <w:bookmarkStart w:id="42" w:name="_Toc485644682"/>
      <w:bookmarkEnd w:id="42"/>
      <w:r>
        <w:rPr>
          <w:rFonts w:ascii="Calibri" w:hAnsi="Calibri"/>
        </w:rPr>
        <w:t>Non standardised petrographic techniques</w:t>
      </w:r>
    </w:p>
    <w:p>
      <w:pPr>
        <w:pStyle w:val="Normal"/>
        <w:spacing w:lineRule="auto" w:line="360"/>
        <w:rPr>
          <w:rFonts w:ascii="Arial" w:hAnsi="Arial" w:cs="Arial"/>
          <w:color w:val="FF0000"/>
          <w:sz w:val="20"/>
          <w:szCs w:val="20"/>
        </w:rPr>
      </w:pPr>
      <w:r>
        <w:rPr>
          <w:rFonts w:cs="Arial"/>
          <w:color w:val="FF0000"/>
          <w:sz w:val="20"/>
          <w:szCs w:val="20"/>
        </w:rPr>
      </w:r>
    </w:p>
    <w:p>
      <w:pPr>
        <w:pStyle w:val="Normal"/>
        <w:rPr>
          <w:rFonts w:ascii="Calibri" w:hAnsi="Calibri" w:cs="Arial"/>
        </w:rPr>
      </w:pPr>
      <w:r>
        <w:rPr>
          <w:rFonts w:cs="Arial" w:ascii="Calibri" w:hAnsi="Calibri"/>
        </w:rPr>
        <w:t>In efforts to enhance the available information obtainable by coal petrography, petrographers globally have devised various analytical schemes. These include, but are not limited to:</w:t>
      </w:r>
    </w:p>
    <w:p>
      <w:pPr>
        <w:pStyle w:val="Normal"/>
        <w:rPr>
          <w:rFonts w:ascii="Calibri" w:hAnsi="Calibri" w:cs="Arial"/>
        </w:rPr>
      </w:pPr>
      <w:r>
        <w:rPr>
          <w:rFonts w:cs="Arial" w:ascii="Calibri" w:hAnsi="Calibri"/>
        </w:rPr>
      </w:r>
    </w:p>
    <w:p>
      <w:pPr>
        <w:pStyle w:val="ListParagraph"/>
        <w:numPr>
          <w:ilvl w:val="0"/>
          <w:numId w:val="7"/>
        </w:numPr>
        <w:rPr>
          <w:rFonts w:ascii="Calibri" w:hAnsi="Calibri" w:cs="Arial"/>
        </w:rPr>
      </w:pPr>
      <w:r>
        <w:rPr>
          <w:rFonts w:cs="Arial" w:ascii="Calibri" w:hAnsi="Calibri"/>
        </w:rPr>
        <w:t xml:space="preserve">Abnormal condition / oxidation analysis  </w:t>
      </w:r>
    </w:p>
    <w:p>
      <w:pPr>
        <w:pStyle w:val="ListParagraph"/>
        <w:numPr>
          <w:ilvl w:val="0"/>
          <w:numId w:val="7"/>
        </w:numPr>
        <w:rPr>
          <w:rFonts w:ascii="Calibri" w:hAnsi="Calibri" w:cs="Arial"/>
        </w:rPr>
      </w:pPr>
      <w:r>
        <w:rPr>
          <w:rFonts w:cs="Arial" w:ascii="Calibri" w:hAnsi="Calibri"/>
        </w:rPr>
        <w:t>Mineral group analysis</w:t>
      </w:r>
    </w:p>
    <w:p>
      <w:pPr>
        <w:pStyle w:val="ListParagraph"/>
        <w:numPr>
          <w:ilvl w:val="0"/>
          <w:numId w:val="7"/>
        </w:numPr>
        <w:rPr>
          <w:rFonts w:ascii="Calibri" w:hAnsi="Calibri" w:cs="Arial"/>
        </w:rPr>
      </w:pPr>
      <w:r>
        <w:rPr>
          <w:rFonts w:cs="Arial" w:ascii="Calibri" w:hAnsi="Calibri"/>
        </w:rPr>
        <w:t>Coal Char petrography</w:t>
      </w:r>
    </w:p>
    <w:p>
      <w:pPr>
        <w:pStyle w:val="ListParagraph"/>
        <w:numPr>
          <w:ilvl w:val="0"/>
          <w:numId w:val="7"/>
        </w:numPr>
        <w:rPr>
          <w:rFonts w:ascii="Calibri" w:hAnsi="Calibri" w:cs="Arial"/>
        </w:rPr>
      </w:pPr>
      <w:r>
        <w:rPr>
          <w:rFonts w:cs="Arial" w:ascii="Calibri" w:hAnsi="Calibri"/>
        </w:rPr>
        <w:t>Coke petrography</w:t>
      </w:r>
    </w:p>
    <w:p>
      <w:pPr>
        <w:pStyle w:val="ListParagraph"/>
        <w:numPr>
          <w:ilvl w:val="0"/>
          <w:numId w:val="7"/>
        </w:numPr>
        <w:rPr>
          <w:rFonts w:ascii="Calibri" w:hAnsi="Calibri" w:cs="Arial"/>
        </w:rPr>
      </w:pPr>
      <w:r>
        <w:rPr>
          <w:rFonts w:cs="Arial" w:ascii="Calibri" w:hAnsi="Calibri"/>
        </w:rPr>
        <w:t>Fly ash and unburnt carbon petrography</w:t>
      </w:r>
    </w:p>
    <w:p>
      <w:pPr>
        <w:pStyle w:val="ListParagraph"/>
        <w:numPr>
          <w:ilvl w:val="0"/>
          <w:numId w:val="7"/>
        </w:numPr>
        <w:rPr>
          <w:rFonts w:ascii="Calibri" w:hAnsi="Calibri" w:cs="Arial"/>
        </w:rPr>
      </w:pPr>
      <w:r>
        <w:rPr>
          <w:rFonts w:cs="Arial" w:ascii="Calibri" w:hAnsi="Calibri"/>
        </w:rPr>
        <w:t>Thermal maturity determination on dispersed organic matter petrography using vitrinite reflectance</w:t>
      </w:r>
    </w:p>
    <w:p>
      <w:pPr>
        <w:pStyle w:val="ListParagraph"/>
        <w:numPr>
          <w:ilvl w:val="0"/>
          <w:numId w:val="7"/>
        </w:numPr>
        <w:rPr>
          <w:rFonts w:ascii="Calibri" w:hAnsi="Calibri" w:cs="Arial"/>
        </w:rPr>
      </w:pPr>
      <w:r>
        <w:rPr>
          <w:rFonts w:cs="Arial" w:ascii="Calibri" w:hAnsi="Calibri"/>
        </w:rPr>
        <w:t>Determination of facies and depositional environments</w:t>
      </w:r>
    </w:p>
    <w:p>
      <w:pPr>
        <w:pStyle w:val="Normal"/>
        <w:rPr>
          <w:rFonts w:ascii="Calibri" w:hAnsi="Calibri"/>
        </w:rPr>
      </w:pPr>
      <w:r>
        <w:rPr>
          <w:rFonts w:ascii="Calibri" w:hAnsi="Calibri"/>
        </w:rPr>
      </w:r>
    </w:p>
    <w:p>
      <w:pPr>
        <w:pStyle w:val="Normal"/>
        <w:jc w:val="both"/>
        <w:rPr>
          <w:rFonts w:ascii="Arial" w:hAnsi="Arial" w:cs="Arial"/>
          <w:sz w:val="20"/>
          <w:szCs w:val="20"/>
        </w:rPr>
      </w:pPr>
      <w:r>
        <w:rPr>
          <w:rFonts w:ascii="Calibri" w:hAnsi="Calibri"/>
        </w:rPr>
        <w:t xml:space="preserve">The above analyses are discussed further in Chapter 3. They all follow the maceral or microlithotype point count concept, assessing the component either directly under the cross-hair, or a 50x50 micron particle or area of a particle.  Dispersed organic matter assessments make use of vitrinite reflectance, as discussed above. </w:t>
      </w:r>
    </w:p>
    <w:p>
      <w:pPr>
        <w:pStyle w:val="ListParagraph"/>
        <w:rPr>
          <w:rFonts w:ascii="Arial" w:hAnsi="Arial" w:cs="Arial"/>
          <w:sz w:val="20"/>
          <w:szCs w:val="20"/>
        </w:rPr>
      </w:pPr>
      <w:r>
        <w:rPr>
          <w:rFonts w:cs="Arial"/>
          <w:sz w:val="20"/>
          <w:szCs w:val="20"/>
        </w:rPr>
      </w:r>
    </w:p>
    <w:p>
      <w:pPr>
        <w:pStyle w:val="ListParagraph"/>
        <w:spacing w:lineRule="auto" w:line="360"/>
        <w:ind w:left="-142" w:hanging="0"/>
        <w:rPr>
          <w:sz w:val="20"/>
          <w:szCs w:val="20"/>
        </w:rPr>
      </w:pPr>
      <w:r>
        <w:rPr>
          <w:sz w:val="20"/>
          <w:szCs w:val="20"/>
        </w:rPr>
      </w:r>
    </w:p>
    <w:p>
      <w:pPr>
        <w:pStyle w:val="ListParagraph"/>
        <w:spacing w:lineRule="auto" w:line="360"/>
        <w:ind w:left="-142" w:hanging="0"/>
        <w:rPr/>
      </w:pPr>
      <w:r>
        <w:rPr/>
      </w:r>
    </w:p>
    <w:sectPr>
      <w:footerReference w:type="default" r:id="rId16"/>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1683406"/>
    </w:sdtPr>
    <w:sdtContent>
      <w:p>
        <w:pPr>
          <w:pStyle w:val="Footer"/>
          <w:jc w:val="right"/>
          <w:rPr/>
        </w:pPr>
        <w:r>
          <w:rPr/>
          <w:fldChar w:fldCharType="begin"/>
        </w:r>
        <w:r>
          <w:instrText> PAGE </w:instrText>
        </w:r>
        <w:r>
          <w:fldChar w:fldCharType="separate"/>
        </w:r>
        <w:r>
          <w:t>1</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7346996"/>
    </w:sdtPr>
    <w:sdtContent>
      <w:p>
        <w:pPr>
          <w:pStyle w:val="Footer"/>
          <w:jc w:val="right"/>
          <w:rPr/>
        </w:pPr>
        <w:r>
          <w:rPr/>
          <w:fldChar w:fldCharType="begin"/>
        </w:r>
        <w:r>
          <w:instrText> PAGE </w:instrText>
        </w:r>
        <w:r>
          <w:fldChar w:fldCharType="separate"/>
        </w:r>
        <w:r>
          <w:t>36</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1">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Arial" w:cs="" w:asciiTheme="minorHAnsi" w:cstheme="minorBidi" w:eastAsiaTheme="minorHAnsi" w:hAnsiTheme="minorHAnsi"/>
      <w:color w:val="auto"/>
      <w:sz w:val="22"/>
      <w:szCs w:val="22"/>
      <w:lang w:val="en-ZA" w:eastAsia="en-US" w:bidi="ar-SA"/>
    </w:rPr>
  </w:style>
  <w:style w:type="paragraph" w:styleId="Heading1">
    <w:name w:val="Heading 1"/>
    <w:basedOn w:val="Normal"/>
    <w:next w:val="Normal"/>
    <w:link w:val="Heading1Char"/>
    <w:uiPriority w:val="9"/>
    <w:qFormat/>
    <w:rsid w:val="00a407d6"/>
    <w:pPr>
      <w:keepNext/>
      <w:keepLines/>
      <w:spacing w:before="240" w:after="0"/>
      <w:outlineLvl w:val="0"/>
    </w:pPr>
    <w:rPr>
      <w:rFonts w:ascii="Arial" w:hAnsi="Arial"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f2772c"/>
    <w:pPr>
      <w:keepNext/>
      <w:keepLines/>
      <w:spacing w:before="40" w:after="0"/>
      <w:outlineLvl w:val="1"/>
    </w:pPr>
    <w:rPr>
      <w:rFonts w:ascii="Arial" w:hAnsi="Arial"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f2772c"/>
    <w:pPr>
      <w:keepNext/>
      <w:keepLines/>
      <w:spacing w:before="40" w:after="0"/>
      <w:outlineLvl w:val="2"/>
    </w:pPr>
    <w:rPr>
      <w:rFonts w:ascii="Arial" w:hAnsi="Arial"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c73b28"/>
    <w:pPr>
      <w:keepNext/>
      <w:keepLines/>
      <w:spacing w:before="40" w:after="0"/>
      <w:outlineLvl w:val="3"/>
    </w:pPr>
    <w:rPr>
      <w:rFonts w:ascii="Arial" w:hAnsi="Arial"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2b0d98"/>
    <w:rPr>
      <w:rFonts w:ascii="Arial" w:hAnsi="Arial" w:eastAsia="" w:cs="" w:asciiTheme="majorHAnsi" w:cstheme="majorBidi" w:eastAsiaTheme="majorEastAsia" w:hAnsiTheme="majorHAnsi"/>
      <w:i/>
      <w:iCs/>
      <w:color w:val="4F81BD" w:themeColor="accent1"/>
      <w:spacing w:val="15"/>
      <w:sz w:val="24"/>
      <w:szCs w:val="24"/>
    </w:rPr>
  </w:style>
  <w:style w:type="character" w:styleId="Annotationreference">
    <w:name w:val="annotation reference"/>
    <w:basedOn w:val="DefaultParagraphFont"/>
    <w:uiPriority w:val="99"/>
    <w:semiHidden/>
    <w:unhideWhenUsed/>
    <w:qFormat/>
    <w:rsid w:val="00511944"/>
    <w:rPr>
      <w:sz w:val="16"/>
      <w:szCs w:val="16"/>
    </w:rPr>
  </w:style>
  <w:style w:type="character" w:styleId="CommentTextChar" w:customStyle="1">
    <w:name w:val="Comment Text Char"/>
    <w:basedOn w:val="DefaultParagraphFont"/>
    <w:link w:val="CommentText"/>
    <w:uiPriority w:val="99"/>
    <w:semiHidden/>
    <w:qFormat/>
    <w:rsid w:val="00511944"/>
    <w:rPr>
      <w:sz w:val="20"/>
      <w:szCs w:val="20"/>
    </w:rPr>
  </w:style>
  <w:style w:type="character" w:styleId="CommentSubjectChar" w:customStyle="1">
    <w:name w:val="Comment Subject Char"/>
    <w:basedOn w:val="CommentTextChar"/>
    <w:link w:val="CommentSubject"/>
    <w:uiPriority w:val="99"/>
    <w:semiHidden/>
    <w:qFormat/>
    <w:rsid w:val="00511944"/>
    <w:rPr>
      <w:b/>
      <w:bCs/>
      <w:sz w:val="20"/>
      <w:szCs w:val="20"/>
    </w:rPr>
  </w:style>
  <w:style w:type="character" w:styleId="BalloonTextChar" w:customStyle="1">
    <w:name w:val="Balloon Text Char"/>
    <w:basedOn w:val="DefaultParagraphFont"/>
    <w:link w:val="BalloonText"/>
    <w:uiPriority w:val="99"/>
    <w:semiHidden/>
    <w:qFormat/>
    <w:rsid w:val="00511944"/>
    <w:rPr>
      <w:rFonts w:ascii="Segoe UI" w:hAnsi="Segoe UI" w:cs="Segoe UI"/>
      <w:sz w:val="18"/>
      <w:szCs w:val="18"/>
    </w:rPr>
  </w:style>
  <w:style w:type="character" w:styleId="HeaderChar" w:customStyle="1">
    <w:name w:val="Header Char"/>
    <w:basedOn w:val="DefaultParagraphFont"/>
    <w:link w:val="Header"/>
    <w:uiPriority w:val="99"/>
    <w:qFormat/>
    <w:rsid w:val="003e2251"/>
    <w:rPr/>
  </w:style>
  <w:style w:type="character" w:styleId="FooterChar" w:customStyle="1">
    <w:name w:val="Footer Char"/>
    <w:basedOn w:val="DefaultParagraphFont"/>
    <w:link w:val="Footer"/>
    <w:uiPriority w:val="99"/>
    <w:qFormat/>
    <w:rsid w:val="003e2251"/>
    <w:rPr/>
  </w:style>
  <w:style w:type="character" w:styleId="Strong">
    <w:name w:val="Strong"/>
    <w:basedOn w:val="DefaultParagraphFont"/>
    <w:uiPriority w:val="99"/>
    <w:qFormat/>
    <w:rsid w:val="00c15c6a"/>
    <w:rPr>
      <w:b/>
      <w:bCs/>
    </w:rPr>
  </w:style>
  <w:style w:type="character" w:styleId="Heading1Char" w:customStyle="1">
    <w:name w:val="Heading 1 Char"/>
    <w:basedOn w:val="DefaultParagraphFont"/>
    <w:link w:val="Heading1"/>
    <w:uiPriority w:val="9"/>
    <w:qFormat/>
    <w:rsid w:val="00a407d6"/>
    <w:rPr>
      <w:rFonts w:ascii="Arial" w:hAnsi="Arial"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f2772c"/>
    <w:rPr>
      <w:rFonts w:ascii="Arial" w:hAnsi="Arial"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f2772c"/>
    <w:rPr>
      <w:rFonts w:ascii="Arial" w:hAnsi="Arial"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sid w:val="00bd2fee"/>
    <w:rPr>
      <w:color w:val="0000FF" w:themeColor="hyperlink"/>
      <w:u w:val="single"/>
    </w:rPr>
  </w:style>
  <w:style w:type="character" w:styleId="Heading4Char" w:customStyle="1">
    <w:name w:val="Heading 4 Char"/>
    <w:basedOn w:val="DefaultParagraphFont"/>
    <w:link w:val="Heading4"/>
    <w:uiPriority w:val="9"/>
    <w:qFormat/>
    <w:rsid w:val="00c73b28"/>
    <w:rPr>
      <w:rFonts w:ascii="Arial" w:hAnsi="Arial" w:eastAsia="" w:cs="" w:asciiTheme="majorHAnsi" w:cstheme="majorBidi" w:eastAsiaTheme="majorEastAsia" w:hAnsiTheme="majorHAnsi"/>
      <w:i/>
      <w:iCs/>
      <w:color w:val="365F91" w:themeColor="accent1" w:themeShade="bf"/>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uiPriority w:val="34"/>
    <w:qFormat/>
    <w:rsid w:val="002733ba"/>
    <w:pPr>
      <w:spacing w:before="0" w:after="0"/>
      <w:ind w:left="720" w:hanging="0"/>
      <w:contextualSpacing/>
    </w:pPr>
    <w:rPr/>
  </w:style>
  <w:style w:type="paragraph" w:styleId="Subtitle">
    <w:name w:val="Subtitle"/>
    <w:basedOn w:val="Normal"/>
    <w:next w:val="Normal"/>
    <w:link w:val="SubtitleChar"/>
    <w:uiPriority w:val="11"/>
    <w:qFormat/>
    <w:rsid w:val="002b0d98"/>
    <w:pPr/>
    <w:rPr>
      <w:rFonts w:ascii="Arial" w:hAnsi="Arial"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CommentTextChar"/>
    <w:uiPriority w:val="99"/>
    <w:semiHidden/>
    <w:unhideWhenUsed/>
    <w:qFormat/>
    <w:rsid w:val="00511944"/>
    <w:pPr/>
    <w:rPr>
      <w:sz w:val="20"/>
      <w:szCs w:val="20"/>
    </w:rPr>
  </w:style>
  <w:style w:type="paragraph" w:styleId="Annotationsubject">
    <w:name w:val="annotation subject"/>
    <w:basedOn w:val="Annotationtext"/>
    <w:link w:val="CommentSubjectChar"/>
    <w:uiPriority w:val="99"/>
    <w:semiHidden/>
    <w:unhideWhenUsed/>
    <w:qFormat/>
    <w:rsid w:val="00511944"/>
    <w:pPr/>
    <w:rPr>
      <w:b/>
      <w:bCs/>
    </w:rPr>
  </w:style>
  <w:style w:type="paragraph" w:styleId="BalloonText">
    <w:name w:val="Balloon Text"/>
    <w:basedOn w:val="Normal"/>
    <w:link w:val="BalloonTextChar"/>
    <w:uiPriority w:val="99"/>
    <w:semiHidden/>
    <w:unhideWhenUsed/>
    <w:qFormat/>
    <w:rsid w:val="00511944"/>
    <w:pPr/>
    <w:rPr>
      <w:rFonts w:ascii="Segoe UI" w:hAnsi="Segoe UI" w:cs="Segoe UI"/>
      <w:sz w:val="18"/>
      <w:szCs w:val="18"/>
    </w:rPr>
  </w:style>
  <w:style w:type="paragraph" w:styleId="Header">
    <w:name w:val="Header"/>
    <w:basedOn w:val="Normal"/>
    <w:link w:val="HeaderChar"/>
    <w:uiPriority w:val="99"/>
    <w:unhideWhenUsed/>
    <w:rsid w:val="003e2251"/>
    <w:pPr>
      <w:tabs>
        <w:tab w:val="center" w:pos="4513" w:leader="none"/>
        <w:tab w:val="right" w:pos="9026" w:leader="none"/>
      </w:tabs>
    </w:pPr>
    <w:rPr/>
  </w:style>
  <w:style w:type="paragraph" w:styleId="Footer">
    <w:name w:val="Footer"/>
    <w:basedOn w:val="Normal"/>
    <w:link w:val="FooterChar"/>
    <w:uiPriority w:val="99"/>
    <w:unhideWhenUsed/>
    <w:rsid w:val="003e2251"/>
    <w:pPr>
      <w:tabs>
        <w:tab w:val="center" w:pos="4513" w:leader="none"/>
        <w:tab w:val="right" w:pos="9026" w:leader="none"/>
      </w:tabs>
    </w:pPr>
    <w:rPr/>
  </w:style>
  <w:style w:type="paragraph" w:styleId="TOCHeading">
    <w:name w:val="TOC Heading"/>
    <w:basedOn w:val="Heading1"/>
    <w:next w:val="Normal"/>
    <w:uiPriority w:val="39"/>
    <w:unhideWhenUsed/>
    <w:qFormat/>
    <w:rsid w:val="00b51327"/>
    <w:pPr>
      <w:spacing w:lineRule="auto" w:line="259"/>
    </w:pPr>
    <w:rPr>
      <w:lang w:val="en-US"/>
    </w:rPr>
  </w:style>
  <w:style w:type="paragraph" w:styleId="Contents1">
    <w:name w:val="TOC 1"/>
    <w:basedOn w:val="Normal"/>
    <w:next w:val="Normal"/>
    <w:autoRedefine/>
    <w:uiPriority w:val="39"/>
    <w:unhideWhenUsed/>
    <w:rsid w:val="00b51327"/>
    <w:pPr>
      <w:spacing w:before="0" w:after="100"/>
    </w:pPr>
    <w:rPr/>
  </w:style>
  <w:style w:type="paragraph" w:styleId="Contents2">
    <w:name w:val="TOC 2"/>
    <w:basedOn w:val="Normal"/>
    <w:next w:val="Normal"/>
    <w:autoRedefine/>
    <w:uiPriority w:val="39"/>
    <w:unhideWhenUsed/>
    <w:rsid w:val="00b51327"/>
    <w:pPr>
      <w:spacing w:before="0" w:after="100"/>
      <w:ind w:left="220" w:hanging="0"/>
    </w:pPr>
    <w:rPr/>
  </w:style>
  <w:style w:type="paragraph" w:styleId="Contents3">
    <w:name w:val="TOC 3"/>
    <w:basedOn w:val="Normal"/>
    <w:next w:val="Normal"/>
    <w:autoRedefine/>
    <w:uiPriority w:val="39"/>
    <w:unhideWhenUsed/>
    <w:rsid w:val="00b51327"/>
    <w:pPr>
      <w:spacing w:before="0" w:after="100"/>
      <w:ind w:left="440" w:hanging="0"/>
    </w:pPr>
    <w:rPr/>
  </w:style>
  <w:style w:type="paragraph" w:styleId="Contents4">
    <w:name w:val="TOC 4"/>
    <w:basedOn w:val="Normal"/>
    <w:next w:val="Normal"/>
    <w:autoRedefine/>
    <w:uiPriority w:val="39"/>
    <w:unhideWhenUsed/>
    <w:rsid w:val="00b51327"/>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03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astm.org/" TargetMode="External"/><Relationship Id="rId9" Type="http://schemas.openxmlformats.org/officeDocument/2006/relationships/footer" Target="footer1.xml"/><Relationship Id="rId10" Type="http://schemas.openxmlformats.org/officeDocument/2006/relationships/hyperlink" Target="http://www.iccop.org/" TargetMode="Externa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ICCP</b:Tag>
    <b:SourceType>InternetSite</b:SourceType>
    <b:Guid>{337BC64B-51FA-422B-A8AE-D9387574754E}</b:Guid>
    <b:Year>2015</b:Year>
    <b:Author>
      <b:Author>
        <b:NameList>
          <b:Person>
            <b:Last>ICCP</b:Last>
            <b:First>International</b:First>
            <b:Middle>Committee for Coal and Organic Petrology</b:Middle>
          </b:Person>
        </b:NameList>
      </b:Author>
    </b:Author>
    <b:InternetSiteTitle>International Committee for Coal and Organic Petrology (ICCP)</b:InternetSiteTitle>
    <b:URL>http://www.iccop.org</b:URL>
    <b:RefOrder>1</b:RefOrder>
  </b:Source>
</b:Sources>
</file>

<file path=customXml/itemProps1.xml><?xml version="1.0" encoding="utf-8"?>
<ds:datastoreItem xmlns:ds="http://schemas.openxmlformats.org/officeDocument/2006/customXml" ds:itemID="{3983EC7C-5E77-41B5-8A71-E66E86A2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Application>LibreOffice/5.1.6.2$Linux_X86_64 LibreOffice_project/10m0$Build-2</Application>
  <Pages>36</Pages>
  <Words>14918</Words>
  <Characters>85832</Characters>
  <CharactersWithSpaces>100123</CharactersWithSpaces>
  <Paragraphs>697</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2017-10-01T14:30:43Z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