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nnexTitle"/>
        <w:keepNext w:val="true"/>
        <w:keepLines/>
        <w:widowControl/>
        <w:ind w:hanging="0"/>
        <w:rPr/>
      </w:pPr>
      <w:r>
        <w:rPr/>
        <w:t>Annexe C — Fiche de description de l’objet</w:t>
      </w:r>
    </w:p>
    <w:p>
      <w:pPr>
        <w:pStyle w:val="AnnexSubtitle"/>
        <w:keepNext w:val="true"/>
        <w:keepLines/>
        <w:widowControl/>
        <w:ind w:hanging="0"/>
        <w:rPr/>
      </w:pPr>
      <w:r>
        <w:rPr/>
        <w:t>Décrire ce qui sera évalué avant de choisir les composantes prioritaires.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6" w:space="0" w:color="B6B6B6"/>
              <w:left w:val="single" w:sz="6" w:space="0" w:color="B6B6B6"/>
              <w:bottom w:val="single" w:sz="6" w:space="0" w:color="B6B6B6"/>
              <w:right w:val="single" w:sz="6" w:space="0" w:color="B6B6B6"/>
            </w:tcBorders>
            <w:shd w:fill="F0F0F0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Décrire l’objet avec des formulations factuelles et courtes. Lorsqu’une information manque ou qu’une responsabilité est incertaine, l’indiquer plutôt que la deviner.</w:t>
            </w:r>
          </w:p>
        </w:tc>
      </w:tr>
    </w:tbl>
    <w:tbl>
      <w:tblPr>
        <w:tblStyle w:val="TableGrid"/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cantSplit w:val="true"/>
          <w:tblHeader w:val="true"/>
        </w:trPr>
        <w:tc>
          <w:tcPr>
            <w:tcW w:w="5114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Élément</w:t>
            </w:r>
          </w:p>
        </w:tc>
        <w:tc>
          <w:tcPr>
            <w:tcW w:w="5110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À compléter</w:t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Nom de l’objet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Nom du service, programme ou processus.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Type d’objet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 xml:space="preserve">□ Service  □ Programme  □ Processus  □ Autre :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Périmètre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Ce qui est inclus et ce qui est exclu de la démarche.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Clientèle visée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Personnes ou groupes auxquels l’objet s’adresse et qui en vivent les effets. Préciser les situations qui peuvent exiger une adaptation ou une attention particulière.</w:t>
              <w:br/>
              <w:br/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Besoins ou enjeux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Situation à laquelle l’objet cherche à répondre.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</w:tbl>
    <w:p>
      <w:pPr>
        <w:pStyle w:val="AnnexSubtitlesuite"/>
        <w:keepNext w:val="true"/>
        <w:keepLines/>
        <w:widowControl/>
        <w:ind w:hanging="0"/>
        <w:rPr/>
      </w:pPr>
      <w:r>
        <w:rPr/>
        <w:t>Suite — contraintes, composantes internes et résultats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shd w:fill="F7F7F7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b w:val="false"/>
                <w:i w:val="false"/>
                <w:sz w:val="21"/>
              </w:rPr>
              <w:t>S’appuyer sur ces éléments pour choisir les composantes qui méritent une attention dans le périmètre initial.</w:t>
            </w:r>
          </w:p>
        </w:tc>
      </w:tr>
    </w:tbl>
    <w:tbl>
      <w:tblPr>
        <w:tblStyle w:val="TableGrid"/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cantSplit w:val="true"/>
          <w:tblHeader w:val="true"/>
        </w:trPr>
        <w:tc>
          <w:tcPr>
            <w:tcW w:w="5114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Élément</w:t>
            </w:r>
          </w:p>
        </w:tc>
        <w:tc>
          <w:tcPr>
            <w:tcW w:w="5110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À compléter</w:t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Contraintes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Ressources, règles, contexte, environnement ou caractéristiques de la clientèle qui peuvent limiter, orienter ou conditionner l’action.</w:t>
              <w:br/>
              <w:br/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Objectifs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Changements visés, résultats attendus, critères de succès.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Moyens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Approches, activités, outils, procédures, équipements, soutien ou gestion.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Personnes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Personnel, gestionnaires, partenaires, bénévoles ou autres acteurs qui réalisent, soutiennent ou pilotent l’action.</w:t>
              <w:br/>
              <w:br/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kern w:val="0"/>
                <w:sz w:val="21"/>
                <w:szCs w:val="22"/>
                <w:lang w:val="en-US" w:eastAsia="en-US" w:bidi="ar-SA"/>
              </w:rPr>
              <w:t>Résultats attendus et résultats collatéraux à surveiller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t>Résultats visés à court, à moyen ou à long terme; conséquences non visées qui devraient aussi être repérées.</w:t>
              <w:br/>
              <w:br/>
            </w:r>
          </w:p>
        </w:tc>
      </w:tr>
    </w:tbl>
    <w:sectPr>
      <w:headerReference w:type="default" r:id="rId25"/>
      <w:footerReference w:type="default" r:id="rId26"/>
      <w:headerReference w:type="first" r:id="rId24"/>
      <w:footerReference w:type="first" r:id="rId27"/>
      <w:headerReference w:type="even" r:id="rId28"/>
      <w:footerReference w:type="even" r:id="rId29"/>
      <w:pgSz w:w="12240" w:h="15840"/>
      <w:pgMar w:left="1008" w:right="1008" w:gutter="0" w:header="432" w:top="1008" w:footer="490" w:bottom="100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Source Serif 4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ource Sans 3">
    <w:charset w:val="00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suff w:val="space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22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Source Serif 4" w:hAnsi="Source Serif 4" w:eastAsia="Source Serif 4" w:cs="Source Serif 4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exact" w:line="290" w:before="0" w:after="100"/>
      <w:jc w:val="left"/>
    </w:pPr>
    <w:rPr>
      <w:rFonts w:ascii="Source Serif 4" w:hAnsi="Source Serif 4" w:eastAsia="Source Serif 4" w:cs="Source Serif 4"/>
      <w:b w:val="false"/>
      <w:i w:val="false"/>
      <w:color w:val="1A1A1A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lineRule="auto" w:line="240" w:before="680" w:after="280"/>
      <w:outlineLvl w:val="0"/>
    </w:pPr>
    <w:rPr>
      <w:rFonts w:ascii="Source Serif 4" w:hAnsi="Source Serif 4" w:eastAsia="Source Serif 4" w:cs="Source Serif 4"/>
      <w:b/>
      <w:bCs/>
      <w:i w:val="false"/>
      <w:color w:val="1A1A1A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lineRule="exact" w:line="400" w:before="262" w:after="142"/>
      <w:ind w:hanging="0"/>
      <w:outlineLvl w:val="1"/>
    </w:pPr>
    <w:rPr>
      <w:rFonts w:ascii="Source Serif 4" w:hAnsi="Source Serif 4" w:eastAsia="Source Serif 4" w:cs="Source Serif 4"/>
      <w:b/>
      <w:bCs/>
      <w:i w:val="false"/>
      <w:color w:val="1A1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exact" w:line="330" w:before="280" w:after="100"/>
      <w:outlineLvl w:val="2"/>
    </w:pPr>
    <w:rPr>
      <w:rFonts w:ascii="Source Serif 4" w:hAnsi="Source Serif 4" w:eastAsia="Source Serif 4" w:cs="Source Serif 4"/>
      <w:b/>
      <w:bCs/>
      <w:i w:val="false"/>
      <w:color w:val="26262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Source Serif 4" w:hAnsi="Source Serif 4" w:eastAsia="Source Serif 4" w:cs="Source Serif 4"/>
      <w:color w:themeColor="accent1" w:themeShade="7f" w:val="3C3C3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Source Serif 4" w:hAnsi="Source Serif 4" w:eastAsia="Source Serif 4" w:cs="Source Serif 4"/>
      <w:i/>
      <w:iCs/>
      <w:color w:themeColor="accent1" w:themeShade="7f" w:val="3C3C3C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Source Serif 4" w:hAnsi="Source Serif 4" w:eastAsia="Source Serif 4" w:cs="Source Serif 4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themeShade="bf" w:val="5A5A5A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Source Serif 4" w:hAnsi="Source Serif 4" w:eastAsia="Source Serif 4" w:cs="Source Serif 4"/>
      <w:color w:themeColor="text2" w:themeShade="bf" w:val="323232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Source Serif 4" w:hAnsi="Source Serif 4" w:eastAsia="Source Serif 4" w:cs="Source Serif 4"/>
      <w:i/>
      <w:iCs/>
      <w:color w:themeColor="accent1" w:val="7B7B7B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Source Serif 4" w:hAnsi="Source Serif 4" w:eastAsia="Source Serif 4" w:cs="Source Serif 4"/>
      <w:color w:themeColor="accent1" w:themeShade="7f" w:val="3C3C3C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accent1" w:themeShade="7f" w:val="3C3C3C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7B7B7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7B7B7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68686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686868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true"/>
      <w:keepLines/>
      <w:widowControl/>
      <w:spacing w:lineRule="exact" w:line="210" w:before="100" w:after="100"/>
      <w:ind w:hanging="0"/>
      <w:jc w:val="center"/>
    </w:pPr>
    <w:rPr>
      <w:rFonts w:ascii="Source Sans 3" w:hAnsi="Source Sans 3" w:eastAsia="Source Sans 3" w:cs="Source Sans 3"/>
      <w:b w:val="false"/>
      <w:bCs/>
      <w:i w:val="false"/>
      <w:color w:val="52525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7B7B7B" w:themeColor="accent1"/>
      </w:pBdr>
      <w:spacing w:lineRule="exact" w:line="620" w:before="0" w:after="300"/>
      <w:contextualSpacing/>
    </w:pPr>
    <w:rPr>
      <w:rFonts w:ascii="Source Serif 4" w:hAnsi="Source Serif 4" w:eastAsia="Source Serif 4" w:cs="Source Serif 4"/>
      <w:b/>
      <w:i w:val="false"/>
      <w:color w:val="1A1A1A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lineRule="exact" w:line="300" w:before="0" w:after="120"/>
    </w:pPr>
    <w:rPr>
      <w:rFonts w:ascii="Source Serif 4" w:hAnsi="Source Serif 4" w:eastAsia="Source Serif 4" w:cs="Source Serif 4"/>
      <w:b w:val="false"/>
      <w:i/>
      <w:iCs/>
      <w:color w:val="525252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ilvl w:val="0"/>
        <w:numId w:val="1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ilvl w:val="0"/>
        <w:numId w:val="4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7B7B7B" w:themeColor="accent1"/>
      </w:pBdr>
      <w:spacing w:before="200" w:after="280"/>
      <w:ind w:left="936" w:right="936"/>
    </w:pPr>
    <w:rPr>
      <w:b/>
      <w:bCs/>
      <w:i/>
      <w:iCs/>
      <w:color w:themeColor="accent1" w:val="7B7B7B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umrodepartie" w:customStyle="1">
    <w:name w:val="Numéro de partie"/>
    <w:basedOn w:val="Normal"/>
    <w:qFormat/>
    <w:pPr>
      <w:keepNext w:val="true"/>
      <w:keepLines/>
      <w:spacing w:lineRule="auto" w:line="240" w:before="3024" w:after="160"/>
      <w:jc w:val="center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Titredepartie" w:customStyle="1">
    <w:name w:val="Titre de partie"/>
    <w:basedOn w:val="Normal"/>
    <w:qFormat/>
    <w:pPr>
      <w:keepNext w:val="true"/>
      <w:keepLines/>
      <w:widowControl/>
      <w:spacing w:lineRule="auto" w:line="240" w:before="0" w:after="240"/>
      <w:jc w:val="center"/>
    </w:pPr>
    <w:rPr>
      <w:rFonts w:ascii="Source Serif 4" w:hAnsi="Source Serif 4" w:eastAsia="Source Serif 4" w:cs="Source Serif 4"/>
      <w:b/>
      <w:i w:val="false"/>
      <w:color w:val="1A1A1A"/>
      <w:sz w:val="56"/>
    </w:rPr>
  </w:style>
  <w:style w:type="paragraph" w:styleId="Sous-titredepartie" w:customStyle="1">
    <w:name w:val="Sous-titre de partie"/>
    <w:basedOn w:val="Normal"/>
    <w:qFormat/>
    <w:pPr>
      <w:keepNext w:val="true"/>
      <w:keepLines/>
      <w:spacing w:lineRule="auto" w:line="240" w:before="0" w:after="0"/>
      <w:jc w:val="center"/>
    </w:pPr>
    <w:rPr>
      <w:rFonts w:ascii="Source Serif 4" w:hAnsi="Source Serif 4" w:eastAsia="Source Serif 4" w:cs="Source Serif 4"/>
      <w:b w:val="false"/>
      <w:i/>
      <w:color w:val="525252"/>
      <w:sz w:val="24"/>
    </w:rPr>
  </w:style>
  <w:style w:type="paragraph" w:styleId="Numrodechapitre" w:customStyle="1">
    <w:name w:val="Numéro de chapitre"/>
    <w:basedOn w:val="Normal"/>
    <w:qFormat/>
    <w:pPr>
      <w:keepNext w:val="true"/>
      <w:keepLines/>
      <w:widowControl/>
      <w:spacing w:lineRule="auto" w:line="240" w:before="0" w:after="120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Casfilconducteur" w:customStyle="1">
    <w:name w:val="Cas fil conducteur"/>
    <w:basedOn w:val="Normal"/>
    <w:qFormat/>
    <w:pPr>
      <w:keepNext w:val="true"/>
      <w:keepLines/>
      <w:spacing w:lineRule="exact" w:line="290" w:before="240" w:after="80"/>
    </w:pPr>
    <w:rPr>
      <w:rFonts w:ascii="Source Serif 4" w:hAnsi="Source Serif 4" w:eastAsia="Source Serif 4" w:cs="Source Serif 4"/>
      <w:b/>
      <w:i/>
      <w:color w:val="1A1A1A"/>
      <w:sz w:val="25"/>
    </w:rPr>
  </w:style>
  <w:style w:type="paragraph" w:styleId="AnnexTitle" w:customStyle="1">
    <w:name w:val="AnnexTitle"/>
    <w:qFormat/>
    <w:pPr>
      <w:keepNext w:val="true"/>
      <w:keepLines/>
      <w:widowControl/>
      <w:bidi w:val="0"/>
      <w:spacing w:lineRule="exact" w:line="440" w:before="400" w:after="120"/>
      <w:jc w:val="left"/>
      <w:outlineLvl w:val="0"/>
    </w:pPr>
    <w:rPr>
      <w:rFonts w:ascii="Source Serif 4" w:hAnsi="Source Serif 4" w:eastAsia="Source Serif 4" w:cs="Source Serif 4"/>
      <w:b/>
      <w:i w:val="false"/>
      <w:color w:val="1A1A1A"/>
      <w:kern w:val="0"/>
      <w:sz w:val="38"/>
      <w:szCs w:val="22"/>
      <w:lang w:val="en-US" w:eastAsia="en-US" w:bidi="ar-SA"/>
    </w:rPr>
  </w:style>
  <w:style w:type="paragraph" w:styleId="AnnexSubtitle" w:customStyle="1">
    <w:name w:val="AnnexSubtitle"/>
    <w:qFormat/>
    <w:pPr>
      <w:keepNext w:val="true"/>
      <w:keepLines/>
      <w:widowControl/>
      <w:bidi w:val="0"/>
      <w:spacing w:lineRule="exact" w:line="260" w:before="0" w:after="120"/>
      <w:jc w:val="left"/>
    </w:pPr>
    <w:rPr>
      <w:rFonts w:ascii="Source Serif 4" w:hAnsi="Source Serif 4" w:eastAsia="Source Serif 4" w:cs="Source Serif 4"/>
      <w:b w:val="0"/>
      <w:i/>
      <w:color w:val="525252"/>
      <w:kern w:val="0"/>
      <w:sz w:val="22"/>
      <w:szCs w:val="22"/>
      <w:lang w:val="en-US" w:eastAsia="en-US" w:bidi="ar-SA"/>
    </w:rPr>
  </w:style>
  <w:style w:type="paragraph" w:styleId="AnnexSection" w:customStyle="1">
    <w:name w:val="AnnexSection"/>
    <w:qFormat/>
    <w:pPr>
      <w:keepNext w:val="true"/>
      <w:keepLines/>
      <w:widowControl/>
      <w:bidi w:val="0"/>
      <w:spacing w:lineRule="exact" w:line="260" w:before="140" w:after="40"/>
      <w:jc w:val="left"/>
    </w:pPr>
    <w:rPr>
      <w:rFonts w:ascii="Source Sans 3" w:hAnsi="Source Sans 3" w:eastAsia="Source Sans 3" w:cs="Source Sans 3"/>
      <w:b/>
      <w:i w:val="false"/>
      <w:color w:val="1A1A1A"/>
      <w:kern w:val="0"/>
      <w:sz w:val="22"/>
      <w:szCs w:val="22"/>
      <w:lang w:val="en-US" w:eastAsia="en-US" w:bidi="ar-SA"/>
    </w:rPr>
  </w:style>
  <w:style w:type="paragraph" w:styleId="AnnexSmall" w:customStyle="1">
    <w:name w:val="AnnexSmall"/>
    <w:qFormat/>
    <w:pPr>
      <w:widowControl/>
      <w:bidi w:val="0"/>
      <w:spacing w:lineRule="exact" w:line="200" w:before="0" w:after="40"/>
      <w:jc w:val="left"/>
    </w:pPr>
    <w:rPr>
      <w:rFonts w:ascii="Source Sans 3" w:hAnsi="Source Sans 3" w:eastAsia="Source Sans 3" w:cs="Source Sans 3"/>
      <w:b w:val="false"/>
      <w:i w:val="false"/>
      <w:color w:val="656565"/>
      <w:kern w:val="0"/>
      <w:sz w:val="17"/>
      <w:szCs w:val="22"/>
      <w:lang w:val="en-US" w:eastAsia="en-US" w:bidi="ar-SA"/>
    </w:rPr>
  </w:style>
  <w:style w:type="paragraph" w:styleId="Intertitre" w:customStyle="1">
    <w:name w:val="Intertitre"/>
    <w:basedOn w:val="Normal"/>
    <w:qFormat/>
    <w:pPr>
      <w:keepNext w:val="true"/>
      <w:keepLines/>
      <w:widowControl/>
      <w:spacing w:lineRule="exact" w:line="290" w:before="200" w:after="80"/>
      <w:ind w:hanging="0"/>
    </w:pPr>
    <w:rPr>
      <w:rFonts w:ascii="Source Serif 4" w:hAnsi="Source Serif 4" w:eastAsia="Source Serif 4" w:cs="Source Serif 4"/>
      <w:b/>
      <w:i w:val="false"/>
      <w:color w:val="1A1A1A"/>
      <w:sz w:val="24"/>
    </w:rPr>
  </w:style>
  <w:style w:type="paragraph" w:styleId="Figureimage" w:customStyle="1">
    <w:name w:val="Figure image"/>
    <w:basedOn w:val="Normal"/>
    <w:qFormat/>
    <w:pPr>
      <w:keepNext w:val="true"/>
      <w:keepLines/>
      <w:widowControl/>
      <w:spacing w:lineRule="auto" w:line="240" w:before="120" w:after="0"/>
      <w:ind w:hanging="0"/>
      <w:jc w:val="center"/>
    </w:pPr>
    <w:rPr/>
  </w:style>
  <w:style w:type="paragraph" w:styleId="Encadrrepre" w:customStyle="1">
    <w:name w:val="Encadré — repèr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40"/>
      <w:ind w:hanging="0" w:left="259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titre" w:customStyle="1">
    <w:name w:val="Encadré — titre"/>
    <w:basedOn w:val="Normal"/>
    <w:qFormat/>
    <w:pPr>
      <w:keepNext w:val="true"/>
      <w:keepLines/>
      <w:widowControl/>
      <w:pBdr>
        <w:left w:val="single" w:sz="12" w:space="6" w:color="747474"/>
      </w:pBdr>
      <w:shd w:val="clear" w:color="auto" w:fill="F3F3F3"/>
      <w:spacing w:lineRule="exact" w:line="250" w:before="40" w:after="30"/>
      <w:ind w:hanging="0" w:left="259" w:right="72"/>
    </w:pPr>
    <w:rPr>
      <w:rFonts w:ascii="Source Sans 3" w:hAnsi="Source Sans 3" w:eastAsia="Source Sans 3" w:cs="Source Sans 3"/>
      <w:b/>
      <w:color w:val="1A1A1A"/>
      <w:sz w:val="20"/>
    </w:rPr>
  </w:style>
  <w:style w:type="paragraph" w:styleId="Encadrnumrot" w:customStyle="1">
    <w:name w:val="Encadré — numéroté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liste" w:customStyle="1">
    <w:name w:val="Encadré — list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vrification" w:customStyle="1">
    <w:name w:val="Encadré — vérification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59" w:left="475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Listepuce" w:customStyle="1">
    <w:name w:val="Liste — puce"/>
    <w:basedOn w:val="Normal"/>
    <w:qFormat/>
    <w:pPr>
      <w:widowControl/>
      <w:spacing w:lineRule="exact" w:line="290" w:before="30" w:after="30"/>
      <w:ind w:hanging="230" w:left="432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numrote" w:customStyle="1">
    <w:name w:val="Liste — numérotée"/>
    <w:basedOn w:val="Normal"/>
    <w:qFormat/>
    <w:pPr>
      <w:widowControl/>
      <w:spacing w:lineRule="exact" w:line="290" w:before="30" w:after="30"/>
      <w:ind w:hanging="245" w:left="446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vrification" w:customStyle="1">
    <w:name w:val="Liste — vérification"/>
    <w:basedOn w:val="Normal"/>
    <w:qFormat/>
    <w:pPr>
      <w:widowControl/>
      <w:spacing w:lineRule="exact" w:line="252" w:before="30" w:after="30"/>
      <w:ind w:hanging="259" w:left="446" w:right="0"/>
    </w:pPr>
    <w:rPr>
      <w:rFonts w:ascii="Source Sans 3" w:hAnsi="Source Sans 3" w:eastAsia="Source Sans 3" w:cs="Source Sans 3"/>
      <w:color w:val="1A1A1A"/>
      <w:sz w:val="20"/>
    </w:rPr>
  </w:style>
  <w:style w:type="paragraph" w:styleId="Encadrtitretableau" w:customStyle="1">
    <w:name w:val="Encadré — titre tableau"/>
    <w:basedOn w:val="Normal"/>
    <w:qFormat/>
    <w:pPr>
      <w:widowControl/>
      <w:spacing w:lineRule="exact" w:line="230" w:before="0" w:after="30"/>
      <w:ind w:hanging="0"/>
    </w:pPr>
    <w:rPr>
      <w:rFonts w:ascii="Source Sans 3" w:hAnsi="Source Sans 3" w:eastAsia="Source Sans 3" w:cs="Source Sans 3"/>
      <w:b/>
      <w:color w:val="1A1A1A"/>
      <w:sz w:val="19"/>
    </w:rPr>
  </w:style>
  <w:style w:type="paragraph" w:styleId="Encadrtextetableau" w:customStyle="1">
    <w:name w:val="Encadré — texte tableau"/>
    <w:basedOn w:val="Normal"/>
    <w:qFormat/>
    <w:pPr>
      <w:widowControl/>
      <w:spacing w:lineRule="exact" w:line="230" w:before="0" w:after="0"/>
      <w:ind w:hanging="0"/>
    </w:pPr>
    <w:rPr>
      <w:rFonts w:ascii="Source Sans 3" w:hAnsi="Source Sans 3" w:eastAsia="Source Sans 3" w:cs="Source Sans 3"/>
      <w:color w:val="1A1A1A"/>
      <w:sz w:val="19"/>
    </w:rPr>
  </w:style>
  <w:style w:type="paragraph" w:styleId="Annexeconsigne" w:customStyle="1">
    <w:name w:val="Annexe — consigne"/>
    <w:basedOn w:val="Normal"/>
    <w:qFormat/>
    <w:pPr>
      <w:widowControl/>
      <w:spacing w:lineRule="exact" w:line="240" w:before="0" w:after="0"/>
      <w:ind w:hanging="0"/>
    </w:pPr>
    <w:rPr>
      <w:rFonts w:ascii="Source Sans 3" w:hAnsi="Source Sans 3" w:eastAsia="Source Sans 3" w:cs="Source Sans 3"/>
      <w:color w:val="525252"/>
      <w:sz w:val="20"/>
    </w:rPr>
  </w:style>
  <w:style w:type="paragraph" w:styleId="AnnexTitlesuite" w:customStyle="1">
    <w:name w:val="AnnexTitle suite"/>
    <w:qFormat/>
    <w:pPr>
      <w:keepNext w:val="true"/>
      <w:keepLines/>
      <w:widowControl/>
      <w:bidi w:val="0"/>
      <w:spacing w:lineRule="exact" w:line="320" w:before="260" w:after="60"/>
      <w:jc w:val="left"/>
    </w:pPr>
    <w:rPr>
      <w:rFonts w:ascii="Source Serif 4" w:hAnsi="Source Serif 4" w:eastAsia="Source Serif 4" w:cs="Source Serif 4"/>
      <w:b/>
      <w:i w:val="false"/>
      <w:color w:val="1A1A1A"/>
      <w:kern w:val="0"/>
      <w:sz w:val="29"/>
      <w:szCs w:val="22"/>
      <w:lang w:val="en-US" w:eastAsia="en-US" w:bidi="ar-SA"/>
    </w:rPr>
  </w:style>
  <w:style w:type="paragraph" w:styleId="Heading2ouverture" w:customStyle="1">
    <w:name w:val="Heading 2 — ouverture"/>
    <w:basedOn w:val="Heading2"/>
    <w:qFormat/>
    <w:pPr>
      <w:keepNext w:val="true"/>
      <w:keepLines/>
      <w:widowControl/>
      <w:spacing w:lineRule="exact" w:line="400" w:before="0" w:after="142"/>
      <w:ind w:hanging="0"/>
    </w:pPr>
    <w:rPr>
      <w:rFonts w:ascii="Source Serif 4" w:hAnsi="Source Serif 4" w:eastAsia="Source Serif 4" w:cs="Source Serif 4"/>
      <w:b/>
      <w:i w:val="false"/>
      <w:color w:val="1A1A1A"/>
      <w:sz w:val="32"/>
    </w:rPr>
  </w:style>
  <w:style w:type="paragraph" w:styleId="AnnexSubtitlesuite" w:customStyle="1">
    <w:name w:val="AnnexSubtitle suite"/>
    <w:qFormat/>
    <w:pPr>
      <w:keepNext w:val="true"/>
      <w:widowControl/>
      <w:bidi w:val="0"/>
      <w:spacing w:lineRule="exact" w:line="240" w:before="0" w:after="120"/>
      <w:jc w:val="left"/>
    </w:pPr>
    <w:rPr>
      <w:rFonts w:ascii="Source Serif 4" w:hAnsi="Source Serif 4" w:eastAsia="Source Serif 4" w:cs="Source Serif 4"/>
      <w:b w:val="false"/>
      <w:i/>
      <w:color w:val="525252"/>
      <w:kern w:val="0"/>
      <w:sz w:val="19"/>
      <w:szCs w:val="22"/>
      <w:lang w:val="en-US" w:eastAsia="en-US" w:bidi="ar-SA"/>
    </w:rPr>
  </w:style>
  <w:style w:type="paragraph" w:styleId="FigureCredit" w:customStyle="1">
    <w:name w:val="FigureCredit"/>
    <w:qFormat/>
    <w:pPr>
      <w:keepNext w:val="false"/>
      <w:widowControl/>
      <w:bidi w:val="0"/>
      <w:spacing w:lineRule="exact" w:line="200" w:before="0" w:after="160"/>
      <w:jc w:val="center"/>
    </w:pPr>
    <w:rPr>
      <w:rFonts w:ascii="Source Sans 3" w:hAnsi="Source Sans 3" w:eastAsia="Source Sans 3" w:cs="Source Sans 3"/>
      <w:b w:val="false"/>
      <w:i/>
      <w:color w:val="656565"/>
      <w:kern w:val="0"/>
      <w:sz w:val="17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1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  <w:shd w:val="clear" w:color="auto" w:fill="DEDEDE" w:themeFill="accent1" w:themeFillTint="3f"/>
      </w:tcPr>
    </w:tblStylePr>
    <w:tblStylePr w:type="band2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1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  <w:shd w:val="clear" w:color="auto" w:fill="D9D9D9" w:themeFill="accent2" w:themeFillTint="3f"/>
      </w:tcPr>
    </w:tblStylePr>
    <w:tblStylePr w:type="band2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1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  <w:shd w:val="clear" w:color="auto" w:fill="EAEAEA" w:themeFill="accent3" w:themeFillTint="3f"/>
      </w:tcPr>
    </w:tblStylePr>
    <w:tblStylePr w:type="band2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1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  <w:shd w:val="clear" w:color="auto" w:fill="DBDBDB" w:themeFill="accent4" w:themeFillTint="3f"/>
      </w:tcPr>
    </w:tblStylePr>
    <w:tblStylePr w:type="band2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1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  <w:shd w:val="clear" w:color="auto" w:fill="E5E5E5" w:themeFill="accent5" w:themeFillTint="3f"/>
      </w:tcPr>
    </w:tblStylePr>
    <w:tblStylePr w:type="band2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1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  <w:shd w:val="clear" w:color="auto" w:fill="E8E8E8" w:themeFill="accent6" w:themeFillTint="3f"/>
      </w:tcPr>
    </w:tblStylePr>
    <w:tblStylePr w:type="band2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9B9B" w:themeColor="accent1" w:sz="8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9B9B" w:themeColor="accent1" w:sz="6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ED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D8D8D" w:themeColor="accent2" w:sz="8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D8D8D" w:themeColor="accent2" w:sz="6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1C1C1" w:themeColor="accent3" w:sz="8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1C1C1" w:themeColor="accent3" w:sz="6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AE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29292" w:themeColor="accent4" w:sz="8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29292" w:themeColor="accent4" w:sz="6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2B2B2" w:themeColor="accent5" w:sz="8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2B2B2" w:themeColor="accent5" w:sz="6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BBBBB" w:themeColor="accent6" w:sz="8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6" w:sz="6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B7B7B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shd w:val="clear" w:color="auto" w:fill="DEDED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86868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shd w:val="clear" w:color="auto" w:fill="D9D9D9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DADAD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shd w:val="clear" w:color="auto" w:fill="EAEAE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E6E6E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shd w:val="clear" w:color="auto" w:fill="DBDBD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99999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shd w:val="clear" w:color="auto" w:fill="E5E5E5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shd w:val="clear" w:color="auto" w:fill="E8E8E8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B7B7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B7B7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B7B7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B7B7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ED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86868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86868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86868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DADAD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DADAD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DADAD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AE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E6E6E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E6E6E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E6E6E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99999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99999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99999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5A5A5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  <w:insideV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9B9B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  <w:insideV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D8D8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  <w:insideV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1C1C1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  <w:insideV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2929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  <w:insideV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2B2B2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  <w:insideV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BBBBB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1F1F1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4E4" w:themeFill="accent1" w:themeFillTint="33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tcBorders>
          <w:insideH w:val="single" w:color="7B7B7B" w:themeColor="accent1" w:sz="6" w:space="0"/>
          <w:insideV w:val="single" w:color="7B7B7B" w:themeColor="accent1" w:sz="6" w:space="0"/>
        </w:tcBorders>
        <w:shd w:val="clear" w:color="auto" w:fill="BCBCBC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EFEFEF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2" w:themeFillTint="33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tcBorders>
          <w:insideH w:val="single" w:color="686868" w:themeColor="accent2" w:sz="6" w:space="0"/>
          <w:insideV w:val="single" w:color="686868" w:themeColor="accent2" w:sz="6" w:space="0"/>
        </w:tcBorders>
        <w:shd w:val="clear" w:color="auto" w:fill="B3B3B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7F7F7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EEE" w:themeFill="accent3" w:themeFillTint="33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tcBorders>
          <w:insideH w:val="single" w:color="ADADAD" w:themeColor="accent3" w:sz="6" w:space="0"/>
          <w:insideV w:val="single" w:color="ADADAD" w:themeColor="accent3" w:sz="6" w:space="0"/>
        </w:tcBorders>
        <w:shd w:val="clear" w:color="auto" w:fill="D6D6D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accent4" w:themeFillTint="33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tcBorders>
          <w:insideH w:val="single" w:color="6E6E6E" w:themeColor="accent4" w:sz="6" w:space="0"/>
          <w:insideV w:val="single" w:color="6E6E6E" w:themeColor="accent4" w:sz="6" w:space="0"/>
        </w:tcBorders>
        <w:shd w:val="clear" w:color="auto" w:fill="B6B6B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F4F4F4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5" w:themeFillTint="33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tcBorders>
          <w:insideH w:val="single" w:color="999999" w:themeColor="accent5" w:sz="6" w:space="0"/>
          <w:insideV w:val="single" w:color="999999" w:themeColor="accent5" w:sz="6" w:space="0"/>
        </w:tcBorders>
        <w:shd w:val="clear" w:color="auto" w:fill="CCCCC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6F6F6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6" w:themeFillTint="33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tcBorders>
          <w:insideH w:val="single" w:color="A5A5A5" w:themeColor="accent6" w:sz="6" w:space="0"/>
          <w:insideV w:val="single" w:color="A5A5A5" w:themeColor="accent6" w:sz="6" w:space="0"/>
        </w:tcBorders>
        <w:shd w:val="clear" w:color="auto" w:fill="D2D2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CBCBC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CBCBC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3B3B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3B3B3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6D6D6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6D6D6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6B6B6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6B6B6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CCCCC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CCCC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B7B7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C3C3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A5A5A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8686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13131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A4A4A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DAD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9595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68686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E6E6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6363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1515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D4D4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47474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5A5A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3535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E7E7E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7B7B7B" w:themeColor="accent1" w:sz="4" w:space="0"/>
        <w:bottom w:val="single" w:color="7B7B7B" w:themeColor="accent1" w:sz="4" w:space="0"/>
        <w:right w:val="single" w:color="7B7B7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84848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84848" w:themeColor="accent1" w:sz="4" w:space="0"/>
          <w:insideV w:val="nil"/>
        </w:tcBorders>
        <w:shd w:val="clear" w:color="auto" w:fill="484848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84848" w:themeFill="accent1" w:themeFillShade="99"/>
      </w:tcPr>
    </w:tblStylePr>
    <w:tblStylePr w:type="band1Vert">
      <w:tblPr/>
      <w:tcPr>
        <w:shd w:val="clear" w:color="auto" w:fill="C9C9C9" w:themeFill="accent1" w:themeFillTint="66"/>
      </w:tcPr>
    </w:tblStylePr>
    <w:tblStylePr w:type="band1Horz">
      <w:tblPr/>
      <w:tcPr>
        <w:shd w:val="clear" w:color="auto" w:fill="BCBCBC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686868" w:themeColor="accent2" w:sz="4" w:space="0"/>
        <w:bottom w:val="single" w:color="686868" w:themeColor="accent2" w:sz="4" w:space="0"/>
        <w:right w:val="single" w:color="686868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3C3C3C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3C3C3C" w:themeColor="accent2" w:sz="4" w:space="0"/>
          <w:insideV w:val="nil"/>
        </w:tcBorders>
        <w:shd w:val="clear" w:color="auto" w:fill="3C3C3C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3C3C" w:themeFill="accent2" w:themeFillShade="99"/>
      </w:tcPr>
    </w:tblStylePr>
    <w:tblStylePr w:type="band1Vert">
      <w:tblPr/>
      <w:tcPr>
        <w:shd w:val="clear" w:color="auto" w:fill="C1C1C1" w:themeFill="accent2" w:themeFillTint="66"/>
      </w:tcPr>
    </w:tblStylePr>
    <w:tblStylePr w:type="band1Horz">
      <w:tblPr/>
      <w:tcPr>
        <w:shd w:val="clear" w:color="auto" w:fill="B3B3B3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24" w:space="0"/>
        <w:left w:val="single" w:color="ADADAD" w:themeColor="accent3" w:sz="4" w:space="0"/>
        <w:bottom w:val="single" w:color="ADADAD" w:themeColor="accent3" w:sz="4" w:space="0"/>
        <w:right w:val="single" w:color="ADADAD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B6B6B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B6B6B" w:themeColor="accent3" w:sz="4" w:space="0"/>
          <w:insideV w:val="nil"/>
        </w:tcBorders>
        <w:shd w:val="clear" w:color="auto" w:fill="6B6B6B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6B6B" w:themeFill="accent3" w:themeFillShade="99"/>
      </w:tcPr>
    </w:tblStylePr>
    <w:tblStylePr w:type="band1Vert">
      <w:tblPr/>
      <w:tcPr>
        <w:shd w:val="clear" w:color="auto" w:fill="DDDDDD" w:themeFill="accent3" w:themeFillTint="66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24" w:space="0"/>
        <w:left w:val="single" w:color="6E6E6E" w:themeColor="accent4" w:sz="4" w:space="0"/>
        <w:bottom w:val="single" w:color="6E6E6E" w:themeColor="accent4" w:sz="4" w:space="0"/>
        <w:right w:val="single" w:color="6E6E6E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14141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14141" w:themeColor="accent4" w:sz="4" w:space="0"/>
          <w:insideV w:val="nil"/>
        </w:tcBorders>
        <w:shd w:val="clear" w:color="auto" w:fill="414141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4141" w:themeFill="accent4" w:themeFillShade="99"/>
      </w:tcPr>
    </w:tblStylePr>
    <w:tblStylePr w:type="band1Vert">
      <w:tblPr/>
      <w:tcPr>
        <w:shd w:val="clear" w:color="auto" w:fill="C4C4C4" w:themeFill="accent4" w:themeFillTint="66"/>
      </w:tcPr>
    </w:tblStylePr>
    <w:tblStylePr w:type="band1Horz">
      <w:tblPr/>
      <w:tcPr>
        <w:shd w:val="clear" w:color="auto" w:fill="B6B6B6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24" w:space="0"/>
        <w:left w:val="single" w:color="999999" w:themeColor="accent5" w:sz="4" w:space="0"/>
        <w:bottom w:val="single" w:color="999999" w:themeColor="accent5" w:sz="4" w:space="0"/>
        <w:right w:val="single" w:color="999999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D5D5D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D5D5D" w:themeColor="accent5" w:sz="4" w:space="0"/>
          <w:insideV w:val="nil"/>
        </w:tcBorders>
        <w:shd w:val="clear" w:color="auto" w:fill="5D5D5D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5D5D" w:themeFill="accent5" w:themeFillShade="99"/>
      </w:tcPr>
    </w:tblStylePr>
    <w:tblStylePr w:type="band1Vert">
      <w:tblPr/>
      <w:tcPr>
        <w:shd w:val="clear" w:color="auto" w:fill="D6D6D6" w:themeFill="accent5" w:themeFillTint="66"/>
      </w:tcPr>
    </w:tblStylePr>
    <w:tblStylePr w:type="band1Horz">
      <w:tblPr/>
      <w:tcPr>
        <w:shd w:val="clear" w:color="auto" w:fill="CCCCCC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24" w:space="0"/>
        <w:left w:val="single" w:color="A5A5A5" w:themeColor="accent6" w:sz="4" w:space="0"/>
        <w:bottom w:val="single" w:color="A5A5A5" w:themeColor="accent6" w:sz="4" w:space="0"/>
        <w:right w:val="single" w:color="A5A5A5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56565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56565" w:themeColor="accent6" w:sz="4" w:space="0"/>
          <w:insideV w:val="nil"/>
        </w:tcBorders>
        <w:shd w:val="clear" w:color="auto" w:fill="656565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6565" w:themeFill="accent6" w:themeFillShade="99"/>
      </w:tcPr>
    </w:tblStylePr>
    <w:tblStylePr w:type="band1Vert">
      <w:tblPr/>
      <w:tcPr>
        <w:shd w:val="clear" w:color="auto" w:fill="DADADA" w:themeFill="accent6" w:themeFillTint="66"/>
      </w:tcPr>
    </w:tblStylePr>
    <w:tblStylePr w:type="band1Horz">
      <w:tblPr/>
      <w:tcPr>
        <w:shd w:val="clear" w:color="auto" w:fill="D2D2D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shd w:val="clear" w:color="auto" w:fill="E4E4E4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shd w:val="clear" w:color="auto" w:fill="E0E0E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575757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shd w:val="clear" w:color="auto" w:fill="EEEEEE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F8F8F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shd w:val="clear" w:color="auto" w:fill="E1E1E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68686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shd w:val="clear" w:color="auto" w:fill="EAEAEA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C7C7C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shd w:val="clear" w:color="auto" w:fill="ECEC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4E4" w:themeFill="accent1" w:themeFillTint="33"/>
    </w:tcPr>
    <w:tblStylePr w:type="firstRow">
      <w:rPr>
        <w:b/>
        <w:bCs/>
      </w:rPr>
      <w:tblPr/>
      <w:tcPr>
        <w:shd w:val="clear" w:color="auto" w:fill="C9C9C9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9C9C9" w:themeFill="accent1" w:themeFillTint="66"/>
      </w:tcPr>
    </w:tblStylePr>
    <w:tblStylePr w:type="fir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la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0E0E0" w:themeFill="accent2" w:themeFillTint="33"/>
    </w:tcPr>
    <w:tblStylePr w:type="firstRow">
      <w:rPr>
        <w:b/>
        <w:bCs/>
      </w:rPr>
      <w:tblPr/>
      <w:tcPr>
        <w:shd w:val="clear" w:color="auto" w:fill="C1C1C1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1C1C1" w:themeFill="accent2" w:themeFillTint="66"/>
      </w:tcPr>
    </w:tblStylePr>
    <w:tblStylePr w:type="fir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la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EEEE" w:themeFill="accent3" w:themeFillTint="33"/>
    </w:tcPr>
    <w:tblStylePr w:type="firstRow">
      <w:rPr>
        <w:b/>
        <w:bCs/>
      </w:rPr>
      <w:tblPr/>
      <w:tcPr>
        <w:shd w:val="clear" w:color="auto" w:fill="DDDDDD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DDDDD" w:themeFill="accent3" w:themeFillTint="66"/>
      </w:tcPr>
    </w:tblStylePr>
    <w:tblStylePr w:type="fir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la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1E1E1" w:themeFill="accent4" w:themeFillTint="33"/>
    </w:tcPr>
    <w:tblStylePr w:type="firstRow">
      <w:rPr>
        <w:b/>
        <w:bCs/>
      </w:rPr>
      <w:tblPr/>
      <w:tcPr>
        <w:shd w:val="clear" w:color="auto" w:fill="C4C4C4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4C4C4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5" w:themeFillTint="33"/>
    </w:tcPr>
    <w:tblStylePr w:type="firstRow">
      <w:rPr>
        <w:b/>
        <w:bCs/>
      </w:rPr>
      <w:tblPr/>
      <w:tcPr>
        <w:shd w:val="clear" w:color="auto" w:fill="D6D6D6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D6D6" w:themeFill="accent5" w:themeFillTint="66"/>
      </w:tcPr>
    </w:tblStylePr>
    <w:tblStylePr w:type="fir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la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ECEC" w:themeFill="accent6" w:themeFillTint="33"/>
    </w:tcPr>
    <w:tblStylePr w:type="firstRow">
      <w:rPr>
        <w:b/>
        <w:bCs/>
      </w:rPr>
      <w:tblPr/>
      <w:tcPr>
        <w:shd w:val="clear" w:color="auto" w:fill="DADADA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ADADA" w:themeFill="accent6" w:themeFillTint="66"/>
      </w:tcPr>
    </w:tblStylePr>
    <w:tblStylePr w:type="fir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la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paragraph" w:customStyle="1" w:styleId="Repèred’annexe">
    <w:name w:val="Repère d’annexe"/>
    <w:basedOn w:val="Normal"/>
    <w:rPr>
      <w:rFonts w:ascii="Source Sans 3" w:hAnsi="Source Sans 3" w:eastAsia="Source Sans 3" w:cs="Source Sans 3"/>
      <w:color w:val="656565"/>
      <w:sz w:val="16"/>
      <w:b w:val="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4" Type="http://schemas.openxmlformats.org/officeDocument/2006/relationships/header" Target="header8.xml"/><Relationship Id="rId27" Type="http://schemas.openxmlformats.org/officeDocument/2006/relationships/footer" Target="footer8.xml"/><Relationship Id="rId28" Type="http://schemas.openxmlformats.org/officeDocument/2006/relationships/header" Target="header9.xml"/><Relationship Id="rId29" Type="http://schemas.openxmlformats.org/officeDocument/2006/relationships/footer" Target="footer9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4444"/>
      </a:dk2>
      <a:lt2>
        <a:srgbClr val="ececec"/>
      </a:lt2>
      <a:accent1>
        <a:srgbClr val="7b7b7b"/>
      </a:accent1>
      <a:accent2>
        <a:srgbClr val="686868"/>
      </a:accent2>
      <a:accent3>
        <a:srgbClr val="adadad"/>
      </a:accent3>
      <a:accent4>
        <a:srgbClr val="6e6e6e"/>
      </a:accent4>
      <a:accent5>
        <a:srgbClr val="999999"/>
      </a:accent5>
      <a:accent6>
        <a:srgbClr val="a5a5a5"/>
      </a:accent6>
      <a:hlink>
        <a:srgbClr val="121212"/>
      </a:hlink>
      <a:folHlink>
        <a:srgbClr val="242424"/>
      </a:folHlink>
    </a:clrScheme>
    <a:fontScheme name="Office">
      <a:majorFont>
        <a:latin typeface="Source Serif 4" pitchFamily="0" charset="1"/>
        <a:ea typeface=""/>
        <a:cs typeface=""/>
      </a:majorFont>
      <a:minorFont>
        <a:latin typeface="Source Serif 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30300"/>
                <a:shade val="30300"/>
              </a:schemeClr>
            </a:gs>
            <a:gs pos="100000">
              <a:schemeClr val="phClr">
                <a:tint val="50000"/>
                <a:shade val="303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Gestion et évaluation</cp:category>
  <dcterms:created xsi:type="dcterms:W3CDTF">2013-12-23T23:15:00Z</dcterms:created>
  <dc:creator>Chantal Bouchard</dc:creator>
  <dc:description>Annexe extraite au format Letter pour diffusion web.</dc:description>
  <cp:keywords>indicateurs, noir et blanc, épreuve, navigation, mise en page</cp:keywords>
  <dc:language>en-US</dc:language>
  <cp:lastModifiedBy>Chantal Bouchard</cp:lastModifiedBy>
  <dcterms:modified xsi:type="dcterms:W3CDTF">2026-07-03T15:55:45Z</dcterms:modified>
  <cp:revision>18</cp:revision>
  <dc:subject>Gabarit Word Letter — Construire des indicateurs utiles</dc:subject>
  <dc:title>Annexe C — Fiche de description de l’objet</dc:title>
  <cp:version>NB v2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