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spacing w:lineRule="auto" w:line="240" w:before="220" w:after="140"/>
        <w:ind w:hanging="0"/>
        <w:rPr/>
      </w:pPr>
      <w:r>
        <w:rPr/>
        <w:t>Annexe F — Fiche-indicateur essentielle</w:t>
      </w:r>
    </w:p>
    <w:p>
      <w:pPr>
        <w:pStyle w:val="AnnexSubtitle"/>
        <w:keepNext w:val="true"/>
        <w:keepLines/>
        <w:widowControl/>
        <w:spacing w:lineRule="auto" w:line="240" w:before="0" w:after="220"/>
        <w:ind w:hanging="0"/>
        <w:rPr/>
      </w:pPr>
      <w:r>
        <w:rPr/>
        <w:t>Documenter de façon uniforme les indicateurs relativement simples.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0B0B0"/>
              <w:left w:val="single" w:sz="8" w:space="0" w:color="B0B0B0"/>
              <w:bottom w:val="single" w:sz="8" w:space="0" w:color="B0B0B0"/>
              <w:right w:val="single" w:sz="8" w:space="0" w:color="B0B0B0"/>
            </w:tcBorders>
            <w:shd w:fill="F6F6F6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Utiliser cette fiche lorsque la population est bien connue et que les règles d’inclusion ou d’exclusion ne demandent pas une documentation détaillée.</w:t>
            </w:r>
          </w:p>
        </w:tc>
      </w:tr>
      <w:tr>
        <w:trPr>
          <w:cantSplit w:val="true"/>
        </w:trPr>
        <w:tc>
          <w:tcPr>
            <w:tcW w:w="10224" w:type="dxa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Compléter cette fiche avant la mise en routine. Une personne qui n’a pas participé à sa construction doit pouvoir comprendre ce qui est calculé, pourquoi et comment le lire.</w:t>
            </w:r>
          </w:p>
        </w:tc>
      </w:tr>
    </w:tbl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Pourquoi cet indicateur existe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Élément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80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Numéro, version et date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0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Nom de l’indicateur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0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Nom abrégé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0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Question de gestion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80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Décision à éclairer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p>
      <w:pPr>
        <w:pStyle w:val="AnnexSubtitlesuite"/>
        <w:keepNext w:val="true"/>
        <w:keepLines/>
        <w:widowControl/>
        <w:spacing w:lineRule="auto" w:line="240" w:before="0" w:after="220"/>
        <w:ind w:hanging="0"/>
        <w:rPr/>
      </w:pPr>
      <w:r>
        <w:rPr/>
        <w:t>Suite — objet, qualité et point de vue.</w:t>
      </w:r>
    </w:p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Ce qui est évalué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Élément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Service, programme ou processus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Composante examinée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Niveau d’analyse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color w:val="656565"/>
                <w:sz w:val="21"/>
              </w:rPr>
              <w:t xml:space="preserve">□ Macro   □ Méso   □ Micro</w:t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Qualité examinée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Point de vue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color w:val="656565"/>
                <w:sz w:val="21"/>
              </w:rPr>
              <w:t xml:space="preserve">□ Qualité voulue   □ Qualité rendue   □ Qualité perçue</w:t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p>
      <w:pPr>
        <w:pStyle w:val="AnnexSubtitlesuite"/>
        <w:keepNext w:val="true"/>
        <w:keepLines/>
        <w:widowControl/>
        <w:spacing w:lineRule="auto" w:line="240" w:before="0" w:after="220"/>
        <w:ind w:hanging="0"/>
        <w:rPr/>
      </w:pPr>
      <w:r>
        <w:rPr/>
        <w:t>Suite — production, lecture et utilisation.</w:t>
      </w:r>
    </w:p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Comment il est produit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Élément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49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Forme de l’indicateur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color w:val="656565"/>
                <w:sz w:val="21"/>
              </w:rPr>
              <w:t xml:space="preserve">□ Nombre  □ Proportion  □ Taux  □ Ratio  □ Moyenne  □ Autre</w:t>
            </w:r>
          </w:p>
        </w:tc>
      </w:tr>
      <w:tr>
        <w:trPr>
          <w:trHeight w:val="49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Règle de calcul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9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Source d’information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9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Méthode de collecte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90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Périodicité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</w:tbl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Comment il est lu et utilisé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Élément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Cible ou balise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Ventilation prévue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Comparaison pertinente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Responsable du suivi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Destinataires des résultats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Décision ou action à envisager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475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Limites et précautions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F — Fiche-indicateur essentielle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