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nnexTitle"/>
        <w:keepNext w:val="true"/>
        <w:keepLines/>
        <w:widowControl/>
        <w:spacing w:lineRule="auto" w:line="240" w:before="220" w:after="140"/>
        <w:ind w:hanging="0"/>
        <w:rPr/>
      </w:pPr>
      <w:r>
        <w:rPr/>
        <w:t>Annexe J — Fiche de lecture et d’interprétation</w:t>
      </w:r>
    </w:p>
    <w:p>
      <w:pPr>
        <w:pStyle w:val="AnnexSubtitle"/>
        <w:keepNext w:val="true"/>
        <w:keepLines/>
        <w:widowControl/>
        <w:spacing w:lineRule="auto" w:line="240" w:before="0" w:after="220"/>
        <w:ind w:hanging="0"/>
        <w:rPr/>
      </w:pPr>
      <w:r>
        <w:rPr/>
        <w:t>Passer du résultat au constat, à l’hypothèse et à la suite à donner.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cantSplit w:val="true"/>
          <w:tblHeader/>
        </w:trPr>
        <w:tc>
          <w:tcPr>
            <w:tcW w:w="10224" w:type="dxa"/>
            <w:gridSpan w:val="2"/>
            <w:tcBorders>
              <w:top w:val="single" w:sz="8" w:space="0" w:color="B0B0B0"/>
              <w:left w:val="single" w:sz="8" w:space="0" w:color="B0B0B0"/>
              <w:bottom w:val="single" w:sz="8" w:space="0" w:color="B0B0B0"/>
              <w:right w:val="single" w:sz="8" w:space="0" w:color="B0B0B0"/>
            </w:tcBorders>
            <w:shd w:fill="F6F6F6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Utiliser cette fiche pour séparer le résultat observé, le constat qu’il autorise, les hypothèses à vérifier et la décision qui peut suivre.</w:t>
            </w:r>
          </w:p>
        </w:tc>
      </w:tr>
      <w:tr>
        <w:trPr>
          <w:cantSplit w:val="true"/>
        </w:trPr>
        <w:tc>
          <w:tcPr>
            <w:tcW w:w="10224" w:type="dxa"/>
            <w:gridSpan w:val="2"/>
            <w:tcBorders>
              <w:top w:val="single" w:sz="6" w:space="0" w:color="ADADAD"/>
              <w:left w:val="single" w:sz="6" w:space="0" w:color="ADADAD"/>
              <w:bottom w:val="single" w:sz="6" w:space="0" w:color="ADADAD"/>
              <w:right w:val="single" w:sz="6" w:space="0" w:color="ADADAD"/>
            </w:tcBorders>
            <w:shd w:fill="F4F4F4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Compléter une fiche pour chaque résultat qui demande une discussion ou une décision. Examiner les comparaisons et les ventilations utiles avant de proposer une action.</w:t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Étape</w:t>
            </w:r>
          </w:p>
        </w:tc>
        <w:tc>
          <w:tcPr>
            <w:tcW w:w="511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À consigner</w:t>
            </w:r>
          </w:p>
        </w:tc>
      </w:tr>
      <w:tr>
        <w:trPr>
          <w:trHeight w:val="936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sz w:val="21"/>
              </w:rPr>
              <w:t>1. Résultat d’indicateur observé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sz w:val="21"/>
              </w:rPr>
              <w:t>Valeur produite, période, unité, cible ou balise, tendance et comparaison pertinente.</w:t>
            </w:r>
          </w:p>
        </w:tc>
      </w:tr>
      <w:tr>
        <w:trPr>
          <w:trHeight w:val="936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2. Constat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color w:val="656565"/>
                <w:sz w:val="21"/>
              </w:rPr>
              <w:t>Ce que le résultat permet de dire avec prudence.</w:t>
            </w:r>
          </w:p>
        </w:tc>
      </w:tr>
      <w:tr>
        <w:trPr>
          <w:trHeight w:val="1008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3. Vérifications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sz w:val="21"/>
              </w:rPr>
              <w:t>Données à valider, ventilations à examiner, échantillon à décrire au besoin, ajustements de comparaison et autres indicateurs à croiser.</w:t>
            </w:r>
          </w:p>
        </w:tc>
      </w:tr>
      <w:tr>
        <w:trPr>
          <w:trHeight w:val="1008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4. Hypothèses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color w:val="656565"/>
                <w:sz w:val="21"/>
              </w:rPr>
              <w:t>Explications possibles qui doivent être confirmées ou écartées.</w:t>
            </w:r>
          </w:p>
        </w:tc>
      </w:tr>
      <w:tr>
        <w:trPr>
          <w:trHeight w:val="1152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5. Suite proposée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color w:val="656565"/>
                <w:sz w:val="21"/>
              </w:rPr>
              <w:t>Maintenir, approfondir, tester une action, corriger une pratique, revoir une cible ou reporter une décision.</w:t>
            </w:r>
          </w:p>
        </w:tc>
      </w:tr>
    </w:tbl>
    <w:p>
      <w:pPr>
        <w:pStyle w:val="AnnexSection"/>
        <w:keepNext w:val="true"/>
        <w:keepLines/>
        <w:widowControl/>
        <w:spacing w:lineRule="auto" w:line="259" w:before="0" w:after="80"/>
        <w:ind w:hanging="0"/>
        <w:rPr/>
      </w:pPr>
      <w:r>
        <w:br w:type="page"/>
      </w:r>
      <w:r>
        <w:rPr/>
        <w:t>Notes d’interprétation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tblHeader w:val="true"/>
          <w:cantSplit w:val="true"/>
        </w:trPr>
        <w:tc>
          <w:tcPr>
            <w:tcW w:w="511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Rubrique</w:t>
            </w:r>
          </w:p>
        </w:tc>
        <w:tc>
          <w:tcPr>
            <w:tcW w:w="511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À compléter</w:t>
            </w:r>
          </w:p>
        </w:tc>
      </w:tr>
      <w:tr>
        <w:trPr>
          <w:trHeight w:val="648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sz w:val="21"/>
              </w:rPr>
              <w:t>Résultat d’indicateur et contexte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648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Comparaisons et ventilations examinées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648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Constat retenu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648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Hypothèses à vérifier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648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Personnes à consulter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648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Décision ou prochaine étape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</w:tbl>
    <w:tbl>
      <w:tblPr>
        <w:tblW w:w="10224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trHeight w:val="120" w:hRule="exact"/>
          <w:cantSplit w:val="true"/>
          <w:tblHeader/>
        </w:trPr>
        <w:tc>
          <w:tcPr>
            <w:tcW w:w="10224" w:type="dxa"/>
            <w:tcBorders/>
            <w:shd w:fill="444444"/>
          </w:tcPr>
          <w:p>
            <w:pPr>
              <w:pStyle w:val="Normal"/>
              <w:widowControl/>
              <w:spacing w:lineRule="exact" w:line="20" w:before="0" w:after="0"/>
              <w:ind w:hanging="0" w:left="0" w:right="0"/>
              <w:rPr/>
            </w:pPr>
            <w:r>
              <w:rPr/>
            </w:r>
          </w:p>
        </w:tc>
      </w:tr>
    </w:tbl>
    <w:sectPr>
      <w:headerReference w:type="default" r:id="rId25"/>
      <w:footerReference w:type="default" r:id="rId26"/>
      <w:headerReference w:type="first" r:id="rId24"/>
      <w:footerReference w:type="first" r:id="rId27"/>
      <w:headerReference w:type="even" r:id="rId28"/>
      <w:footerReference w:type="even" r:id="rId29"/>
      <w:pgSz w:w="12240" w:h="15840"/>
      <w:pgMar w:left="1008" w:right="1008" w:gutter="0" w:header="432" w:top="1008" w:footer="490" w:bottom="100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Source Serif 4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ource Sans 3">
    <w:charset w:val="00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suff w:val="space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22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Source Serif 4" w:hAnsi="Source Serif 4" w:eastAsia="Source Serif 4" w:cs="Source Serif 4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exact" w:line="290" w:before="0" w:after="100"/>
      <w:jc w:val="left"/>
    </w:pPr>
    <w:rPr>
      <w:rFonts w:ascii="Source Serif 4" w:hAnsi="Source Serif 4" w:eastAsia="Source Serif 4" w:cs="Source Serif 4"/>
      <w:b w:val="false"/>
      <w:i w:val="false"/>
      <w:color w:val="1A1A1A"/>
      <w:kern w:val="0"/>
      <w:sz w:val="23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lineRule="auto" w:line="240" w:before="680" w:after="280"/>
      <w:outlineLvl w:val="0"/>
    </w:pPr>
    <w:rPr>
      <w:rFonts w:ascii="Source Serif 4" w:hAnsi="Source Serif 4" w:eastAsia="Source Serif 4" w:cs="Source Serif 4"/>
      <w:b/>
      <w:bCs/>
      <w:i w:val="false"/>
      <w:color w:val="1A1A1A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lineRule="exact" w:line="400" w:before="262" w:after="142"/>
      <w:ind w:hanging="0"/>
      <w:outlineLvl w:val="1"/>
    </w:pPr>
    <w:rPr>
      <w:rFonts w:ascii="Source Serif 4" w:hAnsi="Source Serif 4" w:eastAsia="Source Serif 4" w:cs="Source Serif 4"/>
      <w:b/>
      <w:bCs/>
      <w:i w:val="false"/>
      <w:color w:val="1A1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exact" w:line="330" w:before="280" w:after="100"/>
      <w:outlineLvl w:val="2"/>
    </w:pPr>
    <w:rPr>
      <w:rFonts w:ascii="Source Serif 4" w:hAnsi="Source Serif 4" w:eastAsia="Source Serif 4" w:cs="Source Serif 4"/>
      <w:b/>
      <w:bCs/>
      <w:i w:val="false"/>
      <w:color w:val="26262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Source Serif 4" w:hAnsi="Source Serif 4" w:eastAsia="Source Serif 4" w:cs="Source Serif 4"/>
      <w:color w:themeColor="accent1" w:themeShade="7f" w:val="3C3C3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Source Serif 4" w:hAnsi="Source Serif 4" w:eastAsia="Source Serif 4" w:cs="Source Serif 4"/>
      <w:i/>
      <w:iCs/>
      <w:color w:themeColor="accent1" w:themeShade="7f" w:val="3C3C3C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Source Serif 4" w:hAnsi="Source Serif 4" w:eastAsia="Source Serif 4" w:cs="Source Serif 4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themeShade="bf" w:val="5A5A5A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Source Serif 4" w:hAnsi="Source Serif 4" w:eastAsia="Source Serif 4" w:cs="Source Serif 4"/>
      <w:color w:themeColor="text2" w:themeShade="bf" w:val="323232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Source Serif 4" w:hAnsi="Source Serif 4" w:eastAsia="Source Serif 4" w:cs="Source Serif 4"/>
      <w:i/>
      <w:iCs/>
      <w:color w:themeColor="accent1" w:val="7B7B7B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Source Serif 4" w:hAnsi="Source Serif 4" w:eastAsia="Source Serif 4" w:cs="Source Serif 4"/>
      <w:color w:themeColor="accent1" w:themeShade="7f" w:val="3C3C3C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accent1" w:themeShade="7f" w:val="3C3C3C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7B7B7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7B7B7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686868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686868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true"/>
      <w:keepLines/>
      <w:widowControl/>
      <w:spacing w:lineRule="exact" w:line="210" w:before="100" w:after="100"/>
      <w:ind w:hanging="0"/>
      <w:jc w:val="center"/>
    </w:pPr>
    <w:rPr>
      <w:rFonts w:ascii="Source Sans 3" w:hAnsi="Source Sans 3" w:eastAsia="Source Sans 3" w:cs="Source Sans 3"/>
      <w:b w:val="false"/>
      <w:bCs/>
      <w:i w:val="false"/>
      <w:color w:val="52525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7B7B7B" w:themeColor="accent1"/>
      </w:pBdr>
      <w:spacing w:lineRule="exact" w:line="620" w:before="0" w:after="300"/>
      <w:contextualSpacing/>
    </w:pPr>
    <w:rPr>
      <w:rFonts w:ascii="Source Serif 4" w:hAnsi="Source Serif 4" w:eastAsia="Source Serif 4" w:cs="Source Serif 4"/>
      <w:b/>
      <w:i w:val="false"/>
      <w:color w:val="1A1A1A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lineRule="exact" w:line="300" w:before="0" w:after="120"/>
    </w:pPr>
    <w:rPr>
      <w:rFonts w:ascii="Source Serif 4" w:hAnsi="Source Serif 4" w:eastAsia="Source Serif 4" w:cs="Source Serif 4"/>
      <w:b w:val="false"/>
      <w:i/>
      <w:iCs/>
      <w:color w:val="525252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ilvl w:val="0"/>
        <w:numId w:val="1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ilvl w:val="0"/>
        <w:numId w:val="4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7B7B7B" w:themeColor="accent1"/>
      </w:pBdr>
      <w:spacing w:before="200" w:after="280"/>
      <w:ind w:left="936" w:right="936"/>
    </w:pPr>
    <w:rPr>
      <w:b/>
      <w:bCs/>
      <w:i/>
      <w:iCs/>
      <w:color w:themeColor="accent1" w:val="7B7B7B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umrodepartie" w:customStyle="1">
    <w:name w:val="Numéro de partie"/>
    <w:basedOn w:val="Normal"/>
    <w:qFormat/>
    <w:pPr>
      <w:keepNext w:val="true"/>
      <w:keepLines/>
      <w:spacing w:lineRule="auto" w:line="240" w:before="3024" w:after="160"/>
      <w:jc w:val="center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Titredepartie" w:customStyle="1">
    <w:name w:val="Titre de partie"/>
    <w:basedOn w:val="Normal"/>
    <w:qFormat/>
    <w:pPr>
      <w:keepNext w:val="true"/>
      <w:keepLines/>
      <w:widowControl/>
      <w:spacing w:lineRule="auto" w:line="240" w:before="0" w:after="240"/>
      <w:jc w:val="center"/>
    </w:pPr>
    <w:rPr>
      <w:rFonts w:ascii="Source Serif 4" w:hAnsi="Source Serif 4" w:eastAsia="Source Serif 4" w:cs="Source Serif 4"/>
      <w:b/>
      <w:i w:val="false"/>
      <w:color w:val="1A1A1A"/>
      <w:sz w:val="56"/>
    </w:rPr>
  </w:style>
  <w:style w:type="paragraph" w:styleId="Sous-titredepartie" w:customStyle="1">
    <w:name w:val="Sous-titre de partie"/>
    <w:basedOn w:val="Normal"/>
    <w:qFormat/>
    <w:pPr>
      <w:keepNext w:val="true"/>
      <w:keepLines/>
      <w:spacing w:lineRule="auto" w:line="240" w:before="0" w:after="0"/>
      <w:jc w:val="center"/>
    </w:pPr>
    <w:rPr>
      <w:rFonts w:ascii="Source Serif 4" w:hAnsi="Source Serif 4" w:eastAsia="Source Serif 4" w:cs="Source Serif 4"/>
      <w:b w:val="false"/>
      <w:i/>
      <w:color w:val="525252"/>
      <w:sz w:val="24"/>
    </w:rPr>
  </w:style>
  <w:style w:type="paragraph" w:styleId="Numrodechapitre" w:customStyle="1">
    <w:name w:val="Numéro de chapitre"/>
    <w:basedOn w:val="Normal"/>
    <w:qFormat/>
    <w:pPr>
      <w:keepNext w:val="true"/>
      <w:keepLines/>
      <w:widowControl/>
      <w:spacing w:lineRule="auto" w:line="240" w:before="0" w:after="120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Casfilconducteur" w:customStyle="1">
    <w:name w:val="Cas fil conducteur"/>
    <w:basedOn w:val="Normal"/>
    <w:qFormat/>
    <w:pPr>
      <w:keepNext w:val="true"/>
      <w:keepLines/>
      <w:spacing w:lineRule="exact" w:line="290" w:before="240" w:after="80"/>
    </w:pPr>
    <w:rPr>
      <w:rFonts w:ascii="Source Serif 4" w:hAnsi="Source Serif 4" w:eastAsia="Source Serif 4" w:cs="Source Serif 4"/>
      <w:b/>
      <w:i/>
      <w:color w:val="1A1A1A"/>
      <w:sz w:val="25"/>
    </w:rPr>
  </w:style>
  <w:style w:type="paragraph" w:styleId="AnnexTitle" w:customStyle="1">
    <w:name w:val="AnnexTitle"/>
    <w:qFormat/>
    <w:pPr>
      <w:keepNext w:val="true"/>
      <w:keepLines/>
      <w:widowControl/>
      <w:bidi w:val="0"/>
      <w:spacing w:lineRule="exact" w:line="440" w:before="400" w:after="120"/>
      <w:jc w:val="left"/>
      <w:outlineLvl w:val="0"/>
    </w:pPr>
    <w:rPr>
      <w:rFonts w:ascii="Source Serif 4" w:hAnsi="Source Serif 4" w:eastAsia="Source Serif 4" w:cs="Source Serif 4"/>
      <w:b/>
      <w:i w:val="false"/>
      <w:color w:val="1A1A1A"/>
      <w:kern w:val="0"/>
      <w:sz w:val="38"/>
      <w:szCs w:val="22"/>
      <w:lang w:val="en-US" w:eastAsia="en-US" w:bidi="ar-SA"/>
    </w:rPr>
  </w:style>
  <w:style w:type="paragraph" w:styleId="AnnexSubtitle" w:customStyle="1">
    <w:name w:val="AnnexSubtitle"/>
    <w:qFormat/>
    <w:pPr>
      <w:keepNext w:val="true"/>
      <w:keepLines/>
      <w:widowControl/>
      <w:bidi w:val="0"/>
      <w:spacing w:lineRule="exact" w:line="260" w:before="0" w:after="120"/>
      <w:jc w:val="left"/>
    </w:pPr>
    <w:rPr>
      <w:rFonts w:ascii="Source Serif 4" w:hAnsi="Source Serif 4" w:eastAsia="Source Serif 4" w:cs="Source Serif 4"/>
      <w:b w:val="0"/>
      <w:i/>
      <w:color w:val="525252"/>
      <w:kern w:val="0"/>
      <w:sz w:val="22"/>
      <w:szCs w:val="22"/>
      <w:lang w:val="en-US" w:eastAsia="en-US" w:bidi="ar-SA"/>
    </w:rPr>
  </w:style>
  <w:style w:type="paragraph" w:styleId="AnnexSection" w:customStyle="1">
    <w:name w:val="AnnexSection"/>
    <w:qFormat/>
    <w:pPr>
      <w:keepNext w:val="true"/>
      <w:keepLines/>
      <w:widowControl/>
      <w:bidi w:val="0"/>
      <w:spacing w:lineRule="exact" w:line="260" w:before="140" w:after="40"/>
      <w:jc w:val="left"/>
    </w:pPr>
    <w:rPr>
      <w:rFonts w:ascii="Source Sans 3" w:hAnsi="Source Sans 3" w:eastAsia="Source Sans 3" w:cs="Source Sans 3"/>
      <w:b/>
      <w:i w:val="false"/>
      <w:color w:val="1A1A1A"/>
      <w:kern w:val="0"/>
      <w:sz w:val="22"/>
      <w:szCs w:val="22"/>
      <w:lang w:val="en-US" w:eastAsia="en-US" w:bidi="ar-SA"/>
    </w:rPr>
  </w:style>
  <w:style w:type="paragraph" w:styleId="AnnexSmall" w:customStyle="1">
    <w:name w:val="AnnexSmall"/>
    <w:qFormat/>
    <w:pPr>
      <w:widowControl/>
      <w:bidi w:val="0"/>
      <w:spacing w:lineRule="exact" w:line="200" w:before="0" w:after="40"/>
      <w:jc w:val="left"/>
    </w:pPr>
    <w:rPr>
      <w:rFonts w:ascii="Source Sans 3" w:hAnsi="Source Sans 3" w:eastAsia="Source Sans 3" w:cs="Source Sans 3"/>
      <w:b w:val="false"/>
      <w:i w:val="false"/>
      <w:color w:val="656565"/>
      <w:kern w:val="0"/>
      <w:sz w:val="17"/>
      <w:szCs w:val="22"/>
      <w:lang w:val="en-US" w:eastAsia="en-US" w:bidi="ar-SA"/>
    </w:rPr>
  </w:style>
  <w:style w:type="paragraph" w:styleId="Intertitre" w:customStyle="1">
    <w:name w:val="Intertitre"/>
    <w:basedOn w:val="Normal"/>
    <w:qFormat/>
    <w:pPr>
      <w:keepNext w:val="true"/>
      <w:keepLines/>
      <w:widowControl/>
      <w:spacing w:lineRule="exact" w:line="290" w:before="200" w:after="80"/>
      <w:ind w:hanging="0"/>
    </w:pPr>
    <w:rPr>
      <w:rFonts w:ascii="Source Serif 4" w:hAnsi="Source Serif 4" w:eastAsia="Source Serif 4" w:cs="Source Serif 4"/>
      <w:b/>
      <w:i w:val="false"/>
      <w:color w:val="1A1A1A"/>
      <w:sz w:val="24"/>
    </w:rPr>
  </w:style>
  <w:style w:type="paragraph" w:styleId="Figureimage" w:customStyle="1">
    <w:name w:val="Figure image"/>
    <w:basedOn w:val="Normal"/>
    <w:qFormat/>
    <w:pPr>
      <w:keepNext w:val="true"/>
      <w:keepLines/>
      <w:widowControl/>
      <w:spacing w:lineRule="auto" w:line="240" w:before="120" w:after="0"/>
      <w:ind w:hanging="0"/>
      <w:jc w:val="center"/>
    </w:pPr>
    <w:rPr/>
  </w:style>
  <w:style w:type="paragraph" w:styleId="Encadrrepre" w:customStyle="1">
    <w:name w:val="Encadré — repèr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40"/>
      <w:ind w:hanging="0" w:left="259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titre" w:customStyle="1">
    <w:name w:val="Encadré — titre"/>
    <w:basedOn w:val="Normal"/>
    <w:qFormat/>
    <w:pPr>
      <w:keepNext w:val="true"/>
      <w:keepLines/>
      <w:widowControl/>
      <w:pBdr>
        <w:left w:val="single" w:sz="12" w:space="6" w:color="747474"/>
      </w:pBdr>
      <w:shd w:val="clear" w:color="auto" w:fill="F3F3F3"/>
      <w:spacing w:lineRule="exact" w:line="250" w:before="40" w:after="30"/>
      <w:ind w:hanging="0" w:left="259" w:right="72"/>
    </w:pPr>
    <w:rPr>
      <w:rFonts w:ascii="Source Sans 3" w:hAnsi="Source Sans 3" w:eastAsia="Source Sans 3" w:cs="Source Sans 3"/>
      <w:b/>
      <w:color w:val="1A1A1A"/>
      <w:sz w:val="20"/>
    </w:rPr>
  </w:style>
  <w:style w:type="paragraph" w:styleId="Encadrnumrot" w:customStyle="1">
    <w:name w:val="Encadré — numéroté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liste" w:customStyle="1">
    <w:name w:val="Encadré — list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vrification" w:customStyle="1">
    <w:name w:val="Encadré — vérification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59" w:left="475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Listepuce" w:customStyle="1">
    <w:name w:val="Liste — puce"/>
    <w:basedOn w:val="Normal"/>
    <w:qFormat/>
    <w:pPr>
      <w:widowControl/>
      <w:spacing w:lineRule="exact" w:line="290" w:before="30" w:after="30"/>
      <w:ind w:hanging="230" w:left="432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numrote" w:customStyle="1">
    <w:name w:val="Liste — numérotée"/>
    <w:basedOn w:val="Normal"/>
    <w:qFormat/>
    <w:pPr>
      <w:widowControl/>
      <w:spacing w:lineRule="exact" w:line="290" w:before="30" w:after="30"/>
      <w:ind w:hanging="245" w:left="446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vrification" w:customStyle="1">
    <w:name w:val="Liste — vérification"/>
    <w:basedOn w:val="Normal"/>
    <w:qFormat/>
    <w:pPr>
      <w:widowControl/>
      <w:spacing w:lineRule="exact" w:line="252" w:before="30" w:after="30"/>
      <w:ind w:hanging="259" w:left="446" w:right="0"/>
    </w:pPr>
    <w:rPr>
      <w:rFonts w:ascii="Source Sans 3" w:hAnsi="Source Sans 3" w:eastAsia="Source Sans 3" w:cs="Source Sans 3"/>
      <w:color w:val="1A1A1A"/>
      <w:sz w:val="20"/>
    </w:rPr>
  </w:style>
  <w:style w:type="paragraph" w:styleId="Encadrtitretableau" w:customStyle="1">
    <w:name w:val="Encadré — titre tableau"/>
    <w:basedOn w:val="Normal"/>
    <w:qFormat/>
    <w:pPr>
      <w:widowControl/>
      <w:spacing w:lineRule="exact" w:line="230" w:before="0" w:after="30"/>
      <w:ind w:hanging="0"/>
    </w:pPr>
    <w:rPr>
      <w:rFonts w:ascii="Source Sans 3" w:hAnsi="Source Sans 3" w:eastAsia="Source Sans 3" w:cs="Source Sans 3"/>
      <w:b/>
      <w:color w:val="1A1A1A"/>
      <w:sz w:val="19"/>
    </w:rPr>
  </w:style>
  <w:style w:type="paragraph" w:styleId="Encadrtextetableau" w:customStyle="1">
    <w:name w:val="Encadré — texte tableau"/>
    <w:basedOn w:val="Normal"/>
    <w:qFormat/>
    <w:pPr>
      <w:widowControl/>
      <w:spacing w:lineRule="exact" w:line="230" w:before="0" w:after="0"/>
      <w:ind w:hanging="0"/>
    </w:pPr>
    <w:rPr>
      <w:rFonts w:ascii="Source Sans 3" w:hAnsi="Source Sans 3" w:eastAsia="Source Sans 3" w:cs="Source Sans 3"/>
      <w:color w:val="1A1A1A"/>
      <w:sz w:val="19"/>
    </w:rPr>
  </w:style>
  <w:style w:type="paragraph" w:styleId="Annexeconsigne" w:customStyle="1">
    <w:name w:val="Annexe — consigne"/>
    <w:basedOn w:val="Normal"/>
    <w:qFormat/>
    <w:pPr>
      <w:widowControl/>
      <w:spacing w:lineRule="exact" w:line="240" w:before="0" w:after="0"/>
      <w:ind w:hanging="0"/>
    </w:pPr>
    <w:rPr>
      <w:rFonts w:ascii="Source Sans 3" w:hAnsi="Source Sans 3" w:eastAsia="Source Sans 3" w:cs="Source Sans 3"/>
      <w:color w:val="525252"/>
      <w:sz w:val="20"/>
    </w:rPr>
  </w:style>
  <w:style w:type="paragraph" w:styleId="AnnexTitlesuite" w:customStyle="1">
    <w:name w:val="AnnexTitle suite"/>
    <w:qFormat/>
    <w:pPr>
      <w:keepNext w:val="true"/>
      <w:keepLines/>
      <w:widowControl/>
      <w:bidi w:val="0"/>
      <w:spacing w:lineRule="exact" w:line="320" w:before="260" w:after="60"/>
      <w:jc w:val="left"/>
    </w:pPr>
    <w:rPr>
      <w:rFonts w:ascii="Source Serif 4" w:hAnsi="Source Serif 4" w:eastAsia="Source Serif 4" w:cs="Source Serif 4"/>
      <w:b/>
      <w:i w:val="false"/>
      <w:color w:val="1A1A1A"/>
      <w:kern w:val="0"/>
      <w:sz w:val="29"/>
      <w:szCs w:val="22"/>
      <w:lang w:val="en-US" w:eastAsia="en-US" w:bidi="ar-SA"/>
    </w:rPr>
  </w:style>
  <w:style w:type="paragraph" w:styleId="Heading2ouverture" w:customStyle="1">
    <w:name w:val="Heading 2 — ouverture"/>
    <w:basedOn w:val="Heading2"/>
    <w:qFormat/>
    <w:pPr>
      <w:keepNext w:val="true"/>
      <w:keepLines/>
      <w:widowControl/>
      <w:spacing w:lineRule="exact" w:line="400" w:before="0" w:after="142"/>
      <w:ind w:hanging="0"/>
    </w:pPr>
    <w:rPr>
      <w:rFonts w:ascii="Source Serif 4" w:hAnsi="Source Serif 4" w:eastAsia="Source Serif 4" w:cs="Source Serif 4"/>
      <w:b/>
      <w:i w:val="false"/>
      <w:color w:val="1A1A1A"/>
      <w:sz w:val="32"/>
    </w:rPr>
  </w:style>
  <w:style w:type="paragraph" w:styleId="AnnexSubtitlesuite" w:customStyle="1">
    <w:name w:val="AnnexSubtitle suite"/>
    <w:qFormat/>
    <w:pPr>
      <w:keepNext w:val="true"/>
      <w:widowControl/>
      <w:bidi w:val="0"/>
      <w:spacing w:lineRule="exact" w:line="240" w:before="0" w:after="120"/>
      <w:jc w:val="left"/>
    </w:pPr>
    <w:rPr>
      <w:rFonts w:ascii="Source Serif 4" w:hAnsi="Source Serif 4" w:eastAsia="Source Serif 4" w:cs="Source Serif 4"/>
      <w:b w:val="false"/>
      <w:i/>
      <w:color w:val="525252"/>
      <w:kern w:val="0"/>
      <w:sz w:val="19"/>
      <w:szCs w:val="22"/>
      <w:lang w:val="en-US" w:eastAsia="en-US" w:bidi="ar-SA"/>
    </w:rPr>
  </w:style>
  <w:style w:type="paragraph" w:styleId="FigureCredit" w:customStyle="1">
    <w:name w:val="FigureCredit"/>
    <w:qFormat/>
    <w:pPr>
      <w:keepNext w:val="false"/>
      <w:widowControl/>
      <w:bidi w:val="0"/>
      <w:spacing w:lineRule="exact" w:line="200" w:before="0" w:after="160"/>
      <w:jc w:val="center"/>
    </w:pPr>
    <w:rPr>
      <w:rFonts w:ascii="Source Sans 3" w:hAnsi="Source Sans 3" w:eastAsia="Source Sans 3" w:cs="Source Sans 3"/>
      <w:b w:val="false"/>
      <w:i/>
      <w:color w:val="656565"/>
      <w:kern w:val="0"/>
      <w:sz w:val="17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1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  <w:shd w:val="clear" w:color="auto" w:fill="DEDEDE" w:themeFill="accent1" w:themeFillTint="3f"/>
      </w:tcPr>
    </w:tblStylePr>
    <w:tblStylePr w:type="band2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1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  <w:shd w:val="clear" w:color="auto" w:fill="D9D9D9" w:themeFill="accent2" w:themeFillTint="3f"/>
      </w:tcPr>
    </w:tblStylePr>
    <w:tblStylePr w:type="band2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1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  <w:shd w:val="clear" w:color="auto" w:fill="EAEAEA" w:themeFill="accent3" w:themeFillTint="3f"/>
      </w:tcPr>
    </w:tblStylePr>
    <w:tblStylePr w:type="band2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1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  <w:shd w:val="clear" w:color="auto" w:fill="DBDBDB" w:themeFill="accent4" w:themeFillTint="3f"/>
      </w:tcPr>
    </w:tblStylePr>
    <w:tblStylePr w:type="band2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1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  <w:shd w:val="clear" w:color="auto" w:fill="E5E5E5" w:themeFill="accent5" w:themeFillTint="3f"/>
      </w:tcPr>
    </w:tblStylePr>
    <w:tblStylePr w:type="band2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1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  <w:shd w:val="clear" w:color="auto" w:fill="E8E8E8" w:themeFill="accent6" w:themeFillTint="3f"/>
      </w:tcPr>
    </w:tblStylePr>
    <w:tblStylePr w:type="band2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9B9B" w:themeColor="accent1" w:sz="8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9B9B" w:themeColor="accent1" w:sz="6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DED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D8D8D" w:themeColor="accent2" w:sz="8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D8D8D" w:themeColor="accent2" w:sz="6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9D9D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1C1C1" w:themeColor="accent3" w:sz="8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1C1C1" w:themeColor="accent3" w:sz="6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AE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29292" w:themeColor="accent4" w:sz="8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29292" w:themeColor="accent4" w:sz="6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2B2B2" w:themeColor="accent5" w:sz="8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2B2B2" w:themeColor="accent5" w:sz="6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BBBBB" w:themeColor="accent6" w:sz="8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6" w:sz="6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B7B7B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shd w:val="clear" w:color="auto" w:fill="DEDED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86868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shd w:val="clear" w:color="auto" w:fill="D9D9D9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DADAD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shd w:val="clear" w:color="auto" w:fill="EAEAE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E6E6E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shd w:val="clear" w:color="auto" w:fill="DBDBD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99999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shd w:val="clear" w:color="auto" w:fill="E5E5E5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shd w:val="clear" w:color="auto" w:fill="E8E8E8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B7B7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B7B7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B7B7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B7B7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DED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86868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86868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86868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9D9D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DADAD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DADAD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DADAD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AE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E6E6E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E6E6E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E6E6E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99999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99999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99999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5A5A5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  <w:insideV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9B9B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  <w:insideV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D8D8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  <w:insideV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1C1C1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  <w:insideV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2929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  <w:insideV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2B2B2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  <w:insideV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BBBBB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F1F1F1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4E4" w:themeFill="accent1" w:themeFillTint="33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tcBorders>
          <w:insideH w:val="single" w:color="7B7B7B" w:themeColor="accent1" w:sz="6" w:space="0"/>
          <w:insideV w:val="single" w:color="7B7B7B" w:themeColor="accent1" w:sz="6" w:space="0"/>
        </w:tcBorders>
        <w:shd w:val="clear" w:color="auto" w:fill="BCBCBC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EFEFEF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0E0" w:themeFill="accent2" w:themeFillTint="33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tcBorders>
          <w:insideH w:val="single" w:color="686868" w:themeColor="accent2" w:sz="6" w:space="0"/>
          <w:insideV w:val="single" w:color="686868" w:themeColor="accent2" w:sz="6" w:space="0"/>
        </w:tcBorders>
        <w:shd w:val="clear" w:color="auto" w:fill="B3B3B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7F7F7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EEE" w:themeFill="accent3" w:themeFillTint="33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tcBorders>
          <w:insideH w:val="single" w:color="ADADAD" w:themeColor="accent3" w:sz="6" w:space="0"/>
          <w:insideV w:val="single" w:color="ADADAD" w:themeColor="accent3" w:sz="6" w:space="0"/>
        </w:tcBorders>
        <w:shd w:val="clear" w:color="auto" w:fill="D6D6D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0F0F0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accent4" w:themeFillTint="33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tcBorders>
          <w:insideH w:val="single" w:color="6E6E6E" w:themeColor="accent4" w:sz="6" w:space="0"/>
          <w:insideV w:val="single" w:color="6E6E6E" w:themeColor="accent4" w:sz="6" w:space="0"/>
        </w:tcBorders>
        <w:shd w:val="clear" w:color="auto" w:fill="B6B6B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F4F4F4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5" w:themeFillTint="33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tcBorders>
          <w:insideH w:val="single" w:color="999999" w:themeColor="accent5" w:sz="6" w:space="0"/>
          <w:insideV w:val="single" w:color="999999" w:themeColor="accent5" w:sz="6" w:space="0"/>
        </w:tcBorders>
        <w:shd w:val="clear" w:color="auto" w:fill="CCCCC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6F6F6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CEC" w:themeFill="accent6" w:themeFillTint="33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tcBorders>
          <w:insideH w:val="single" w:color="A5A5A5" w:themeColor="accent6" w:sz="6" w:space="0"/>
          <w:insideV w:val="single" w:color="A5A5A5" w:themeColor="accent6" w:sz="6" w:space="0"/>
        </w:tcBorders>
        <w:shd w:val="clear" w:color="auto" w:fill="D2D2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CBCBC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CBCBC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3B3B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3B3B3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6D6D6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6D6D6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6B6B6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6B6B6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CCCCC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CCCCC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B7B7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C3C3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A5A5A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8686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13131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A4A4A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DADA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9595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68686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E6E6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6363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1515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D4D4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47474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5A5A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3535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E7E7E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7B7B7B" w:themeColor="accent1" w:sz="4" w:space="0"/>
        <w:bottom w:val="single" w:color="7B7B7B" w:themeColor="accent1" w:sz="4" w:space="0"/>
        <w:right w:val="single" w:color="7B7B7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84848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84848" w:themeColor="accent1" w:sz="4" w:space="0"/>
          <w:insideV w:val="nil"/>
        </w:tcBorders>
        <w:shd w:val="clear" w:color="auto" w:fill="484848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84848" w:themeFill="accent1" w:themeFillShade="99"/>
      </w:tcPr>
    </w:tblStylePr>
    <w:tblStylePr w:type="band1Vert">
      <w:tblPr/>
      <w:tcPr>
        <w:shd w:val="clear" w:color="auto" w:fill="C9C9C9" w:themeFill="accent1" w:themeFillTint="66"/>
      </w:tcPr>
    </w:tblStylePr>
    <w:tblStylePr w:type="band1Horz">
      <w:tblPr/>
      <w:tcPr>
        <w:shd w:val="clear" w:color="auto" w:fill="BCBCBC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686868" w:themeColor="accent2" w:sz="4" w:space="0"/>
        <w:bottom w:val="single" w:color="686868" w:themeColor="accent2" w:sz="4" w:space="0"/>
        <w:right w:val="single" w:color="686868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3C3C3C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3C3C3C" w:themeColor="accent2" w:sz="4" w:space="0"/>
          <w:insideV w:val="nil"/>
        </w:tcBorders>
        <w:shd w:val="clear" w:color="auto" w:fill="3C3C3C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3C3C" w:themeFill="accent2" w:themeFillShade="99"/>
      </w:tcPr>
    </w:tblStylePr>
    <w:tblStylePr w:type="band1Vert">
      <w:tblPr/>
      <w:tcPr>
        <w:shd w:val="clear" w:color="auto" w:fill="C1C1C1" w:themeFill="accent2" w:themeFillTint="66"/>
      </w:tcPr>
    </w:tblStylePr>
    <w:tblStylePr w:type="band1Horz">
      <w:tblPr/>
      <w:tcPr>
        <w:shd w:val="clear" w:color="auto" w:fill="B3B3B3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24" w:space="0"/>
        <w:left w:val="single" w:color="ADADAD" w:themeColor="accent3" w:sz="4" w:space="0"/>
        <w:bottom w:val="single" w:color="ADADAD" w:themeColor="accent3" w:sz="4" w:space="0"/>
        <w:right w:val="single" w:color="ADADAD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B6B6B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B6B6B" w:themeColor="accent3" w:sz="4" w:space="0"/>
          <w:insideV w:val="nil"/>
        </w:tcBorders>
        <w:shd w:val="clear" w:color="auto" w:fill="6B6B6B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6B6B" w:themeFill="accent3" w:themeFillShade="99"/>
      </w:tcPr>
    </w:tblStylePr>
    <w:tblStylePr w:type="band1Vert">
      <w:tblPr/>
      <w:tcPr>
        <w:shd w:val="clear" w:color="auto" w:fill="DDDDDD" w:themeFill="accent3" w:themeFillTint="66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24" w:space="0"/>
        <w:left w:val="single" w:color="6E6E6E" w:themeColor="accent4" w:sz="4" w:space="0"/>
        <w:bottom w:val="single" w:color="6E6E6E" w:themeColor="accent4" w:sz="4" w:space="0"/>
        <w:right w:val="single" w:color="6E6E6E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14141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14141" w:themeColor="accent4" w:sz="4" w:space="0"/>
          <w:insideV w:val="nil"/>
        </w:tcBorders>
        <w:shd w:val="clear" w:color="auto" w:fill="414141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4141" w:themeFill="accent4" w:themeFillShade="99"/>
      </w:tcPr>
    </w:tblStylePr>
    <w:tblStylePr w:type="band1Vert">
      <w:tblPr/>
      <w:tcPr>
        <w:shd w:val="clear" w:color="auto" w:fill="C4C4C4" w:themeFill="accent4" w:themeFillTint="66"/>
      </w:tcPr>
    </w:tblStylePr>
    <w:tblStylePr w:type="band1Horz">
      <w:tblPr/>
      <w:tcPr>
        <w:shd w:val="clear" w:color="auto" w:fill="B6B6B6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24" w:space="0"/>
        <w:left w:val="single" w:color="999999" w:themeColor="accent5" w:sz="4" w:space="0"/>
        <w:bottom w:val="single" w:color="999999" w:themeColor="accent5" w:sz="4" w:space="0"/>
        <w:right w:val="single" w:color="999999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D5D5D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D5D5D" w:themeColor="accent5" w:sz="4" w:space="0"/>
          <w:insideV w:val="nil"/>
        </w:tcBorders>
        <w:shd w:val="clear" w:color="auto" w:fill="5D5D5D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5D5D" w:themeFill="accent5" w:themeFillShade="99"/>
      </w:tcPr>
    </w:tblStylePr>
    <w:tblStylePr w:type="band1Vert">
      <w:tblPr/>
      <w:tcPr>
        <w:shd w:val="clear" w:color="auto" w:fill="D6D6D6" w:themeFill="accent5" w:themeFillTint="66"/>
      </w:tcPr>
    </w:tblStylePr>
    <w:tblStylePr w:type="band1Horz">
      <w:tblPr/>
      <w:tcPr>
        <w:shd w:val="clear" w:color="auto" w:fill="CCCCCC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24" w:space="0"/>
        <w:left w:val="single" w:color="A5A5A5" w:themeColor="accent6" w:sz="4" w:space="0"/>
        <w:bottom w:val="single" w:color="A5A5A5" w:themeColor="accent6" w:sz="4" w:space="0"/>
        <w:right w:val="single" w:color="A5A5A5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56565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56565" w:themeColor="accent6" w:sz="4" w:space="0"/>
          <w:insideV w:val="nil"/>
        </w:tcBorders>
        <w:shd w:val="clear" w:color="auto" w:fill="656565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6565" w:themeFill="accent6" w:themeFillShade="99"/>
      </w:tcPr>
    </w:tblStylePr>
    <w:tblStylePr w:type="band1Vert">
      <w:tblPr/>
      <w:tcPr>
        <w:shd w:val="clear" w:color="auto" w:fill="DADADA" w:themeFill="accent6" w:themeFillTint="66"/>
      </w:tcPr>
    </w:tblStylePr>
    <w:tblStylePr w:type="band1Horz">
      <w:tblPr/>
      <w:tcPr>
        <w:shd w:val="clear" w:color="auto" w:fill="D2D2D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shd w:val="clear" w:color="auto" w:fill="E4E4E4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shd w:val="clear" w:color="auto" w:fill="E0E0E0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575757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shd w:val="clear" w:color="auto" w:fill="EEEEEE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F8F8F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shd w:val="clear" w:color="auto" w:fill="E1E1E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68686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shd w:val="clear" w:color="auto" w:fill="EAEAEA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C7C7C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shd w:val="clear" w:color="auto" w:fill="ECEC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4E4" w:themeFill="accent1" w:themeFillTint="33"/>
    </w:tcPr>
    <w:tblStylePr w:type="firstRow">
      <w:rPr>
        <w:b/>
        <w:bCs/>
      </w:rPr>
      <w:tblPr/>
      <w:tcPr>
        <w:shd w:val="clear" w:color="auto" w:fill="C9C9C9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9C9C9" w:themeFill="accent1" w:themeFillTint="66"/>
      </w:tcPr>
    </w:tblStylePr>
    <w:tblStylePr w:type="fir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la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0E0E0" w:themeFill="accent2" w:themeFillTint="33"/>
    </w:tcPr>
    <w:tblStylePr w:type="firstRow">
      <w:rPr>
        <w:b/>
        <w:bCs/>
      </w:rPr>
      <w:tblPr/>
      <w:tcPr>
        <w:shd w:val="clear" w:color="auto" w:fill="C1C1C1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1C1C1" w:themeFill="accent2" w:themeFillTint="66"/>
      </w:tcPr>
    </w:tblStylePr>
    <w:tblStylePr w:type="fir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la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EEEE" w:themeFill="accent3" w:themeFillTint="33"/>
    </w:tcPr>
    <w:tblStylePr w:type="firstRow">
      <w:rPr>
        <w:b/>
        <w:bCs/>
      </w:rPr>
      <w:tblPr/>
      <w:tcPr>
        <w:shd w:val="clear" w:color="auto" w:fill="DDDDDD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DDDDD" w:themeFill="accent3" w:themeFillTint="66"/>
      </w:tcPr>
    </w:tblStylePr>
    <w:tblStylePr w:type="fir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la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1E1E1" w:themeFill="accent4" w:themeFillTint="33"/>
    </w:tcPr>
    <w:tblStylePr w:type="firstRow">
      <w:rPr>
        <w:b/>
        <w:bCs/>
      </w:rPr>
      <w:tblPr/>
      <w:tcPr>
        <w:shd w:val="clear" w:color="auto" w:fill="C4C4C4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4C4C4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5" w:themeFillTint="33"/>
    </w:tcPr>
    <w:tblStylePr w:type="firstRow">
      <w:rPr>
        <w:b/>
        <w:bCs/>
      </w:rPr>
      <w:tblPr/>
      <w:tcPr>
        <w:shd w:val="clear" w:color="auto" w:fill="D6D6D6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D6D6" w:themeFill="accent5" w:themeFillTint="66"/>
      </w:tcPr>
    </w:tblStylePr>
    <w:tblStylePr w:type="fir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la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ECEC" w:themeFill="accent6" w:themeFillTint="33"/>
    </w:tcPr>
    <w:tblStylePr w:type="firstRow">
      <w:rPr>
        <w:b/>
        <w:bCs/>
      </w:rPr>
      <w:tblPr/>
      <w:tcPr>
        <w:shd w:val="clear" w:color="auto" w:fill="DADADA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ADADA" w:themeFill="accent6" w:themeFillTint="66"/>
      </w:tcPr>
    </w:tblStylePr>
    <w:tblStylePr w:type="fir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la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paragraph" w:customStyle="1" w:styleId="Repèred’annexe">
    <w:name w:val="Repère d’annexe"/>
    <w:basedOn w:val="Normal"/>
    <w:rPr>
      <w:rFonts w:ascii="Source Sans 3" w:hAnsi="Source Sans 3" w:eastAsia="Source Sans 3" w:cs="Source Sans 3"/>
      <w:color w:val="656565"/>
      <w:sz w:val="16"/>
      <w:b w:val="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<Relationship Id="rId25" Type="http://schemas.openxmlformats.org/officeDocument/2006/relationships/header" Target="header7.xml"/><Relationship Id="rId26" Type="http://schemas.openxmlformats.org/officeDocument/2006/relationships/footer" Target="footer7.xml"/><Relationship Id="rId24" Type="http://schemas.openxmlformats.org/officeDocument/2006/relationships/header" Target="header8.xml"/><Relationship Id="rId27" Type="http://schemas.openxmlformats.org/officeDocument/2006/relationships/footer" Target="footer8.xml"/><Relationship Id="rId28" Type="http://schemas.openxmlformats.org/officeDocument/2006/relationships/header" Target="header9.xml"/><Relationship Id="rId29" Type="http://schemas.openxmlformats.org/officeDocument/2006/relationships/footer" Target="footer9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4444"/>
      </a:dk2>
      <a:lt2>
        <a:srgbClr val="ececec"/>
      </a:lt2>
      <a:accent1>
        <a:srgbClr val="7b7b7b"/>
      </a:accent1>
      <a:accent2>
        <a:srgbClr val="686868"/>
      </a:accent2>
      <a:accent3>
        <a:srgbClr val="adadad"/>
      </a:accent3>
      <a:accent4>
        <a:srgbClr val="6e6e6e"/>
      </a:accent4>
      <a:accent5>
        <a:srgbClr val="999999"/>
      </a:accent5>
      <a:accent6>
        <a:srgbClr val="a5a5a5"/>
      </a:accent6>
      <a:hlink>
        <a:srgbClr val="121212"/>
      </a:hlink>
      <a:folHlink>
        <a:srgbClr val="242424"/>
      </a:folHlink>
    </a:clrScheme>
    <a:fontScheme name="Office">
      <a:majorFont>
        <a:latin typeface="Source Serif 4" pitchFamily="0" charset="1"/>
        <a:ea typeface=""/>
        <a:cs typeface=""/>
      </a:majorFont>
      <a:minorFont>
        <a:latin typeface="Source Serif 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30300"/>
                <a:shade val="30300"/>
              </a:schemeClr>
            </a:gs>
            <a:gs pos="100000">
              <a:schemeClr val="phClr">
                <a:tint val="50000"/>
                <a:shade val="303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Gestion et évaluation</cp:category>
  <dcterms:created xsi:type="dcterms:W3CDTF">2013-12-23T23:15:00Z</dcterms:created>
  <dc:creator>Chantal Bouchard</dc:creator>
  <dc:description>Annexe extraite au format Letter pour diffusion web.</dc:description>
  <cp:keywords>indicateurs, noir et blanc, épreuve, navigation, mise en page</cp:keywords>
  <dc:language>en-US</dc:language>
  <cp:lastModifiedBy>Chantal Bouchard</cp:lastModifiedBy>
  <dcterms:modified xsi:type="dcterms:W3CDTF">2026-07-03T15:55:45Z</dcterms:modified>
  <cp:revision>18</cp:revision>
  <dc:subject>Gabarit Word Letter — Construire des indicateurs utiles</dc:subject>
  <dc:title>Annexe J — Fiche de lecture et d’interprétation</dc:title>
  <cp:version>NB v2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