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ind w:hanging="0"/>
        <w:rPr/>
      </w:pPr>
      <w:r>
        <w:rPr/>
        <w:t>Annexe C — Fiche de description de l’objet</w:t>
      </w:r>
    </w:p>
    <w:p>
      <w:pPr>
        <w:pStyle w:val="AnnexSubtitle"/>
        <w:keepNext w:val="true"/>
        <w:keepLines/>
        <w:widowControl/>
        <w:ind w:hanging="0"/>
        <w:rPr/>
      </w:pPr>
      <w:r>
        <w:rPr/>
        <w:t>Décrire ce qui sera évalué avant de choisir les composantes prioritaires.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fill="F0F0F0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Décrire l’objet avec des formulations factuelles et courtes. Lorsqu’une information manque ou qu’une responsabilité est incertaine, l’indiquer plutôt que la deviner.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cantSplit w:val="true"/>
          <w:tblHeader w:val="true"/>
        </w:trPr>
        <w:tc>
          <w:tcPr>
            <w:tcW w:w="5114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Élément</w:t>
            </w:r>
          </w:p>
        </w:tc>
        <w:tc>
          <w:tcPr>
            <w:tcW w:w="511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À compléter</w:t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Nom de l’objet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Nom du service, programme ou processus.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Type d’objet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 xml:space="preserve">□ Service  □ Programme  □ Processus  □ Autre :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Périmètre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Ce qui est inclus et ce qui est exclu de la démarche.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Clientèle visée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Personnes ou groupes auxquels l’objet s’adresse et qui en vivent les effets. Préciser les situations qui peuvent exiger une adaptation ou une attention particulière.</w:t>
              <w:br/>
              <w:br/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Besoins ou enjeux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Situation à laquelle l’objet cherche à répondre.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</w:tbl>
    <w:p>
      <w:pPr>
        <w:pStyle w:val="AnnexSubtitlesuite"/>
        <w:keepNext w:val="true"/>
        <w:keepLines/>
        <w:widowControl/>
        <w:ind w:hanging="0"/>
        <w:rPr/>
      </w:pPr>
      <w:r>
        <w:rPr/>
        <w:t>Suite — contraintes, composantes internes et résultats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fill="F7F7F7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false"/>
                <w:i w:val="false"/>
                <w:sz w:val="21"/>
              </w:rPr>
              <w:t>S’appuyer sur ces éléments pour choisir les composantes qui méritent une attention dans le périmètre initial.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cantSplit w:val="true"/>
          <w:tblHeader w:val="true"/>
        </w:trPr>
        <w:tc>
          <w:tcPr>
            <w:tcW w:w="5114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Élément</w:t>
            </w:r>
          </w:p>
        </w:tc>
        <w:tc>
          <w:tcPr>
            <w:tcW w:w="511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À compléter</w:t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Contraintes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Ressources, règles, contexte, environnement ou caractéristiques de la clientèle qui peuvent limiter, orienter ou conditionner l’action.</w:t>
              <w:br/>
              <w:br/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Objectifs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Changements visés, résultats attendus, critères de succès.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Moyens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Approches, activités, outils, procédures, équipements, soutien ou gestion.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Personnes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Personnel, gestionnaires, partenaires, bénévoles ou autres acteurs qui réalisent, soutiennent ou pilotent l’action.</w:t>
              <w:br/>
              <w:br/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kern w:val="0"/>
                <w:sz w:val="21"/>
                <w:szCs w:val="22"/>
                <w:lang w:val="en-US" w:eastAsia="en-US" w:bidi="ar-SA"/>
              </w:rPr>
              <w:t>Résultats attendus et résultats collatéraux à surveiller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t>Résultats visés à court, à moyen ou à long terme; conséquences non visées qui devraient aussi être repérées.</w:t>
              <w:br/>
              <w:b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C — Fiche de description de l’objet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