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nexTitle"/>
        <w:keepNext w:val="true"/>
        <w:keepLines/>
        <w:widowControl/>
        <w:ind w:hanging="0"/>
        <w:rPr/>
      </w:pPr>
      <w:r>
        <w:rPr/>
        <w:t>Annexe D — Matrice de sélection des composantes</w:t>
      </w:r>
    </w:p>
    <w:p>
      <w:pPr>
        <w:pStyle w:val="AnnexSubtitle"/>
        <w:keepNext w:val="true"/>
        <w:keepLines/>
        <w:widowControl/>
        <w:ind w:hanging="0"/>
        <w:rPr/>
      </w:pPr>
      <w:r>
        <w:rPr/>
        <w:t>Retenir ce qui mérite réellement d’être examiné maintenant.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shd w:fill="F7F7F7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false"/>
                <w:i w:val="false"/>
                <w:sz w:val="21"/>
              </w:rPr>
              <w:t>Garder visible toute composante importante, même lorsqu’elle n’est pas prioritaire dans le périmètre initial. La matrice aide à décider de la retenir, de la reporter ou de l’écarter.</w:t>
            </w:r>
          </w:p>
        </w:tc>
      </w:tr>
      <w:tr>
        <w:trPr>
          <w:cantSplit w:val="true"/>
        </w:trPr>
        <w:tc>
          <w:tcPr>
            <w:tcW w:w="10224" w:type="dxa"/>
            <w:tcBorders>
              <w:top w:val="single" w:sz="6" w:space="0" w:color="B6B6B6"/>
              <w:left w:val="single" w:sz="6" w:space="0" w:color="B6B6B6"/>
              <w:bottom w:val="single" w:sz="6" w:space="0" w:color="B6B6B6"/>
              <w:right w:val="single" w:sz="6" w:space="0" w:color="B6B6B6"/>
            </w:tcBorders>
            <w:shd w:fill="F0F0F0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Pour chaque composante, examiner son lien avec la décision attendue, le risque associé, l’information disponible et la capacité réelle d’agir.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2046"/>
        <w:gridCol w:w="2046"/>
        <w:gridCol w:w="2046"/>
        <w:gridCol w:w="2046"/>
        <w:gridCol w:w="2040"/>
      </w:tblGrid>
      <w:tr>
        <w:trPr>
          <w:cantSplit w:val="true"/>
          <w:tblHeader w:val="true"/>
        </w:trPr>
        <w:tc>
          <w:tcPr>
            <w:tcW w:w="2046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Composante</w:t>
            </w:r>
          </w:p>
        </w:tc>
        <w:tc>
          <w:tcPr>
            <w:tcW w:w="2046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Décision liée</w:t>
            </w:r>
          </w:p>
        </w:tc>
        <w:tc>
          <w:tcPr>
            <w:tcW w:w="2046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Risque ou</w:t>
              <w:br/>
              <w:t>urgence</w:t>
            </w:r>
          </w:p>
        </w:tc>
        <w:tc>
          <w:tcPr>
            <w:tcW w:w="2046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Capacité d’agir</w:t>
            </w:r>
          </w:p>
        </w:tc>
        <w:tc>
          <w:tcPr>
            <w:tcW w:w="204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Décision</w:t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</w:tbl>
    <w:p>
      <w:pPr>
        <w:pStyle w:val="AnnexSubtitle"/>
        <w:keepNext w:val="true"/>
        <w:keepLines/>
        <w:widowControl/>
        <w:ind w:hanging="0"/>
        <w:rPr/>
      </w:pPr>
      <w:r>
        <w:rPr/>
        <w:t>Justification des choix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shd w:fill="F7F7F7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false"/>
                <w:i w:val="false"/>
                <w:sz w:val="21"/>
              </w:rPr>
              <w:t>Noter la raison d’un choix évite de reprendre la même discussion à chaque cycle.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cantSplit w:val="true"/>
          <w:tblHeader w:val="true"/>
        </w:trPr>
        <w:tc>
          <w:tcPr>
            <w:tcW w:w="5114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Élément</w:t>
            </w:r>
          </w:p>
        </w:tc>
        <w:tc>
          <w:tcPr>
            <w:tcW w:w="511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À compléter</w:t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Composantes retenues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Pourquoi sont-elles prioritaires maintenant?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Composantes reportées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Quelle information ou quelle condition manque avant de les examiner?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Composantes exclues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Pourquoi ne sont-elles pas liées à la décision actuelle?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Personnes consultées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Qui a participé à la sélection?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Date de révision prévue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Moment prévu pour revoir les priorités.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</w:r>
          </w:p>
        </w:tc>
      </w:tr>
    </w:tbl>
    <w:sectPr>
      <w:headerReference w:type="default" r:id="rId25"/>
      <w:footerReference w:type="default" r:id="rId26"/>
      <w:headerReference w:type="first" r:id="rId24"/>
      <w:footerReference w:type="first" r:id="rId27"/>
      <w:headerReference w:type="even" r:id="rId28"/>
      <w:footerReference w:type="even" r:id="rId29"/>
      <w:pgSz w:w="12240" w:h="15840"/>
      <w:pgMar w:left="1008" w:right="1008" w:gutter="0" w:header="432" w:top="1008" w:footer="490" w:bottom="100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ource Serif 4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ource Sans 3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erif 4" w:hAnsi="Source Serif 4" w:eastAsia="Source Serif 4" w:cs="Source Serif 4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exact" w:line="290" w:before="0" w:after="100"/>
      <w:jc w:val="left"/>
    </w:pPr>
    <w:rPr>
      <w:rFonts w:ascii="Source Serif 4" w:hAnsi="Source Serif 4" w:eastAsia="Source Serif 4" w:cs="Source Serif 4"/>
      <w:b w:val="false"/>
      <w:i w:val="false"/>
      <w:color w:val="1A1A1A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lineRule="auto" w:line="240" w:before="680" w:after="280"/>
      <w:outlineLvl w:val="0"/>
    </w:pPr>
    <w:rPr>
      <w:rFonts w:ascii="Source Serif 4" w:hAnsi="Source Serif 4" w:eastAsia="Source Serif 4" w:cs="Source Serif 4"/>
      <w:b/>
      <w:bCs/>
      <w:i w:val="false"/>
      <w:color w:val="1A1A1A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lineRule="exact" w:line="400" w:before="262" w:after="142"/>
      <w:ind w:hanging="0"/>
      <w:outlineLvl w:val="1"/>
    </w:pPr>
    <w:rPr>
      <w:rFonts w:ascii="Source Serif 4" w:hAnsi="Source Serif 4" w:eastAsia="Source Serif 4" w:cs="Source Serif 4"/>
      <w:b/>
      <w:bCs/>
      <w:i w:val="false"/>
      <w:color w:val="1A1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exact" w:line="330" w:before="280" w:after="100"/>
      <w:outlineLvl w:val="2"/>
    </w:pPr>
    <w:rPr>
      <w:rFonts w:ascii="Source Serif 4" w:hAnsi="Source Serif 4" w:eastAsia="Source Serif 4" w:cs="Source Serif 4"/>
      <w:b/>
      <w:bCs/>
      <w:i w:val="false"/>
      <w:color w:val="26262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Source Serif 4" w:hAnsi="Source Serif 4" w:eastAsia="Source Serif 4" w:cs="Source Serif 4"/>
      <w:color w:themeColor="accent1" w:themeShade="7f" w:val="3C3C3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Source Serif 4" w:hAnsi="Source Serif 4" w:eastAsia="Source Serif 4" w:cs="Source Serif 4"/>
      <w:i/>
      <w:iCs/>
      <w:color w:themeColor="accent1" w:themeShade="7f" w:val="3C3C3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Source Serif 4" w:hAnsi="Source Serif 4" w:eastAsia="Source Serif 4" w:cs="Source Serif 4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themeShade="bf" w:val="5A5A5A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Source Serif 4" w:hAnsi="Source Serif 4" w:eastAsia="Source Serif 4" w:cs="Source Serif 4"/>
      <w:color w:themeColor="text2" w:themeShade="bf" w:val="323232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Source Serif 4" w:hAnsi="Source Serif 4" w:eastAsia="Source Serif 4" w:cs="Source Serif 4"/>
      <w:i/>
      <w:iCs/>
      <w:color w:themeColor="accent1" w:val="7B7B7B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Source Serif 4" w:hAnsi="Source Serif 4" w:eastAsia="Source Serif 4" w:cs="Source Serif 4"/>
      <w:color w:themeColor="accent1" w:themeShade="7f" w:val="3C3C3C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accent1" w:themeShade="7f" w:val="3C3C3C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7B7B7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7B7B7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68686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686868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true"/>
      <w:keepLines/>
      <w:widowControl/>
      <w:spacing w:lineRule="exact" w:line="210" w:before="100" w:after="100"/>
      <w:ind w:hanging="0"/>
      <w:jc w:val="center"/>
    </w:pPr>
    <w:rPr>
      <w:rFonts w:ascii="Source Sans 3" w:hAnsi="Source Sans 3" w:eastAsia="Source Sans 3" w:cs="Source Sans 3"/>
      <w:b w:val="false"/>
      <w:bCs/>
      <w:i w:val="false"/>
      <w:color w:val="52525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7B7B7B" w:themeColor="accent1"/>
      </w:pBdr>
      <w:spacing w:lineRule="exact" w:line="620" w:before="0" w:after="300"/>
      <w:contextualSpacing/>
    </w:pPr>
    <w:rPr>
      <w:rFonts w:ascii="Source Serif 4" w:hAnsi="Source Serif 4" w:eastAsia="Source Serif 4" w:cs="Source Serif 4"/>
      <w:b/>
      <w:i w:val="false"/>
      <w:color w:val="1A1A1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lineRule="exact" w:line="300" w:before="0" w:after="120"/>
    </w:pPr>
    <w:rPr>
      <w:rFonts w:ascii="Source Serif 4" w:hAnsi="Source Serif 4" w:eastAsia="Source Serif 4" w:cs="Source Serif 4"/>
      <w:b w:val="false"/>
      <w:i/>
      <w:iCs/>
      <w:color w:val="525252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themeColor="accent1" w:val="7B7B7B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umrodepartie" w:customStyle="1">
    <w:name w:val="Numéro de partie"/>
    <w:basedOn w:val="Normal"/>
    <w:qFormat/>
    <w:pPr>
      <w:keepNext w:val="true"/>
      <w:keepLines/>
      <w:spacing w:lineRule="auto" w:line="240" w:before="3024" w:after="160"/>
      <w:jc w:val="center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Titredepartie" w:customStyle="1">
    <w:name w:val="Titre de partie"/>
    <w:basedOn w:val="Normal"/>
    <w:qFormat/>
    <w:pPr>
      <w:keepNext w:val="true"/>
      <w:keepLines/>
      <w:widowControl/>
      <w:spacing w:lineRule="auto" w:line="240" w:before="0" w:after="240"/>
      <w:jc w:val="center"/>
    </w:pPr>
    <w:rPr>
      <w:rFonts w:ascii="Source Serif 4" w:hAnsi="Source Serif 4" w:eastAsia="Source Serif 4" w:cs="Source Serif 4"/>
      <w:b/>
      <w:i w:val="false"/>
      <w:color w:val="1A1A1A"/>
      <w:sz w:val="56"/>
    </w:rPr>
  </w:style>
  <w:style w:type="paragraph" w:styleId="Sous-titredepartie" w:customStyle="1">
    <w:name w:val="Sous-titre de partie"/>
    <w:basedOn w:val="Normal"/>
    <w:qFormat/>
    <w:pPr>
      <w:keepNext w:val="true"/>
      <w:keepLines/>
      <w:spacing w:lineRule="auto" w:line="240" w:before="0" w:after="0"/>
      <w:jc w:val="center"/>
    </w:pPr>
    <w:rPr>
      <w:rFonts w:ascii="Source Serif 4" w:hAnsi="Source Serif 4" w:eastAsia="Source Serif 4" w:cs="Source Serif 4"/>
      <w:b w:val="false"/>
      <w:i/>
      <w:color w:val="525252"/>
      <w:sz w:val="24"/>
    </w:rPr>
  </w:style>
  <w:style w:type="paragraph" w:styleId="Numrodechapitre" w:customStyle="1">
    <w:name w:val="Numéro de chapitre"/>
    <w:basedOn w:val="Normal"/>
    <w:qFormat/>
    <w:pPr>
      <w:keepNext w:val="true"/>
      <w:keepLines/>
      <w:widowControl/>
      <w:spacing w:lineRule="auto" w:line="240" w:before="0" w:after="120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Casfilconducteur" w:customStyle="1">
    <w:name w:val="Cas fil conducteur"/>
    <w:basedOn w:val="Normal"/>
    <w:qFormat/>
    <w:pPr>
      <w:keepNext w:val="true"/>
      <w:keepLines/>
      <w:spacing w:lineRule="exact" w:line="290" w:before="240" w:after="80"/>
    </w:pPr>
    <w:rPr>
      <w:rFonts w:ascii="Source Serif 4" w:hAnsi="Source Serif 4" w:eastAsia="Source Serif 4" w:cs="Source Serif 4"/>
      <w:b/>
      <w:i/>
      <w:color w:val="1A1A1A"/>
      <w:sz w:val="25"/>
    </w:rPr>
  </w:style>
  <w:style w:type="paragraph" w:styleId="AnnexTitle" w:customStyle="1">
    <w:name w:val="AnnexTitle"/>
    <w:qFormat/>
    <w:pPr>
      <w:keepNext w:val="true"/>
      <w:keepLines/>
      <w:widowControl/>
      <w:bidi w:val="0"/>
      <w:spacing w:lineRule="exact" w:line="440" w:before="400" w:after="120"/>
      <w:jc w:val="left"/>
      <w:outlineLvl w:val="0"/>
    </w:pPr>
    <w:rPr>
      <w:rFonts w:ascii="Source Serif 4" w:hAnsi="Source Serif 4" w:eastAsia="Source Serif 4" w:cs="Source Serif 4"/>
      <w:b/>
      <w:i w:val="false"/>
      <w:color w:val="1A1A1A"/>
      <w:kern w:val="0"/>
      <w:sz w:val="38"/>
      <w:szCs w:val="22"/>
      <w:lang w:val="en-US" w:eastAsia="en-US" w:bidi="ar-SA"/>
    </w:rPr>
  </w:style>
  <w:style w:type="paragraph" w:styleId="AnnexSubtitle" w:customStyle="1">
    <w:name w:val="AnnexSubtitle"/>
    <w:qFormat/>
    <w:pPr>
      <w:keepNext w:val="true"/>
      <w:keepLines/>
      <w:widowControl/>
      <w:bidi w:val="0"/>
      <w:spacing w:lineRule="exact" w:line="260" w:before="0" w:after="120"/>
      <w:jc w:val="left"/>
    </w:pPr>
    <w:rPr>
      <w:rFonts w:ascii="Source Serif 4" w:hAnsi="Source Serif 4" w:eastAsia="Source Serif 4" w:cs="Source Serif 4"/>
      <w:b w:val="0"/>
      <w:i/>
      <w:color w:val="525252"/>
      <w:kern w:val="0"/>
      <w:sz w:val="22"/>
      <w:szCs w:val="22"/>
      <w:lang w:val="en-US" w:eastAsia="en-US" w:bidi="ar-SA"/>
    </w:rPr>
  </w:style>
  <w:style w:type="paragraph" w:styleId="AnnexSection" w:customStyle="1">
    <w:name w:val="AnnexSection"/>
    <w:qFormat/>
    <w:pPr>
      <w:keepNext w:val="true"/>
      <w:keepLines/>
      <w:widowControl/>
      <w:bidi w:val="0"/>
      <w:spacing w:lineRule="exact" w:line="260" w:before="140" w:after="40"/>
      <w:jc w:val="left"/>
    </w:pPr>
    <w:rPr>
      <w:rFonts w:ascii="Source Sans 3" w:hAnsi="Source Sans 3" w:eastAsia="Source Sans 3" w:cs="Source Sans 3"/>
      <w:b/>
      <w:i w:val="false"/>
      <w:color w:val="1A1A1A"/>
      <w:kern w:val="0"/>
      <w:sz w:val="22"/>
      <w:szCs w:val="22"/>
      <w:lang w:val="en-US" w:eastAsia="en-US" w:bidi="ar-SA"/>
    </w:rPr>
  </w:style>
  <w:style w:type="paragraph" w:styleId="AnnexSmall" w:customStyle="1">
    <w:name w:val="AnnexSmall"/>
    <w:qFormat/>
    <w:pPr>
      <w:widowControl/>
      <w:bidi w:val="0"/>
      <w:spacing w:lineRule="exact" w:line="200" w:before="0" w:after="40"/>
      <w:jc w:val="left"/>
    </w:pPr>
    <w:rPr>
      <w:rFonts w:ascii="Source Sans 3" w:hAnsi="Source Sans 3" w:eastAsia="Source Sans 3" w:cs="Source Sans 3"/>
      <w:b w:val="false"/>
      <w:i w:val="false"/>
      <w:color w:val="656565"/>
      <w:kern w:val="0"/>
      <w:sz w:val="17"/>
      <w:szCs w:val="22"/>
      <w:lang w:val="en-US" w:eastAsia="en-US" w:bidi="ar-SA"/>
    </w:rPr>
  </w:style>
  <w:style w:type="paragraph" w:styleId="Intertitre" w:customStyle="1">
    <w:name w:val="Intertitre"/>
    <w:basedOn w:val="Normal"/>
    <w:qFormat/>
    <w:pPr>
      <w:keepNext w:val="true"/>
      <w:keepLines/>
      <w:widowControl/>
      <w:spacing w:lineRule="exact" w:line="290" w:before="200" w:after="80"/>
      <w:ind w:hanging="0"/>
    </w:pPr>
    <w:rPr>
      <w:rFonts w:ascii="Source Serif 4" w:hAnsi="Source Serif 4" w:eastAsia="Source Serif 4" w:cs="Source Serif 4"/>
      <w:b/>
      <w:i w:val="false"/>
      <w:color w:val="1A1A1A"/>
      <w:sz w:val="24"/>
    </w:rPr>
  </w:style>
  <w:style w:type="paragraph" w:styleId="Figureimage" w:customStyle="1">
    <w:name w:val="Figure image"/>
    <w:basedOn w:val="Normal"/>
    <w:qFormat/>
    <w:pPr>
      <w:keepNext w:val="true"/>
      <w:keepLines/>
      <w:widowControl/>
      <w:spacing w:lineRule="auto" w:line="240" w:before="120" w:after="0"/>
      <w:ind w:hanging="0"/>
      <w:jc w:val="center"/>
    </w:pPr>
    <w:rPr/>
  </w:style>
  <w:style w:type="paragraph" w:styleId="Encadrrepre" w:customStyle="1">
    <w:name w:val="Encadré — repèr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40"/>
      <w:ind w:hanging="0" w:left="259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titre" w:customStyle="1">
    <w:name w:val="Encadré — titre"/>
    <w:basedOn w:val="Normal"/>
    <w:qFormat/>
    <w:pPr>
      <w:keepNext w:val="true"/>
      <w:keepLines/>
      <w:widowControl/>
      <w:pBdr>
        <w:left w:val="single" w:sz="12" w:space="6" w:color="747474"/>
      </w:pBdr>
      <w:shd w:val="clear" w:color="auto" w:fill="F3F3F3"/>
      <w:spacing w:lineRule="exact" w:line="250" w:before="40" w:after="30"/>
      <w:ind w:hanging="0" w:left="259" w:right="72"/>
    </w:pPr>
    <w:rPr>
      <w:rFonts w:ascii="Source Sans 3" w:hAnsi="Source Sans 3" w:eastAsia="Source Sans 3" w:cs="Source Sans 3"/>
      <w:b/>
      <w:color w:val="1A1A1A"/>
      <w:sz w:val="20"/>
    </w:rPr>
  </w:style>
  <w:style w:type="paragraph" w:styleId="Encadrnumrot" w:customStyle="1">
    <w:name w:val="Encadré — numéroté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liste" w:customStyle="1">
    <w:name w:val="Encadré — list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vrification" w:customStyle="1">
    <w:name w:val="Encadré — vérification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59" w:left="475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Listepuce" w:customStyle="1">
    <w:name w:val="Liste — puce"/>
    <w:basedOn w:val="Normal"/>
    <w:qFormat/>
    <w:pPr>
      <w:widowControl/>
      <w:spacing w:lineRule="exact" w:line="290" w:before="30" w:after="30"/>
      <w:ind w:hanging="230" w:left="432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numrote" w:customStyle="1">
    <w:name w:val="Liste — numérotée"/>
    <w:basedOn w:val="Normal"/>
    <w:qFormat/>
    <w:pPr>
      <w:widowControl/>
      <w:spacing w:lineRule="exact" w:line="290" w:before="30" w:after="30"/>
      <w:ind w:hanging="245" w:left="446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vrification" w:customStyle="1">
    <w:name w:val="Liste — vérification"/>
    <w:basedOn w:val="Normal"/>
    <w:qFormat/>
    <w:pPr>
      <w:widowControl/>
      <w:spacing w:lineRule="exact" w:line="252" w:before="30" w:after="30"/>
      <w:ind w:hanging="259" w:left="446" w:right="0"/>
    </w:pPr>
    <w:rPr>
      <w:rFonts w:ascii="Source Sans 3" w:hAnsi="Source Sans 3" w:eastAsia="Source Sans 3" w:cs="Source Sans 3"/>
      <w:color w:val="1A1A1A"/>
      <w:sz w:val="20"/>
    </w:rPr>
  </w:style>
  <w:style w:type="paragraph" w:styleId="Encadrtitretableau" w:customStyle="1">
    <w:name w:val="Encadré — titre tableau"/>
    <w:basedOn w:val="Normal"/>
    <w:qFormat/>
    <w:pPr>
      <w:widowControl/>
      <w:spacing w:lineRule="exact" w:line="230" w:before="0" w:after="30"/>
      <w:ind w:hanging="0"/>
    </w:pPr>
    <w:rPr>
      <w:rFonts w:ascii="Source Sans 3" w:hAnsi="Source Sans 3" w:eastAsia="Source Sans 3" w:cs="Source Sans 3"/>
      <w:b/>
      <w:color w:val="1A1A1A"/>
      <w:sz w:val="19"/>
    </w:rPr>
  </w:style>
  <w:style w:type="paragraph" w:styleId="Encadrtextetableau" w:customStyle="1">
    <w:name w:val="Encadré — texte tableau"/>
    <w:basedOn w:val="Normal"/>
    <w:qFormat/>
    <w:pPr>
      <w:widowControl/>
      <w:spacing w:lineRule="exact" w:line="230" w:before="0" w:after="0"/>
      <w:ind w:hanging="0"/>
    </w:pPr>
    <w:rPr>
      <w:rFonts w:ascii="Source Sans 3" w:hAnsi="Source Sans 3" w:eastAsia="Source Sans 3" w:cs="Source Sans 3"/>
      <w:color w:val="1A1A1A"/>
      <w:sz w:val="19"/>
    </w:rPr>
  </w:style>
  <w:style w:type="paragraph" w:styleId="Annexeconsigne" w:customStyle="1">
    <w:name w:val="Annexe — consigne"/>
    <w:basedOn w:val="Normal"/>
    <w:qFormat/>
    <w:pPr>
      <w:widowControl/>
      <w:spacing w:lineRule="exact" w:line="240" w:before="0" w:after="0"/>
      <w:ind w:hanging="0"/>
    </w:pPr>
    <w:rPr>
      <w:rFonts w:ascii="Source Sans 3" w:hAnsi="Source Sans 3" w:eastAsia="Source Sans 3" w:cs="Source Sans 3"/>
      <w:color w:val="525252"/>
      <w:sz w:val="20"/>
    </w:rPr>
  </w:style>
  <w:style w:type="paragraph" w:styleId="AnnexTitlesuite" w:customStyle="1">
    <w:name w:val="AnnexTitle suite"/>
    <w:qFormat/>
    <w:pPr>
      <w:keepNext w:val="true"/>
      <w:keepLines/>
      <w:widowControl/>
      <w:bidi w:val="0"/>
      <w:spacing w:lineRule="exact" w:line="320" w:before="260" w:after="60"/>
      <w:jc w:val="left"/>
    </w:pPr>
    <w:rPr>
      <w:rFonts w:ascii="Source Serif 4" w:hAnsi="Source Serif 4" w:eastAsia="Source Serif 4" w:cs="Source Serif 4"/>
      <w:b/>
      <w:i w:val="false"/>
      <w:color w:val="1A1A1A"/>
      <w:kern w:val="0"/>
      <w:sz w:val="29"/>
      <w:szCs w:val="22"/>
      <w:lang w:val="en-US" w:eastAsia="en-US" w:bidi="ar-SA"/>
    </w:rPr>
  </w:style>
  <w:style w:type="paragraph" w:styleId="Heading2ouverture" w:customStyle="1">
    <w:name w:val="Heading 2 — ouverture"/>
    <w:basedOn w:val="Heading2"/>
    <w:qFormat/>
    <w:pPr>
      <w:keepNext w:val="true"/>
      <w:keepLines/>
      <w:widowControl/>
      <w:spacing w:lineRule="exact" w:line="400" w:before="0" w:after="142"/>
      <w:ind w:hanging="0"/>
    </w:pPr>
    <w:rPr>
      <w:rFonts w:ascii="Source Serif 4" w:hAnsi="Source Serif 4" w:eastAsia="Source Serif 4" w:cs="Source Serif 4"/>
      <w:b/>
      <w:i w:val="false"/>
      <w:color w:val="1A1A1A"/>
      <w:sz w:val="32"/>
    </w:rPr>
  </w:style>
  <w:style w:type="paragraph" w:styleId="AnnexSubtitlesuite" w:customStyle="1">
    <w:name w:val="AnnexSubtitle suite"/>
    <w:qFormat/>
    <w:pPr>
      <w:keepNext w:val="true"/>
      <w:widowControl/>
      <w:bidi w:val="0"/>
      <w:spacing w:lineRule="exact" w:line="240" w:before="0" w:after="120"/>
      <w:jc w:val="left"/>
    </w:pPr>
    <w:rPr>
      <w:rFonts w:ascii="Source Serif 4" w:hAnsi="Source Serif 4" w:eastAsia="Source Serif 4" w:cs="Source Serif 4"/>
      <w:b w:val="false"/>
      <w:i/>
      <w:color w:val="525252"/>
      <w:kern w:val="0"/>
      <w:sz w:val="19"/>
      <w:szCs w:val="22"/>
      <w:lang w:val="en-US" w:eastAsia="en-US" w:bidi="ar-SA"/>
    </w:rPr>
  </w:style>
  <w:style w:type="paragraph" w:styleId="FigureCredit" w:customStyle="1">
    <w:name w:val="FigureCredit"/>
    <w:qFormat/>
    <w:pPr>
      <w:keepNext w:val="false"/>
      <w:widowControl/>
      <w:bidi w:val="0"/>
      <w:spacing w:lineRule="exact" w:line="200" w:before="0" w:after="160"/>
      <w:jc w:val="center"/>
    </w:pPr>
    <w:rPr>
      <w:rFonts w:ascii="Source Sans 3" w:hAnsi="Source Sans 3" w:eastAsia="Source Sans 3" w:cs="Source Sans 3"/>
      <w:b w:val="false"/>
      <w:i/>
      <w:color w:val="656565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1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1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1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1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1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1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9B9B" w:themeColor="accent1" w:sz="8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9B9B" w:themeColor="accent1" w:sz="6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D8D8D" w:themeColor="accent2" w:sz="8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D8D8D" w:themeColor="accent2" w:sz="6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1C1C1" w:themeColor="accent3" w:sz="8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C1C1" w:themeColor="accent3" w:sz="6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29292" w:themeColor="accent4" w:sz="8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29292" w:themeColor="accent4" w:sz="6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5" w:sz="8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5" w:sz="6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BBBBB" w:themeColor="accent6" w:sz="8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6" w:sz="6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7B7B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6868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ADAD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E6E6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99999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7B7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B7B7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7B7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7B7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86868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6868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6868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DADAD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ADAD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ADAD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E6E6E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E6E6E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E6E6E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99999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99999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99999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5A5A5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  <w:insideV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9B9B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  <w:insideV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D8D8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  <w:insideV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1C1C1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  <w:insideV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2929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  <w:insideV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  <w:insideV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BBBB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1F1F1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tcBorders>
          <w:insideH w:val="single" w:color="7B7B7B" w:themeColor="accent1" w:sz="6" w:space="0"/>
          <w:insideV w:val="single" w:color="7B7B7B" w:themeColor="accent1" w:sz="6" w:space="0"/>
        </w:tcBorders>
        <w:shd w:val="clear" w:color="auto" w:fill="BCBCB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color="686868" w:themeColor="accent2" w:sz="6" w:space="0"/>
          <w:insideV w:val="single" w:color="686868" w:themeColor="accent2" w:sz="6" w:space="0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color="ADADAD" w:themeColor="accent3" w:sz="6" w:space="0"/>
          <w:insideV w:val="single" w:color="ADADAD" w:themeColor="accent3" w:sz="6" w:space="0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color="6E6E6E" w:themeColor="accent4" w:sz="6" w:space="0"/>
          <w:insideV w:val="single" w:color="6E6E6E" w:themeColor="accent4" w:sz="6" w:space="0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color="999999" w:themeColor="accent5" w:sz="6" w:space="0"/>
          <w:insideV w:val="single" w:color="999999" w:themeColor="accent5" w:sz="6" w:space="0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color="A5A5A5" w:themeColor="accent6" w:sz="6" w:space="0"/>
          <w:insideV w:val="single" w:color="A5A5A5" w:themeColor="accent6" w:sz="6" w:space="0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CBCB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CBCBC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3B3B3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D6D6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6B6B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CCCC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C3C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A5A5A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13131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A4A4A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9595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68686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1515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D4D4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47474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535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E7E7E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7B7B7B" w:themeColor="accent1" w:sz="4" w:space="0"/>
        <w:bottom w:val="single" w:color="7B7B7B" w:themeColor="accent1" w:sz="4" w:space="0"/>
        <w:right w:val="single" w:color="7B7B7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84848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84848" w:themeColor="accent1" w:sz="4" w:space="0"/>
          <w:insideV w:val="nil"/>
        </w:tcBorders>
        <w:shd w:val="clear" w:color="auto" w:fill="484848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4848" w:themeFill="accent1" w:themeFillShade="99"/>
      </w:tcPr>
    </w:tblStylePr>
    <w:tblStylePr w:type="band1Vert">
      <w:tblPr/>
      <w:tcPr>
        <w:shd w:val="clear" w:color="auto" w:fill="C9C9C9" w:themeFill="accent1" w:themeFillTint="66"/>
      </w:tcPr>
    </w:tblStylePr>
    <w:tblStylePr w:type="band1Horz">
      <w:tblPr/>
      <w:tcPr>
        <w:shd w:val="clear" w:color="auto" w:fill="BCBCBC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686868" w:themeColor="accent2" w:sz="4" w:space="0"/>
        <w:bottom w:val="single" w:color="686868" w:themeColor="accent2" w:sz="4" w:space="0"/>
        <w:right w:val="single" w:color="686868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C3C3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3C3C3C" w:themeColor="accent2" w:sz="4" w:space="0"/>
          <w:insideV w:val="nil"/>
        </w:tcBorders>
        <w:shd w:val="clear" w:color="auto" w:fill="3C3C3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C3C" w:themeFill="accent2" w:themeFillShade="99"/>
      </w:tcPr>
    </w:tblStylePr>
    <w:tblStylePr w:type="band1Vert">
      <w:tblPr/>
      <w:tcPr>
        <w:shd w:val="clear" w:color="auto" w:fill="C1C1C1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24" w:space="0"/>
        <w:left w:val="single" w:color="ADADAD" w:themeColor="accent3" w:sz="4" w:space="0"/>
        <w:bottom w:val="single" w:color="ADADAD" w:themeColor="accent3" w:sz="4" w:space="0"/>
        <w:right w:val="single" w:color="ADADAD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B6B6B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B6B6B" w:themeColor="accent3" w:sz="4" w:space="0"/>
          <w:insideV w:val="nil"/>
        </w:tcBorders>
        <w:shd w:val="clear" w:color="auto" w:fill="6B6B6B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B6B" w:themeFill="accent3" w:themeFillShade="99"/>
      </w:tcPr>
    </w:tblStylePr>
    <w:tblStylePr w:type="band1Vert">
      <w:tblPr/>
      <w:tcPr>
        <w:shd w:val="clear" w:color="auto" w:fill="DDDDDD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24" w:space="0"/>
        <w:left w:val="single" w:color="6E6E6E" w:themeColor="accent4" w:sz="4" w:space="0"/>
        <w:bottom w:val="single" w:color="6E6E6E" w:themeColor="accent4" w:sz="4" w:space="0"/>
        <w:right w:val="single" w:color="6E6E6E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14141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14141" w:themeColor="accent4" w:sz="4" w:space="0"/>
          <w:insideV w:val="nil"/>
        </w:tcBorders>
        <w:shd w:val="clear" w:color="auto" w:fill="414141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141" w:themeFill="accent4" w:themeFillShade="99"/>
      </w:tcPr>
    </w:tblStylePr>
    <w:tblStylePr w:type="band1Vert">
      <w:tblPr/>
      <w:tcPr>
        <w:shd w:val="clear" w:color="auto" w:fill="C4C4C4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24" w:space="0"/>
        <w:left w:val="single" w:color="999999" w:themeColor="accent5" w:sz="4" w:space="0"/>
        <w:bottom w:val="single" w:color="999999" w:themeColor="accent5" w:sz="4" w:space="0"/>
        <w:right w:val="single" w:color="999999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D5D5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D5D5D" w:themeColor="accent5" w:sz="4" w:space="0"/>
          <w:insideV w:val="nil"/>
        </w:tcBorders>
        <w:shd w:val="clear" w:color="auto" w:fill="5D5D5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D5D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24" w:space="0"/>
        <w:left w:val="single" w:color="A5A5A5" w:themeColor="accent6" w:sz="4" w:space="0"/>
        <w:bottom w:val="single" w:color="A5A5A5" w:themeColor="accent6" w:sz="4" w:space="0"/>
        <w:right w:val="single" w:color="A5A5A5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56565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56565" w:themeColor="accent6" w:sz="4" w:space="0"/>
          <w:insideV w:val="nil"/>
        </w:tcBorders>
        <w:shd w:val="clear" w:color="auto" w:fill="656565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6565" w:themeFill="accent6" w:themeFillShade="99"/>
      </w:tcPr>
    </w:tblStylePr>
    <w:tblStylePr w:type="band1Vert">
      <w:tblPr/>
      <w:tcPr>
        <w:shd w:val="clear" w:color="auto" w:fill="DADADA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57575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F8F8F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1E1E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68686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C7C7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CEC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9C9C9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9C9C9" w:themeFill="accent1" w:themeFillTint="66"/>
      </w:tcPr>
    </w:tblStylePr>
    <w:tblStylePr w:type="fir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la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1C1C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1C1C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la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DDDDD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DDDDD" w:themeFill="accent3" w:themeFillTint="66"/>
      </w:tcPr>
    </w:tblStylePr>
    <w:tblStylePr w:type="fir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la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1E1E1" w:themeFill="accent4" w:themeFillTint="33"/>
    </w:tcPr>
    <w:tblStylePr w:type="firstRow">
      <w:rPr>
        <w:b/>
        <w:bCs/>
      </w:rPr>
      <w:tblPr/>
      <w:tcPr>
        <w:shd w:val="clear" w:color="auto" w:fill="C4C4C4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4C4C4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ECEC" w:themeFill="accent6" w:themeFillTint="33"/>
    </w:tcPr>
    <w:tblStylePr w:type="firstRow">
      <w:rPr>
        <w:b/>
        <w:bCs/>
      </w:rPr>
      <w:tblPr/>
      <w:tcPr>
        <w:shd w:val="clear" w:color="auto" w:fill="DADADA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ADADA" w:themeFill="accent6" w:themeFillTint="66"/>
      </w:tcPr>
    </w:tblStylePr>
    <w:tblStylePr w:type="fir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la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èred’annexe">
    <w:name w:val="Repère d’annexe"/>
    <w:basedOn w:val="Normal"/>
    <w:rPr>
      <w:rFonts w:ascii="Source Sans 3" w:hAnsi="Source Sans 3" w:eastAsia="Source Sans 3" w:cs="Source Sans 3"/>
      <w:color w:val="656565"/>
      <w:sz w:val="16"/>
      <w:b w:val="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4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 pitchFamily="0" charset="1"/>
        <a:ea typeface=""/>
        <a:cs typeface=""/>
      </a:majorFont>
      <a:minorFont>
        <a:latin typeface="Source Serif 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Gestion et évaluation</cp:category>
  <dcterms:created xsi:type="dcterms:W3CDTF">2013-12-23T23:15:00Z</dcterms:created>
  <dc:creator>Chantal Bouchard</dc:creator>
  <dc:description>Annexe extraite au format Letter pour diffusion web.</dc:description>
  <cp:keywords>indicateurs, noir et blanc, épreuve, navigation, mise en page</cp:keywords>
  <dc:language>en-US</dc:language>
  <cp:lastModifiedBy>Chantal Bouchard</cp:lastModifiedBy>
  <dcterms:modified xsi:type="dcterms:W3CDTF">2026-07-03T15:55:45Z</dcterms:modified>
  <cp:revision>18</cp:revision>
  <dc:subject>Gabarit Word Letter — Construire des indicateurs utiles</dc:subject>
  <dc:title>Annexe D — Matrice de sélection des composantes</dc:title>
  <cp:version>NB v2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