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ind w:hanging="0"/>
        <w:rPr/>
      </w:pPr>
      <w:r>
        <w:rPr/>
        <w:t>Annexe E — Matrice composante–qualité–point de vue–indicateur</w:t>
      </w:r>
    </w:p>
    <w:p>
      <w:pPr>
        <w:pStyle w:val="AnnexSubtitle"/>
        <w:keepNext w:val="true"/>
        <w:keepLines/>
        <w:widowControl/>
        <w:ind w:hanging="0"/>
        <w:rPr/>
      </w:pPr>
      <w:r>
        <w:rPr/>
        <w:t>Passer d’une composante retenue à une première liste structurée.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shd w:fill="F7F7F7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Utiliser cette matrice pour comparer des indicateurs potentiels. La fiche-indicateur détaillée sera complétée seulement lorsque l’équipe aura retenu les indicateurs à produire.</w:t>
            </w:r>
          </w:p>
        </w:tc>
      </w:tr>
      <w:tr>
        <w:trPr>
          <w:cantSplit w:val="true"/>
        </w:trPr>
        <w:tc>
          <w:tcPr>
            <w:tcW w:w="10224" w:type="dxa"/>
            <w:tcBorders>
              <w:top w:val="single" w:sz="6" w:space="0" w:color="B6B6B6"/>
              <w:left w:val="single" w:sz="6" w:space="0" w:color="B6B6B6"/>
              <w:bottom w:val="single" w:sz="6" w:space="0" w:color="B6B6B6"/>
              <w:right w:val="single" w:sz="6" w:space="0" w:color="B6B6B6"/>
            </w:tcBorders>
            <w:shd w:fill="F0F0F0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Formuler un énoncé bref qui dit ce qui serait suivi. La source et la périodicité seront précisées à la page suivante; la validation détaillée viendra plus tard.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2046"/>
        <w:gridCol w:w="2046"/>
        <w:gridCol w:w="2046"/>
        <w:gridCol w:w="2046"/>
        <w:gridCol w:w="2040"/>
      </w:tblGrid>
      <w:tr>
        <w:trPr>
          <w:cantSplit w:val="true"/>
          <w:tblHeader w:val="true"/>
        </w:trPr>
        <w:tc>
          <w:tcPr>
            <w:tcW w:w="2046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Composante</w:t>
            </w:r>
          </w:p>
        </w:tc>
        <w:tc>
          <w:tcPr>
            <w:tcW w:w="2046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Qualité</w:t>
            </w:r>
          </w:p>
        </w:tc>
        <w:tc>
          <w:tcPr>
            <w:tcW w:w="2046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Point de vue</w:t>
            </w:r>
          </w:p>
        </w:tc>
        <w:tc>
          <w:tcPr>
            <w:tcW w:w="2046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Question à</w:t>
              <w:br/>
              <w:t>éclairer</w:t>
            </w:r>
          </w:p>
        </w:tc>
        <w:tc>
          <w:tcPr>
            <w:tcW w:w="204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1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Indicateur</w:t>
              <w:br/>
              <w:t>potentiel</w:t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18"/>
                <w:szCs w:val="22"/>
                <w:lang w:val="en-US" w:eastAsia="en-US" w:bidi="ar-SA"/>
              </w:rPr>
              <w:br/>
              <w:br/>
            </w:r>
          </w:p>
        </w:tc>
      </w:tr>
    </w:tbl>
    <w:p>
      <w:pPr>
        <w:pStyle w:val="AnnexSmall"/>
        <w:rPr/>
      </w:pPr>
      <w:r>
        <w:rPr/>
        <w:t>Choisir la qualité voulue, rendue ou perçue, puis préciser s’il s’agit d’une qualité singulière ou transversale.</w:t>
      </w:r>
    </w:p>
    <w:p>
      <w:pPr>
        <w:pStyle w:val="AnnexSubtitlesuite"/>
        <w:keepNext w:val="true"/>
        <w:keepLines/>
        <w:widowControl/>
        <w:ind w:hanging="0"/>
        <w:rPr/>
      </w:pPr>
      <w:r>
        <w:rPr/>
        <w:t>Suite — source et périodicité envisagées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6" w:space="0" w:color="B6B6B6"/>
              <w:left w:val="single" w:sz="6" w:space="0" w:color="B6B6B6"/>
              <w:bottom w:val="single" w:sz="6" w:space="0" w:color="B6B6B6"/>
              <w:right w:val="single" w:sz="6" w:space="0" w:color="B6B6B6"/>
            </w:tcBorders>
            <w:shd w:fill="F0F0F0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Reprendre les indicateurs potentiels retenus à la page précédente. Noter la source envisagée et une périodicité réaliste, sans chercher encore à compléter toute la fiche.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4484"/>
        <w:gridCol w:w="3340"/>
        <w:gridCol w:w="2400"/>
      </w:tblGrid>
      <w:tr>
        <w:trPr>
          <w:cantSplit w:val="true"/>
          <w:tblHeader w:val="true"/>
        </w:trPr>
        <w:tc>
          <w:tcPr>
            <w:tcW w:w="4484" w:type="dxa"/>
            <w:tcBorders>
              <w:top w:val="single" w:sz="6" w:space="0" w:color="292929"/>
              <w:left w:val="single" w:sz="6" w:space="0" w:color="292929"/>
              <w:bottom w:val="single" w:sz="6" w:space="0" w:color="292929"/>
              <w:right w:val="single" w:sz="6" w:space="0" w:color="292929"/>
            </w:tcBorders>
            <w:shd w:fill="353535" w:val="clear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Indicateur potentiel</w:t>
            </w:r>
          </w:p>
        </w:tc>
        <w:tc>
          <w:tcPr>
            <w:tcW w:w="3340" w:type="dxa"/>
            <w:tcBorders>
              <w:top w:val="single" w:sz="6" w:space="0" w:color="292929"/>
              <w:left w:val="single" w:sz="6" w:space="0" w:color="292929"/>
              <w:bottom w:val="single" w:sz="6" w:space="0" w:color="292929"/>
              <w:right w:val="single" w:sz="6" w:space="0" w:color="292929"/>
            </w:tcBorders>
            <w:shd w:fill="353535" w:val="clear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Source envisagée</w:t>
            </w:r>
          </w:p>
        </w:tc>
        <w:tc>
          <w:tcPr>
            <w:tcW w:w="2400" w:type="dxa"/>
            <w:tcBorders>
              <w:top w:val="single" w:sz="6" w:space="0" w:color="292929"/>
              <w:left w:val="single" w:sz="6" w:space="0" w:color="292929"/>
              <w:bottom w:val="single" w:sz="6" w:space="0" w:color="292929"/>
              <w:right w:val="single" w:sz="6" w:space="0" w:color="292929"/>
            </w:tcBorders>
            <w:shd w:fill="353535" w:val="clear"/>
          </w:tcPr>
          <w:p>
            <w:pPr>
              <w:pStyle w:val="Normal"/>
              <w:keepNext/>
              <w:keepLines/>
              <w:widowControl/>
              <w:spacing w:lineRule="exact" w:line="232" w:before="0" w:after="34"/>
              <w:ind w:hanging="0" w:left="0"/>
              <w:jc w:val="center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Périodicité envisagée</w:t>
            </w:r>
          </w:p>
        </w:tc>
      </w:tr>
      <w:tr>
        <w:trPr>
          <w:trHeight w:val="893" w:hRule="atLeast"/>
          <w:cantSplit w:val="true"/>
        </w:trPr>
        <w:tc>
          <w:tcPr>
            <w:tcW w:w="448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3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trHeight w:val="893" w:hRule="atLeast"/>
          <w:cantSplit w:val="true"/>
        </w:trPr>
        <w:tc>
          <w:tcPr>
            <w:tcW w:w="448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3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trHeight w:val="893" w:hRule="atLeast"/>
          <w:cantSplit w:val="true"/>
        </w:trPr>
        <w:tc>
          <w:tcPr>
            <w:tcW w:w="448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3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trHeight w:val="893" w:hRule="atLeast"/>
          <w:cantSplit w:val="true"/>
        </w:trPr>
        <w:tc>
          <w:tcPr>
            <w:tcW w:w="448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3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trHeight w:val="893" w:hRule="atLeast"/>
          <w:cantSplit w:val="true"/>
        </w:trPr>
        <w:tc>
          <w:tcPr>
            <w:tcW w:w="448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3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trHeight w:val="893" w:hRule="atLeast"/>
          <w:cantSplit w:val="true"/>
        </w:trPr>
        <w:tc>
          <w:tcPr>
            <w:tcW w:w="4484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334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  <w:tc>
          <w:tcPr>
            <w:tcW w:w="2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</w:tcPr>
          <w:p>
            <w:pPr>
              <w:pStyle w:val="Normal"/>
              <w:widowControl/>
              <w:spacing w:lineRule="exact" w:line="23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kern w:val="0"/>
                <w:sz w:val="20"/>
                <w:szCs w:val="22"/>
                <w:lang w:val="en-US" w:eastAsia="en-US" w:bidi="ar-SA"/>
              </w:rPr>
              <w:br/>
              <w:br/>
            </w:r>
          </w:p>
        </w:tc>
      </w:tr>
    </w:tbl>
    <w:p>
      <w:pPr>
        <w:pStyle w:val="AnnexSubtitle"/>
        <w:keepNext w:val="true"/>
        <w:keepLines/>
        <w:widowControl/>
        <w:ind w:hanging="0"/>
        <w:rPr/>
      </w:pPr>
      <w:r>
        <w:rPr/>
        <w:t>Première sélection des indicateurs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shd w:fill="F7F7F7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Conserver une liste initiale plus large que le noyau final, puis sélectionner des indicateurs compatibles avec la capacité réelle de collecte, de lecture et de décision.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cantSplit w:val="true"/>
          <w:tblHeader w:val="true"/>
        </w:trPr>
        <w:tc>
          <w:tcPr>
            <w:tcW w:w="5114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Élément</w:t>
            </w:r>
          </w:p>
        </w:tc>
        <w:tc>
          <w:tcPr>
            <w:tcW w:w="51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À compléter</w:t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Indicateurs à retenir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Ceux qui sont directement liés à la décision et pour lesquels une source crédible est accessible.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Indicateurs à tester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Ceux qui semblent utiles mais dont la définition, la source ou la méthode doit être vérifiée.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Indicateurs à reporter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Ceux qui ne sont pas prioritaires ou qui demandent des conditions non réunies.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Indicateurs écartés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Ceux qui ne répondent pas à une décision claire, qui doublonnent un autre indicateur ou qui seraient trop coûteux.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  <w:br/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E — Matrice composante–qualité–point de vue–indicateur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