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spacing w:lineRule="auto" w:line="240" w:before="220" w:after="140"/>
        <w:ind w:hanging="0"/>
        <w:rPr/>
      </w:pPr>
      <w:r>
        <w:rPr/>
        <w:t>Annexe L — Registre décision–action–suivi</w:t>
      </w:r>
    </w:p>
    <w:p>
      <w:pPr>
        <w:pStyle w:val="AnnexSubtitle"/>
        <w:keepNext w:val="true"/>
        <w:keepLines/>
        <w:widowControl/>
        <w:spacing w:lineRule="auto" w:line="240" w:before="0" w:after="220"/>
        <w:ind w:hanging="0"/>
        <w:rPr/>
      </w:pPr>
      <w:r>
        <w:rPr/>
        <w:t>Conserver la trace des décisions, de leur mise en œuvre et de leurs effets.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2046"/>
        <w:gridCol w:w="2046"/>
        <w:gridCol w:w="2046"/>
        <w:gridCol w:w="2046"/>
        <w:gridCol w:w="2040"/>
      </w:tblGrid>
      <w:tr>
        <w:trPr>
          <w:cantSplit w:val="true"/>
          <w:tblHeader/>
        </w:trPr>
        <w:tc>
          <w:tcPr>
            <w:tcW w:w="10224" w:type="dxa"/>
            <w:gridSpan w:val="5"/>
            <w:tcBorders>
              <w:top w:val="single" w:sz="8" w:space="0" w:color="B0B0B0"/>
              <w:left w:val="single" w:sz="8" w:space="0" w:color="B0B0B0"/>
              <w:bottom w:val="single" w:sz="8" w:space="0" w:color="B0B0B0"/>
              <w:right w:val="single" w:sz="8" w:space="0" w:color="B0B0B0"/>
            </w:tcBorders>
            <w:shd w:fill="F6F6F6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Garder chaque décision visible jusqu’à sa réalisation, son ajustement ou sa clôture. Le registre évite que les mêmes discussions recommencent sans mémoire des actions précédentes.</w:t>
            </w:r>
          </w:p>
        </w:tc>
      </w:tr>
      <w:tr>
        <w:trPr>
          <w:cantSplit w:val="true"/>
        </w:trPr>
        <w:tc>
          <w:tcPr>
            <w:tcW w:w="10224" w:type="dxa"/>
            <w:gridSpan w:val="5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Créer une ligne lorsqu’un résultat conduit à une décision. Mettre le registre à jour au rythme des rencontres de suivi.</w:t>
            </w:r>
          </w:p>
        </w:tc>
      </w:tr>
      <w:tr>
        <w:trPr>
          <w:cantSplit w:val="true"/>
        </w:trPr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Date et constat</w:t>
            </w:r>
          </w:p>
        </w:tc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Décision</w:t>
            </w:r>
          </w:p>
        </w:tc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Action et responsable</w:t>
            </w:r>
          </w:p>
        </w:tc>
        <w:tc>
          <w:tcPr>
            <w:tcW w:w="2046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Échéance</w:t>
            </w:r>
          </w:p>
        </w:tc>
        <w:tc>
          <w:tcPr>
            <w:tcW w:w="204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18"/>
              </w:rPr>
              <w:t>Suivi / résultat</w:t>
            </w:r>
          </w:p>
        </w:tc>
      </w:tr>
      <w:tr>
        <w:trPr>
          <w:trHeight w:val="1080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1080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1080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1080" w:hRule="atLeast"/>
          <w:cantSplit w:val="true"/>
        </w:trPr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6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  <w:tc>
          <w:tcPr>
            <w:tcW w:w="204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12" w:before="0" w:after="34"/>
              <w:ind w:hanging="0" w:left="0"/>
              <w:rPr/>
            </w:pPr>
            <w:r>
              <w:rPr/>
            </w:r>
          </w:p>
        </w:tc>
      </w:tr>
    </w:tbl>
    <w:tbl>
      <w:tblPr>
        <w:tblW w:w="1022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trHeight w:val="120" w:hRule="exact"/>
          <w:cantSplit w:val="true"/>
          <w:tblHeader/>
        </w:trPr>
        <w:tc>
          <w:tcPr>
            <w:tcW w:w="10224" w:type="dxa"/>
            <w:tcBorders/>
            <w:shd w:fill="444444"/>
          </w:tcPr>
          <w:p>
            <w:pPr>
              <w:pStyle w:val="Normal"/>
              <w:widowControl/>
              <w:spacing w:lineRule="exact" w:line="20" w:before="0" w:after="0"/>
              <w:ind w:hanging="0" w:left="0" w:right="0"/>
              <w:rPr/>
            </w:pPr>
            <w:r>
              <w:rPr/>
            </w:r>
          </w:p>
        </w:tc>
      </w:tr>
    </w:tbl>
    <w:p>
      <w:pPr>
        <w:pStyle w:val="AnnexSubtitlesuite"/>
        <w:keepNext w:val="true"/>
        <w:keepLines/>
        <w:widowControl/>
        <w:spacing w:lineRule="auto" w:line="240" w:before="0" w:after="220"/>
        <w:ind w:hanging="0"/>
        <w:rPr/>
      </w:pPr>
      <w:r>
        <w:rPr/>
        <w:t>Suite — clôture et apprentissage.</w:t>
      </w:r>
    </w:p>
    <w:p>
      <w:pPr>
        <w:pStyle w:val="AnnexSection"/>
        <w:keepNext w:val="true"/>
        <w:keepLines/>
        <w:widowControl/>
        <w:spacing w:lineRule="auto" w:line="259" w:before="0" w:after="80"/>
        <w:ind w:hanging="0"/>
        <w:rPr/>
      </w:pPr>
      <w:r>
        <w:rPr/>
        <w:t>Clôture d’une action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Question</w:t>
            </w:r>
          </w:p>
        </w:tc>
        <w:tc>
          <w:tcPr>
            <w:tcW w:w="5110" w:type="dxa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fill="444444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sz w:val="21"/>
              </w:rPr>
              <w:t>À compléter</w:t>
            </w:r>
          </w:p>
        </w:tc>
      </w:tr>
      <w:tr>
        <w:trPr>
          <w:trHeight w:val="763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L’action a-t-elle été réalisée comme prévu?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63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Quels résultats ou effets ont été observés?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63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Une autre action ou un autre suivi est-il nécessaire?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63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La fiche-indicateur, la cible ou le tableau de bord doivent-ils être révisés?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trHeight w:val="763" w:hRule="atLeast"/>
          <w:cantSplit w:val="true"/>
        </w:trPr>
        <w:tc>
          <w:tcPr>
            <w:tcW w:w="5114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8F8F8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>
                <w:rFonts w:eastAsia="Source Sans 3" w:cs="Source Sans 3" w:ascii="Source Sans 3" w:hAnsi="Source Sans 3"/>
                <w:b/>
                <w:i w:val="false"/>
                <w:sz w:val="21"/>
              </w:rPr>
              <w:t>Quelle leçon devrait être conservée pour une prochaine décision?</w:t>
            </w:r>
          </w:p>
        </w:tc>
        <w:tc>
          <w:tcPr>
            <w:tcW w:w="5110" w:type="dxa"/>
            <w:tcBorders>
              <w:top w:val="single" w:sz="4" w:space="0" w:color="B9B9B9"/>
              <w:left w:val="single" w:sz="4" w:space="0" w:color="B9B9B9"/>
              <w:bottom w:val="single" w:sz="4" w:space="0" w:color="B9B9B9"/>
              <w:right w:val="single" w:sz="4" w:space="0" w:color="B9B9B9"/>
            </w:tcBorders>
            <w:shd w:fill="FFFFFF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rPr/>
            </w:pPr>
            <w:r>
              <w:rPr/>
            </w:r>
          </w:p>
        </w:tc>
      </w:tr>
      <w:tr>
        <w:trPr>
          <w:cantSplit w:val="true"/>
        </w:trPr>
        <w:tc>
          <w:tcPr>
            <w:tcW w:w="10224" w:type="dxa"/>
            <w:gridSpan w:val="2"/>
            <w:tcBorders>
              <w:top w:val="single" w:sz="6" w:space="0" w:color="ADADAD"/>
              <w:left w:val="single" w:sz="6" w:space="0" w:color="ADADAD"/>
              <w:bottom w:val="single" w:sz="6" w:space="0" w:color="ADADAD"/>
              <w:right w:val="single" w:sz="6" w:space="0" w:color="ADADAD"/>
            </w:tcBorders>
            <w:shd w:fill="F4F4F4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0"/>
                <w:i w:val="false"/>
                <w:sz w:val="21"/>
              </w:rPr>
              <w:t>Cocher le statut qui décrit la situation après le suivi. Conserver une courte justification lorsque l’action est ajustée, abandonnée ou reportée.</w:t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L — Registre décision–action–suivi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