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ind w:hanging="0"/>
        <w:rPr/>
      </w:pPr>
      <w:r>
        <w:rPr/>
        <w:t>Annexe A — Canevas de décision attendue</w:t>
      </w:r>
    </w:p>
    <w:p>
      <w:pPr>
        <w:pStyle w:val="AnnexSubtitle"/>
        <w:keepNext w:val="true"/>
        <w:keepLines/>
        <w:widowControl/>
        <w:ind w:hanging="0"/>
        <w:rPr/>
      </w:pPr>
      <w:r>
        <w:rPr/>
        <w:t>Clarifier l’information à produire avant de choisir des indicateurs.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Compléter ce canevas avec la personne qui utilisera les résultats. Avant de choisir un indicateur, noter la décision à prendre, son échéance et ce qui pourrait changer selon le résultat.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Décision à éclairer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Ex. Ajuster le processus de traitement des plaintes ou maintenir le fonctionnement actuel.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Personne responsable de la décision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Nom, fonction ou instance qui dispose du pouvoir d’agir.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Échéance de la décision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Date ou moment où l’information doit être disponible.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Situation qui motive la démarche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Fait observé, risque, changement de contexte, plainte récurrente ou obligation de reddition de comptes.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Objet à examiner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Service, programme, processus ou composante précise.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</w:tbl>
    <w:p>
      <w:pPr>
        <w:pStyle w:val="AnnexSubtitlesuite"/>
        <w:keepNext w:val="true"/>
        <w:keepLines/>
        <w:widowControl/>
        <w:ind w:hanging="0"/>
        <w:rPr/>
      </w:pPr>
      <w:r>
        <w:rPr/>
        <w:t>Suite — question et informations attendues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Formuler une question à laquelle les résultats devront répondre.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Décisions possibles selon les résultats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Ex. Maintenir, corriger, analyser davantage, tester une solution ou revoir une cible.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Informations minimales requises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 que la personne responsable doit connaître pour agir.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Niveau de précision nécessaire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Résultat global, ventilation par équipe, période, type de dossier, clientèle ou territoire.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ubtitlesuite"/>
        <w:keepNext w:val="true"/>
        <w:keepLines/>
        <w:widowControl/>
        <w:ind w:hanging="0"/>
        <w:rPr/>
      </w:pPr>
      <w:r>
        <w:rPr/>
        <w:t>Suite — balises de cadrage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Préciser aussi ce qui reste hors champ et les personnes qui doivent être consultées avant d’arrêter la démarche.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Personnes à consulter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Personnel, usagers, partenaires, direction, spécialistes de données ou autres.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Contraintes à respecter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Temps, ressources, confidentialité, règles, technologies et disponibilité des données.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Ce qui est hors champ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 que cette démarche ne cherchera pas à résoudre ou à mesurer pour le moment.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Trace de l’entente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Date, personnes présentes, ajustements convenus.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A — Canevas de décision attendue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