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spacing w:lineRule="auto" w:line="240" w:before="220" w:after="140"/>
        <w:ind w:hanging="0"/>
        <w:rPr/>
      </w:pPr>
      <w:r>
        <w:rPr/>
        <w:t>Annexe K — Maquette de tableau de bord</w:t>
      </w:r>
    </w:p>
    <w:p>
      <w:pPr>
        <w:pStyle w:val="AnnexSubtitle"/>
        <w:keepNext w:val="true"/>
        <w:keepLines/>
        <w:widowControl/>
        <w:spacing w:lineRule="auto" w:line="240" w:before="0" w:after="220"/>
        <w:ind w:hanging="0"/>
        <w:rPr/>
      </w:pPr>
      <w:r>
        <w:rPr/>
        <w:t>Présenter l’essentiel pour soutenir une discussion et une décision.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0B0B0"/>
              <w:left w:val="single" w:sz="8" w:space="0" w:color="B0B0B0"/>
              <w:bottom w:val="single" w:sz="8" w:space="0" w:color="B0B0B0"/>
              <w:right w:val="single" w:sz="8" w:space="0" w:color="B0B0B0"/>
            </w:tcBorders>
            <w:shd w:fill="F6F6F6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Faire ressortir dans le tableau de bord les écarts et les tendances qui demandent une action ou une vérification à la prochaine rencontre.</w:t>
            </w:r>
          </w:p>
        </w:tc>
      </w:tr>
      <w:tr>
        <w:trPr>
          <w:cantSplit w:val="true"/>
        </w:trPr>
        <w:tc>
          <w:tcPr>
            <w:tcW w:w="10224" w:type="dxa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Adapter le nombre de lignes à la capacité réelle de suivi. Un premier tableau de bord peut contenir trois à six indicateurs.</w:t>
            </w:r>
          </w:p>
        </w:tc>
      </w:tr>
    </w:tbl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Tableau de bord périodique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2046"/>
        <w:gridCol w:w="2046"/>
        <w:gridCol w:w="2046"/>
        <w:gridCol w:w="2046"/>
        <w:gridCol w:w="2040"/>
      </w:tblGrid>
      <w:tr>
        <w:trPr>
          <w:tblHeader w:val="true"/>
          <w:cantSplit w:val="true"/>
        </w:trPr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Indicateur</w:t>
            </w:r>
          </w:p>
        </w:tc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Dernier résultat</w:t>
            </w:r>
          </w:p>
        </w:tc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Balise</w:t>
            </w:r>
          </w:p>
        </w:tc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Tendance</w:t>
            </w:r>
          </w:p>
        </w:tc>
        <w:tc>
          <w:tcPr>
            <w:tcW w:w="204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Commentaire / suite</w:t>
            </w:r>
          </w:p>
        </w:tc>
      </w:tr>
      <w:tr>
        <w:trPr>
          <w:trHeight w:val="893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93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93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93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93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</w:tbl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Informations de lecture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Élément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576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Période couverte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576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Personne responsable de la mise à jour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576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Date de la rencontre de suivi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576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Décisions à préparer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24" w:type="dxa"/>
            <w:gridSpan w:val="2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0"/>
                <w:i w:val="false"/>
                <w:sz w:val="21"/>
              </w:rPr>
              <w:t>Lire le tableau de bord pour repérer les écarts, les tendances et les questions à examiner. Les règles complètes demeurent dans les fiches-indicateurs.</w:t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K — Maquette de tableau de bord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